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المعنى اللغوي للخلع؟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مدق من تلع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 مدق من تلع الثوب1‏ لأن كلا من الزوجين لباسٌ للآخر كما قال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شرعاً، يُعرف الخلع بأنه: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ولو بلفظ مفاداة بعوض مقصود راجع لجهة الزوج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وشرعا فُرقة بين الزوجين ولو بلفظ مفاداة بعوض مقصود راجع لجهة الزوج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الشرط الذي يخرج المعلوم المجهول عن حكم الخلع؟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أن يكون العوض مجهولاً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(والخلع جائز على عوضي معلوم) وخرج ب(معلوم الموض) المجهول - كثوب غير معين - فيفع باننًا بمهر المثلٍ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من الأمثلة التالية يوضح حالة العوض المجهول الذي لا يصح به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خلعها على ثوب غير معين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الموض) المجهول - كثوب غير معين - فيفع باننًا بمهر المثلٍ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جائز على عوض معلوم.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(والخلع جائز على عوضي معلوم)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page_1_section_2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