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pPr>
              <w:jc w:val="right"/>
              <w:bidi/>
            </w:pPr>
            <w:r>
              <w:rPr>
                <w:rFonts w:ascii="Traditional Arabic" w:hAnsi="Traditional Arabic"/>
                <w:b/>
                <w:color w:val="1A5276"/>
                <w:sz w:val="24"/>
                <w:rFonts w:ascii="Traditional Arabic" w:hAnsi="Traditional Arabic" w:cs="Traditional Arabic"/>
                <w:rtl/>
              </w:rPr>
              <w:t>الصف: الصف الثاني الثانوي</w:t>
              <w:br/>
              <w:t>زمن الاختبار: ساعة ونصف</w:t>
              <w:br/>
              <w:t>معلم المادة: أستاذ المادة</w:t>
            </w:r>
          </w:p>
        </w:tc>
        <w:tc>
          <w:tcPr>
            <w:tcW w:type="dxa" w:w="3600"/>
          </w:tcPr>
          <w:p>
            <w:pPr>
              <w:jc w:val="center"/>
            </w:pPr>
            <w:r>
              <w:rPr>
                <w:rFonts w:ascii="Traditional Arabic" w:hAnsi="Traditional Arabic"/>
                <w:b/>
                <w:color w:val="1A5276"/>
                <w:sz w:val="26"/>
                <w:rFonts w:ascii="Traditional Arabic" w:hAnsi="Traditional Arabic" w:cs="Traditional Arabic"/>
                <w:rtl/>
              </w:rPr>
              <w:t>بسم الله الرحمن الرحيم</w:t>
              <w:br/>
              <w:t>اختبار اللغة العربية والدراسات</w:t>
              <w:br/>
              <w:t>الفصل الدراسي الأول</w:t>
            </w:r>
          </w:p>
        </w:tc>
        <w:tc>
          <w:tcPr>
            <w:tcW w:type="dxa" w:w="3168"/>
          </w:tcPr>
          <w:p>
            <w:pPr>
              <w:jc w:val="right"/>
              <w:bidi/>
            </w:pPr>
            <w:r>
              <w:rPr>
                <w:rFonts w:ascii="Traditional Arabic" w:hAnsi="Traditional Arabic"/>
                <w:b/>
                <w:color w:val="1A5276"/>
                <w:sz w:val="24"/>
                <w:rFonts w:ascii="Traditional Arabic" w:hAnsi="Traditional Arabic" w:cs="Traditional Arabic"/>
                <w:rtl/>
              </w:rPr>
              <w:t>المملكة العربية السعودية</w:t>
              <w:br/>
              <w:t>مدرسة المستقبل النموذجية</w:t>
              <w:br/>
              <w:t>المادة: اللغة العربية والدراسات</w:t>
            </w: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center"/>
        <w:bidi/>
      </w:pPr>
      <w:r>
        <w:rPr>
          <w:rFonts w:ascii="Traditional Arabic" w:hAnsi="Traditional Arabic"/>
          <w:b/>
          <w:color w:val="B42828"/>
          <w:sz w:val="30"/>
          <w:rFonts w:ascii="Traditional Arabic" w:hAnsi="Traditional Arabic" w:cs="Traditional Arabic"/>
          <w:rtl/>
        </w:rPr>
        <w:t>--- نموذج الإجابة النموذجي وسلم الدرجات (خاص بالمدرس) ---</w:t>
      </w:r>
    </w:p>
    <w:p/>
    <w:tbl>
      <w:tblPr>
        <w:tblW w:type="auto" w:w="0"/>
        <w:jc w:val="center"/>
        <w:tblLook w:firstColumn="1" w:firstRow="1" w:lastColumn="0" w:lastRow="0" w:noHBand="0" w:noVBand="1" w:val="04A0"/>
      </w:tblPr>
      <w:tblGrid>
        <w:gridCol w:w="2484"/>
        <w:gridCol w:w="2484"/>
        <w:gridCol w:w="2484"/>
        <w:gridCol w:w="2484"/>
      </w:tblGrid>
      <w:tr>
        <w:tc>
          <w:tcPr>
            <w:tcW w:type="dxa" w:w="2484"/>
            <w:shd w:fill="1A5276"/>
          </w:tcPr>
          <w:p>
            <w:pPr>
              <w:jc w:val="right"/>
              <w:bidi/>
            </w:pPr>
            <w:r>
              <w:rPr>
                <w:rFonts w:ascii="Traditional Arabic" w:hAnsi="Traditional Arabic"/>
                <w:b/>
                <w:color w:val="FFFFFF"/>
                <w:sz w:val="24"/>
                <w:rFonts w:ascii="Traditional Arabic" w:hAnsi="Traditional Arabic" w:cs="Traditional Arabic"/>
                <w:rtl/>
              </w:rPr>
              <w:t>رقم السؤال</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نص السؤال والخيارات</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الإجابة النموذجية وشرحها</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الدرجات والمراجع</w:t>
            </w:r>
          </w:p>
        </w:tc>
      </w:tr>
      <w:tr>
        <w:tc>
          <w:tcPr>
            <w:tcW w:type="dxa" w:w="2484"/>
          </w:tcPr>
          <w:p>
            <w:pPr>
              <w:jc w:val="right"/>
              <w:bidi/>
            </w:pPr>
            <w:r>
              <w:rPr>
                <w:rFonts w:ascii="Traditional Arabic" w:hAnsi="Traditional Arabic"/>
                <w:b/>
                <w:color w:val="1A5276"/>
                <w:sz w:val="24"/>
                <w:rFonts w:ascii="Traditional Arabic" w:hAnsi="Traditional Arabic" w:cs="Traditional Arabic"/>
                <w:rtl/>
              </w:rPr>
              <w:t>س 1</w:t>
            </w:r>
          </w:p>
        </w:tc>
        <w:tc>
          <w:tcPr>
            <w:tcW w:type="dxa" w:w="2484"/>
          </w:tcPr>
          <w:p>
            <w:pPr>
              <w:jc w:val="right"/>
              <w:bidi/>
            </w:pPr>
            <w:r>
              <w:rPr>
                <w:rFonts w:ascii="Traditional Arabic" w:hAnsi="Traditional Arabic"/>
                <w:b w:val="0"/>
                <w:color w:val="212121"/>
                <w:sz w:val="22"/>
                <w:rFonts w:ascii="Traditional Arabic" w:hAnsi="Traditional Arabic" w:cs="Traditional Arabic"/>
                <w:rtl/>
              </w:rPr>
              <w:t>ما هو الأصل اللغوي لمصطلح الخلع حسب النص؟</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ب</w:t>
              <w:br/>
            </w:r>
            <w:r>
              <w:rPr>
                <w:rFonts w:ascii="Traditional Arabic" w:hAnsi="Traditional Arabic"/>
                <w:b w:val="0"/>
                <w:color w:val="646464"/>
                <w:sz w:val="20"/>
                <w:rFonts w:ascii="Traditional Arabic" w:hAnsi="Traditional Arabic" w:cs="Traditional Arabic"/>
                <w:rtl/>
              </w:rPr>
              <w:t>التوضيح: وهو لغة: مشتق من خلع الثوب، لأن كلا من الزوجين لباس للآخر</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parent_id_1_2</w:t>
            </w:r>
          </w:p>
        </w:tc>
      </w:tr>
      <w:tr>
        <w:tc>
          <w:tcPr>
            <w:tcW w:type="dxa" w:w="2484"/>
            <w:shd w:fill="F8F9F9"/>
          </w:tcPr>
          <w:p>
            <w:pPr>
              <w:jc w:val="right"/>
              <w:bidi/>
            </w:pPr>
            <w:r>
              <w:rPr>
                <w:rFonts w:ascii="Traditional Arabic" w:hAnsi="Traditional Arabic"/>
                <w:b/>
                <w:color w:val="1A5276"/>
                <w:sz w:val="24"/>
                <w:rFonts w:ascii="Traditional Arabic" w:hAnsi="Traditional Arabic" w:cs="Traditional Arabic"/>
                <w:rtl/>
              </w:rPr>
              <w:t>س 2</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أي من الأدلة التالية لم يُذكر صراحة كدليل على مشروعية الخلع في النص؟</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د</w:t>
              <w:br/>
            </w:r>
            <w:r>
              <w:rPr>
                <w:rFonts w:ascii="Traditional Arabic" w:hAnsi="Traditional Arabic"/>
                <w:b w:val="0"/>
                <w:color w:val="646464"/>
                <w:sz w:val="20"/>
                <w:rFonts w:ascii="Traditional Arabic" w:hAnsi="Traditional Arabic" w:cs="Traditional Arabic"/>
                <w:rtl/>
              </w:rPr>
              <w:t>التوضيح: ثالثاً: دليله. والأصل فيه قبل الإجماع. - قوله تعالى: ﴿فَإِنْ خِفْتُمْ أَلَّا يُقِيمَا حُدُودَ اللَّهِ﴾ (230) - والأمر به في خبر البخاري في امرأة ثابت بن قيس بقوله: «اقبل الحديقة وطلقها تطليقة»، وهو أول خلع وقع في الإسلام. والإجماع حيث انعقد الإجماع على مشروعية الخلع على عوض معلوم. (النص ذكر 'الخلع كالبيع' في حكمة مشروعيته، وليس كدليل شرعي مستقل)</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parent_id_1_4, parent_id_4_1</w:t>
            </w:r>
          </w:p>
        </w:tc>
      </w:tr>
      <w:tr>
        <w:tc>
          <w:tcPr>
            <w:tcW w:type="dxa" w:w="2484"/>
          </w:tcPr>
          <w:p>
            <w:pPr>
              <w:jc w:val="right"/>
              <w:bidi/>
            </w:pPr>
            <w:r>
              <w:rPr>
                <w:rFonts w:ascii="Traditional Arabic" w:hAnsi="Traditional Arabic"/>
                <w:b/>
                <w:color w:val="1A5276"/>
                <w:sz w:val="24"/>
                <w:rFonts w:ascii="Traditional Arabic" w:hAnsi="Traditional Arabic" w:cs="Traditional Arabic"/>
                <w:rtl/>
              </w:rPr>
              <w:t>س 3</w:t>
            </w:r>
          </w:p>
        </w:tc>
        <w:tc>
          <w:tcPr>
            <w:tcW w:type="dxa" w:w="2484"/>
          </w:tcPr>
          <w:p>
            <w:pPr>
              <w:jc w:val="right"/>
              <w:bidi/>
            </w:pPr>
            <w:r>
              <w:rPr>
                <w:rFonts w:ascii="Traditional Arabic" w:hAnsi="Traditional Arabic"/>
                <w:b w:val="0"/>
                <w:color w:val="212121"/>
                <w:sz w:val="22"/>
                <w:rFonts w:ascii="Traditional Arabic" w:hAnsi="Traditional Arabic" w:cs="Traditional Arabic"/>
                <w:rtl/>
              </w:rPr>
              <w:t>يصرح النص بأن طلب الزوجة للخلع مكروه في الأصل.</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صحيح</w:t>
              <w:br/>
            </w:r>
            <w:r>
              <w:rPr>
                <w:rFonts w:ascii="Traditional Arabic" w:hAnsi="Traditional Arabic"/>
                <w:b w:val="0"/>
                <w:color w:val="646464"/>
                <w:sz w:val="20"/>
                <w:rFonts w:ascii="Traditional Arabic" w:hAnsi="Traditional Arabic" w:cs="Traditional Arabic"/>
                <w:rtl/>
              </w:rPr>
              <w:t>التوضيح: خامساً: حكم طلب الزوجة الخلع ولكنه مكروه؛ لما فيه من قطع النكاح، الذي هو مطلوب الشرع؛ لقوله ﷺ: "أَبْغَضُ الْحَلاَلِ إِلَى اللَّهِ تَعَالَى الطَّلاَقُ".</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parent_id_5_2</w:t>
            </w:r>
          </w:p>
        </w:tc>
      </w:tr>
      <w:tr>
        <w:tc>
          <w:tcPr>
            <w:tcW w:type="dxa" w:w="2484"/>
            <w:shd w:fill="F8F9F9"/>
          </w:tcPr>
          <w:p>
            <w:pPr>
              <w:jc w:val="right"/>
              <w:bidi/>
            </w:pPr>
            <w:r>
              <w:rPr>
                <w:rFonts w:ascii="Traditional Arabic" w:hAnsi="Traditional Arabic"/>
                <w:b/>
                <w:color w:val="1A5276"/>
                <w:sz w:val="24"/>
                <w:rFonts w:ascii="Traditional Arabic" w:hAnsi="Traditional Arabic" w:cs="Traditional Arabic"/>
                <w:rtl/>
              </w:rPr>
              <w:t>س 4</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إذا خُلعت المرأة، فإنه يلحقها الطلاق بلفظ صريح أو كناية في عدتها.</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خطأ</w:t>
              <w:br/>
            </w:r>
            <w:r>
              <w:rPr>
                <w:rFonts w:ascii="Traditional Arabic" w:hAnsi="Traditional Arabic"/>
                <w:b w:val="0"/>
                <w:color w:val="646464"/>
                <w:sz w:val="20"/>
                <w:rFonts w:ascii="Traditional Arabic" w:hAnsi="Traditional Arabic" w:cs="Traditional Arabic"/>
                <w:rtl/>
              </w:rPr>
              <w:t>التوضيح: (ولا يلحق المختلعة) في عدتها (طلاق) بلفظ صريح أو كناية، ولا إيلاء ولا ظهار؛ لصيرورتها أجنبية بافتداء بضعها.</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parent_id_2_5</w:t>
            </w:r>
          </w:p>
        </w:tc>
      </w:tr>
      <w:tr>
        <w:tc>
          <w:tcPr>
            <w:tcW w:type="dxa" w:w="2484"/>
          </w:tcPr>
          <w:p>
            <w:pPr>
              <w:jc w:val="right"/>
              <w:bidi/>
            </w:pPr>
            <w:r>
              <w:rPr>
                <w:rFonts w:ascii="Traditional Arabic" w:hAnsi="Traditional Arabic"/>
                <w:b/>
                <w:color w:val="1A5276"/>
                <w:sz w:val="24"/>
                <w:rFonts w:ascii="Traditional Arabic" w:hAnsi="Traditional Arabic" w:cs="Traditional Arabic"/>
                <w:rtl/>
              </w:rPr>
              <w:t>س 5</w:t>
            </w:r>
          </w:p>
        </w:tc>
        <w:tc>
          <w:tcPr>
            <w:tcW w:type="dxa" w:w="2484"/>
          </w:tcPr>
          <w:p>
            <w:pPr>
              <w:jc w:val="right"/>
              <w:bidi/>
            </w:pPr>
            <w:r>
              <w:rPr>
                <w:rFonts w:ascii="Traditional Arabic" w:hAnsi="Traditional Arabic"/>
                <w:b w:val="0"/>
                <w:color w:val="212121"/>
                <w:sz w:val="22"/>
                <w:rFonts w:ascii="Traditional Arabic" w:hAnsi="Traditional Arabic" w:cs="Traditional Arabic"/>
                <w:rtl/>
              </w:rPr>
              <w:t>اذكر الأثر المترتب على الخلع بالنسبة للمرأة، وكيف يمكن للزوج إعادتها إلى عصمته بعد الخلع حسب النص؟</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تملك المرأة المختلعة نفسها، ولا رجعة للزوج عليها في العدة، ولا يمكن إعادتها إلا بنكاح جديد (أي: بعقد جديد) عليها.</w:t>
              <w:br/>
            </w:r>
            <w:r>
              <w:rPr>
                <w:rFonts w:ascii="Traditional Arabic" w:hAnsi="Traditional Arabic"/>
                <w:b w:val="0"/>
                <w:color w:val="646464"/>
                <w:sz w:val="20"/>
                <w:rFonts w:ascii="Traditional Arabic" w:hAnsi="Traditional Arabic" w:cs="Traditional Arabic"/>
                <w:rtl/>
              </w:rPr>
              <w:t>التوضيح: (وتملك المرأة) المختلعة (به نفسها) أي: يضمها الذي استخلصه بالعوض (ولا رجعة له عليها) في العدة؛ لانقطاع سلطته بالبينونة المانعة من تسلطه على: ضمها (إلا بنكاح) أي: بعقد (جديد) عليها بأركانه وشروطه المتقدم بيانها في موضعه (2).</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3</w:t>
              <w:br/>
              <w:t>مرجع: parent_id_5_4</w:t>
            </w:r>
          </w:p>
        </w:tc>
      </w:tr>
    </w:tbl>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