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</w:tcPr>
          <w:p/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1A5276"/>
                <w:sz w:val="28"/>
                <w:rFonts w:ascii="Traditional Arabic" w:hAnsi="Traditional Arabic" w:cs="Traditional Arabic"/>
                <w:rtl/>
              </w:rPr>
              <w:t>اللغة العربية والدراسات</w:t>
            </w:r>
          </w:p>
        </w:tc>
        <w:tc>
          <w:tcPr>
            <w:tcW w:type="dxa" w:w="3168"/>
          </w:tcPr>
          <w:p/>
        </w:tc>
      </w:tr>
      <w:tr>
        <w:tc>
          <w:tcPr>
            <w:tcW w:type="dxa" w:w="9936"/>
            <w:gridSpan w:val="3"/>
            <w:shd w:fill="F2F4F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212121"/>
                <w:sz w:val="26"/>
                <w:rFonts w:ascii="Traditional Arabic" w:hAnsi="Traditional Arabic" w:cs="Traditional Arabic"/>
                <w:rtl/>
              </w:rPr>
              <w:t>اسم الطالب: ....................................................   الدرجة الكلية: (       / 30 )</w:t>
            </w:r>
          </w:p>
        </w:tc>
      </w:tr>
    </w:tbl>
    <w:p/>
    <w:p>
      <w:pPr>
        <w:jc w:val="center"/>
        <w:bidi/>
      </w:pPr>
      <w:r>
        <w:rPr>
          <w:rFonts w:ascii="Traditional Arabic" w:hAnsi="Traditional Arabic"/>
          <w:b/>
          <w:color w:val="B42828"/>
          <w:sz w:val="30"/>
          <w:rFonts w:ascii="Traditional Arabic" w:hAnsi="Traditional Arabic" w:cs="Traditional Arabic"/>
          <w:rtl/>
        </w:rPr>
        <w:t>--- نموذج الإجابة النموذجي وسلم الدرجات (خاص بالمدرس) ---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رقم السؤال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نص السؤال والخيارات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الإجابة النموذجية وشرحها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الدرجات والمراجع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4"/>
                <w:rFonts w:ascii="Traditional Arabic" w:hAnsi="Traditional Arabic" w:cs="Traditional Arabic"/>
                <w:rtl/>
              </w:rPr>
              <w:t>س 1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ما هو التعريف الشرعي للخلع كما ورد في النص؟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أ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ورد في فقرة 'أولاً: تعريفه.' أن 'شرعاً: فرقة بين الزوجين ولو بلفظ مفاداة بعوض مقصود راجع لجهة الزوج.'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الصفحة 1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4"/>
                <w:rFonts w:ascii="Traditional Arabic" w:hAnsi="Traditional Arabic" w:cs="Traditional Arabic"/>
                <w:rtl/>
              </w:rPr>
              <w:t>س 2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ما هو أول خلع وقع في الإسلام كما ذكر النص؟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ب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في فقرة 'ثالثاً: دليله.' جاء 'والأمر به في خبر البخاري في امرأة ثابت بن قيس بقوله: «اقبل الحديقة وطلقها تطليقة»، وهو أول خلع وقع في الإسلام.'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الصفحة 1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4"/>
                <w:rFonts w:ascii="Traditional Arabic" w:hAnsi="Traditional Arabic" w:cs="Traditional Arabic"/>
                <w:rtl/>
              </w:rPr>
              <w:t>س 3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الخلع جائز على عوض معلوم.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صحيح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نصاً في بداية النص وتحت فقرة 'ثانياً: حكمه.' ذكر: 'والخلع جائز على عوض معلوم.'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الصفحة 1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4"/>
                <w:rFonts w:ascii="Traditional Arabic" w:hAnsi="Traditional Arabic" w:cs="Traditional Arabic"/>
                <w:rtl/>
              </w:rPr>
              <w:t>س 4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سمي الخلع بهذا الاسم لكونه مشتقاً من خلع الثوب، وكأن بمفارقة الزوجين لبعضهما نزع كل منهما لباسه عن الآخر.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صحيح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في فقرة 'أولاً: تعريفه.' ورد: 'وهو لغة: مشتق من خلع الثوب، لأن كلاً من الزوجين لباس للآخر كما قال تعالى: ﴿ هُنَّ لِبَاسٌ لَكُمْ وَأَنْتُمْ لِبَاسٌ لَهُنَّ ﴾، فكأنه بمفارقته نزع لباسه.'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الصفحة 1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4"/>
                <w:rFonts w:ascii="Traditional Arabic" w:hAnsi="Traditional Arabic" w:cs="Traditional Arabic"/>
                <w:rtl/>
              </w:rPr>
              <w:t>س 5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اذكر حكمتي مشروعية الخلع كما وردت في النص.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1- أنه لما جاز أن يملك الزوج الانتفاع بالبضع بعوض، جاز له أن يزيل ذلك الملك بعوض كالشراء والبيع، فالنكاح كالشراء والخلع كالبيع.</w:t>
              <w:br/>
              <w:t>2- وأيضاً فيه دفع الضرر عن المرأة غالباً.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في فقرة 'رابعاً: حكمة مشروعيته.' تم ذكر الحكمة الأولى والثانية بشكل مباشر وصريح.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4</w:t>
              <w:br/>
              <w:t>مرجع: الصفحة 1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