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Malware Analysis Playbook (Updated)</w:t>
      </w:r>
    </w:p>
    <w:p>
      <w:pPr>
        <w:spacing w:after="120"/>
      </w:pPr>
      <w:r>
        <w:t>Table 1: Malware Analysis Methodology and Key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Tools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Expected / Observed Key Findings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1. OSINT &amp; Automated Sandboxing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Querying file hashes to gather threat intelligence, threat scores, and automated behavioral reports.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VirusTotal, Hybrid Analysis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Initial detection rates, community insights, network indicators, sandbox behavioral tagging.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jc w:val="center"/>
            </w:pPr>
            <w:r>
              <w:t>2. String &amp; Obfuscation Analysis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Extracting readable and obfuscated strings to identify embedded artifacts.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FLOSS, Strings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Hardcoded QQ email (3905960807@qq.com), registry paths, file artifacts (e.g., Forever_AES_KEY).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3. Basic Static Analysis &amp; Packer Detection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Identifying architecture, compiler information, and packer status.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Detect It Easy, EXEInfo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64-bit Windows executable, not packed (Entropy: 2.90978), compiled using MSVC.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jc w:val="center"/>
            </w:pPr>
            <w:r>
              <w:t>4. Hex &amp; Raw Data Analysis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Verifying magic bytes and inspecting raw binary structure.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HxD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Valid PE structure confirmed (MZ header 4D 5A, DOS stub intact).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5. Advanced Static Analysis (PE Structure)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Examining PE headers, sections, and imported APIs.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PEStudio, CFF Explorer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Cryptographic APIs, filesystem traversal, UI manipulation (SystemParametersInfoW).</w:t>
            </w:r>
          </w:p>
        </w:tc>
      </w:tr>
      <w:tr>
        <w:tc>
          <w:tcPr>
            <w:tcW w:type="dxa" w:w="2160"/>
            <w:vAlign w:val="center"/>
            <w:shd w:fill="F2F2F2"/>
          </w:tcPr>
          <w:p>
            <w:pPr>
              <w:jc w:val="center"/>
            </w:pPr>
            <w:r>
              <w:t>6. Dynamic Analysis &amp; Behavioral Monitoring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Executing sample in sandbox and monitoring system, registry, and network behavior.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Process Hacker, Process Monitor, FolderChangesView, RegShot, Wireshark, FakeNet / Fake DNS</w:t>
            </w:r>
          </w:p>
        </w:tc>
        <w:tc>
          <w:tcPr>
            <w:tcW w:type="dxa" w:w="2160"/>
            <w:vAlign w:val="center"/>
            <w:shd w:fill="F2F2F2"/>
          </w:tcPr>
          <w:p>
            <w:pPr>
              <w:jc w:val="left"/>
            </w:pPr>
            <w:r>
              <w:t>Ransomware GUI execution, file encryption activity, registry modifications, network traffic simulation, 100k+ system events.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7. Behavioral Graphing &amp; Visualization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Reconstructing execution flow using collected telemetry.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ProcDot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>
              <w:t>Process tree mapping, cmd.exe spawning, temp file creation, registry changes.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