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79E8B" w14:textId="52949C81" w:rsidR="00D02AE4" w:rsidRDefault="00D02AE4" w:rsidP="00367C4E">
      <w:pPr>
        <w:spacing w:line="240" w:lineRule="auto"/>
        <w:rPr>
          <w:rFonts w:asciiTheme="majorBidi" w:hAnsiTheme="majorBidi" w:cstheme="majorBidi"/>
          <w:sz w:val="24"/>
          <w:szCs w:val="24"/>
        </w:rPr>
      </w:pPr>
      <w:r w:rsidRPr="00367C4E">
        <w:rPr>
          <w:rFonts w:asciiTheme="majorBidi" w:hAnsiTheme="majorBidi" w:cstheme="majorBidi"/>
          <w:noProof/>
        </w:rPr>
        <w:drawing>
          <wp:anchor distT="0" distB="0" distL="114300" distR="114300" simplePos="0" relativeHeight="251659264" behindDoc="0" locked="0" layoutInCell="1" hidden="0" allowOverlap="1" wp14:anchorId="24762302" wp14:editId="163D93F3">
            <wp:simplePos x="0" y="0"/>
            <wp:positionH relativeFrom="column">
              <wp:posOffset>6022340</wp:posOffset>
            </wp:positionH>
            <wp:positionV relativeFrom="paragraph">
              <wp:posOffset>53340</wp:posOffset>
            </wp:positionV>
            <wp:extent cx="505460" cy="704850"/>
            <wp:effectExtent l="0" t="0" r="8890" b="0"/>
            <wp:wrapNone/>
            <wp:docPr id="2" name="image1.png" descr="CU LOGO 1"/>
            <wp:cNvGraphicFramePr/>
            <a:graphic xmlns:a="http://schemas.openxmlformats.org/drawingml/2006/main">
              <a:graphicData uri="http://schemas.openxmlformats.org/drawingml/2006/picture">
                <pic:pic xmlns:pic="http://schemas.openxmlformats.org/drawingml/2006/picture">
                  <pic:nvPicPr>
                    <pic:cNvPr id="0" name="image1.png" descr="CU LOGO 1"/>
                    <pic:cNvPicPr preferRelativeResize="0"/>
                  </pic:nvPicPr>
                  <pic:blipFill>
                    <a:blip r:embed="rId5"/>
                    <a:srcRect/>
                    <a:stretch>
                      <a:fillRect/>
                    </a:stretch>
                  </pic:blipFill>
                  <pic:spPr>
                    <a:xfrm>
                      <a:off x="0" y="0"/>
                      <a:ext cx="505460" cy="704850"/>
                    </a:xfrm>
                    <a:prstGeom prst="rect">
                      <a:avLst/>
                    </a:prstGeom>
                    <a:ln/>
                  </pic:spPr>
                </pic:pic>
              </a:graphicData>
            </a:graphic>
          </wp:anchor>
        </w:drawing>
      </w:r>
    </w:p>
    <w:p w14:paraId="283DD8C9" w14:textId="1DD6C01B" w:rsidR="00D02AE4" w:rsidRDefault="00D02AE4" w:rsidP="00367C4E">
      <w:pPr>
        <w:spacing w:line="240" w:lineRule="auto"/>
        <w:rPr>
          <w:rFonts w:asciiTheme="majorBidi" w:hAnsiTheme="majorBidi" w:cstheme="majorBidi"/>
          <w:sz w:val="24"/>
          <w:szCs w:val="24"/>
        </w:rPr>
      </w:pPr>
    </w:p>
    <w:p w14:paraId="16DDBCC2" w14:textId="2997A4CD" w:rsidR="00367C4E" w:rsidRPr="00367C4E" w:rsidRDefault="00367C4E" w:rsidP="00367C4E">
      <w:pPr>
        <w:spacing w:line="240" w:lineRule="auto"/>
        <w:rPr>
          <w:rFonts w:asciiTheme="majorBidi" w:hAnsiTheme="majorBidi" w:cstheme="majorBidi"/>
          <w:sz w:val="24"/>
          <w:szCs w:val="24"/>
        </w:rPr>
      </w:pPr>
      <w:r w:rsidRPr="00367C4E">
        <w:rPr>
          <w:rFonts w:asciiTheme="majorBidi" w:hAnsiTheme="majorBidi" w:cstheme="majorBidi"/>
          <w:sz w:val="24"/>
          <w:szCs w:val="24"/>
        </w:rPr>
        <w:t xml:space="preserve">Cairo University                            </w:t>
      </w:r>
      <w:r w:rsidRPr="00367C4E">
        <w:rPr>
          <w:rFonts w:asciiTheme="majorBidi" w:hAnsiTheme="majorBidi" w:cstheme="majorBidi"/>
          <w:sz w:val="24"/>
          <w:szCs w:val="24"/>
        </w:rPr>
        <w:tab/>
        <w:t xml:space="preserve">Law and Consultation                                         </w:t>
      </w:r>
    </w:p>
    <w:p w14:paraId="539F1FF7" w14:textId="01F7E343" w:rsidR="00367C4E" w:rsidRPr="00367C4E" w:rsidRDefault="00367C4E" w:rsidP="00367C4E">
      <w:pPr>
        <w:spacing w:line="240" w:lineRule="auto"/>
        <w:rPr>
          <w:rFonts w:asciiTheme="majorBidi" w:hAnsiTheme="majorBidi" w:cstheme="majorBidi"/>
          <w:sz w:val="24"/>
          <w:szCs w:val="24"/>
        </w:rPr>
      </w:pPr>
      <w:r w:rsidRPr="00367C4E">
        <w:rPr>
          <w:rFonts w:asciiTheme="majorBidi" w:hAnsiTheme="majorBidi" w:cstheme="majorBidi"/>
          <w:sz w:val="24"/>
          <w:szCs w:val="24"/>
        </w:rPr>
        <w:t xml:space="preserve">Faculty of Engineering                                    </w:t>
      </w:r>
    </w:p>
    <w:p w14:paraId="1A9A1722" w14:textId="77240108" w:rsidR="00367C4E" w:rsidRPr="00367C4E" w:rsidRDefault="00367C4E" w:rsidP="00367C4E">
      <w:pPr>
        <w:jc w:val="center"/>
        <w:rPr>
          <w:rFonts w:asciiTheme="majorBidi" w:hAnsiTheme="majorBidi" w:cstheme="majorBidi"/>
          <w:sz w:val="32"/>
          <w:szCs w:val="32"/>
        </w:rPr>
      </w:pPr>
      <w:r w:rsidRPr="00367C4E">
        <w:rPr>
          <w:rFonts w:asciiTheme="majorBidi" w:hAnsiTheme="majorBidi" w:cstheme="majorBidi"/>
          <w:sz w:val="32"/>
          <w:szCs w:val="32"/>
        </w:rPr>
        <w:t>Benchmark Assignment</w:t>
      </w:r>
    </w:p>
    <w:p w14:paraId="122F3856" w14:textId="77777777" w:rsidR="00367C4E" w:rsidRDefault="00367C4E">
      <w:pPr>
        <w:rPr>
          <w:rFonts w:asciiTheme="majorBidi" w:hAnsiTheme="majorBidi" w:cstheme="majorBidi"/>
          <w:b/>
          <w:bCs/>
          <w:sz w:val="32"/>
          <w:szCs w:val="32"/>
        </w:rPr>
      </w:pPr>
    </w:p>
    <w:p w14:paraId="20F25822" w14:textId="77777777" w:rsidR="00367C4E" w:rsidRDefault="00367C4E">
      <w:pPr>
        <w:rPr>
          <w:rFonts w:asciiTheme="majorBidi" w:hAnsiTheme="majorBidi" w:cstheme="majorBidi"/>
          <w:b/>
          <w:bCs/>
          <w:sz w:val="32"/>
          <w:szCs w:val="32"/>
        </w:rPr>
      </w:pPr>
    </w:p>
    <w:p w14:paraId="07F5F14D" w14:textId="6D2A7DF6" w:rsidR="007B4410" w:rsidRDefault="00367C4E">
      <w:pPr>
        <w:rPr>
          <w:rFonts w:asciiTheme="majorBidi" w:hAnsiTheme="majorBidi" w:cstheme="majorBidi"/>
          <w:sz w:val="32"/>
          <w:szCs w:val="32"/>
        </w:rPr>
      </w:pPr>
      <w:r w:rsidRPr="00367C4E">
        <w:rPr>
          <w:rFonts w:asciiTheme="majorBidi" w:hAnsiTheme="majorBidi" w:cstheme="majorBidi"/>
          <w:sz w:val="32"/>
          <w:szCs w:val="32"/>
        </w:rPr>
        <w:t>Benchmark name:</w:t>
      </w:r>
      <w:r w:rsidRPr="00367C4E">
        <w:rPr>
          <w:rFonts w:asciiTheme="majorBidi" w:hAnsiTheme="majorBidi" w:cstheme="majorBidi"/>
          <w:sz w:val="32"/>
          <w:szCs w:val="32"/>
        </w:rPr>
        <w:tab/>
        <w:t>TPC-H Benchmark</w:t>
      </w:r>
    </w:p>
    <w:p w14:paraId="292815ED" w14:textId="77777777" w:rsidR="00367C4E" w:rsidRPr="00367C4E" w:rsidRDefault="00367C4E">
      <w:pPr>
        <w:rPr>
          <w:rFonts w:asciiTheme="majorBidi" w:hAnsiTheme="majorBidi" w:cstheme="majorBidi"/>
          <w:sz w:val="32"/>
          <w:szCs w:val="32"/>
        </w:rPr>
      </w:pPr>
    </w:p>
    <w:p w14:paraId="3E07F7AB" w14:textId="77777777" w:rsidR="00367C4E" w:rsidRDefault="00367C4E">
      <w:pPr>
        <w:rPr>
          <w:rFonts w:asciiTheme="majorBidi" w:hAnsiTheme="majorBidi" w:cstheme="majorBidi"/>
          <w:sz w:val="24"/>
          <w:szCs w:val="24"/>
        </w:rPr>
      </w:pPr>
      <w:r w:rsidRPr="00367C4E">
        <w:rPr>
          <w:rFonts w:asciiTheme="majorBidi" w:hAnsiTheme="majorBidi" w:cstheme="majorBidi"/>
          <w:sz w:val="32"/>
          <w:szCs w:val="32"/>
        </w:rPr>
        <w:t>Link:</w:t>
      </w:r>
      <w:r w:rsidRPr="00367C4E">
        <w:rPr>
          <w:rFonts w:asciiTheme="majorBidi" w:hAnsiTheme="majorBidi" w:cstheme="majorBidi"/>
          <w:sz w:val="24"/>
          <w:szCs w:val="24"/>
        </w:rPr>
        <w:tab/>
      </w:r>
    </w:p>
    <w:p w14:paraId="05E1EF3E" w14:textId="77777777" w:rsidR="00367C4E" w:rsidRDefault="00367C4E">
      <w:pPr>
        <w:rPr>
          <w:rFonts w:asciiTheme="majorBidi" w:hAnsiTheme="majorBidi" w:cstheme="majorBidi"/>
          <w:sz w:val="24"/>
          <w:szCs w:val="24"/>
        </w:rPr>
      </w:pPr>
    </w:p>
    <w:p w14:paraId="2CBB0827" w14:textId="1B76F7AA" w:rsidR="00367C4E" w:rsidRDefault="00367C4E">
      <w:pPr>
        <w:rPr>
          <w:rFonts w:asciiTheme="majorBidi" w:hAnsiTheme="majorBidi" w:cstheme="majorBidi"/>
          <w:sz w:val="24"/>
          <w:szCs w:val="24"/>
        </w:rPr>
      </w:pPr>
      <w:r>
        <w:rPr>
          <w:rFonts w:asciiTheme="majorBidi" w:hAnsiTheme="majorBidi" w:cstheme="majorBidi"/>
          <w:sz w:val="24"/>
          <w:szCs w:val="24"/>
        </w:rPr>
        <w:t xml:space="preserve">website: </w:t>
      </w:r>
      <w:hyperlink r:id="rId6" w:history="1">
        <w:r w:rsidRPr="00116427">
          <w:rPr>
            <w:rStyle w:val="Hyperlink"/>
            <w:rFonts w:asciiTheme="majorBidi" w:hAnsiTheme="majorBidi" w:cstheme="majorBidi"/>
            <w:sz w:val="24"/>
            <w:szCs w:val="24"/>
          </w:rPr>
          <w:t>https://www.tpc.org/tpch/</w:t>
        </w:r>
      </w:hyperlink>
    </w:p>
    <w:p w14:paraId="05E1AF65" w14:textId="45BFB3EE" w:rsidR="00367C4E" w:rsidRDefault="00367C4E">
      <w:pPr>
        <w:rPr>
          <w:rFonts w:asciiTheme="majorBidi" w:hAnsiTheme="majorBidi" w:cstheme="majorBidi"/>
          <w:sz w:val="24"/>
          <w:szCs w:val="24"/>
        </w:rPr>
      </w:pPr>
      <w:r>
        <w:rPr>
          <w:rFonts w:asciiTheme="majorBidi" w:hAnsiTheme="majorBidi" w:cstheme="majorBidi"/>
          <w:sz w:val="24"/>
          <w:szCs w:val="24"/>
        </w:rPr>
        <w:t xml:space="preserve">Document: </w:t>
      </w:r>
      <w:hyperlink r:id="rId7" w:history="1">
        <w:r w:rsidRPr="00116427">
          <w:rPr>
            <w:rStyle w:val="Hyperlink"/>
            <w:rFonts w:asciiTheme="majorBidi" w:hAnsiTheme="majorBidi" w:cstheme="majorBidi"/>
            <w:sz w:val="24"/>
            <w:szCs w:val="24"/>
          </w:rPr>
          <w:t>https://www.tpc.org/TPC_Documents_Current_Versions/pdf/TPC-H_v3.0.1.pdf</w:t>
        </w:r>
      </w:hyperlink>
    </w:p>
    <w:p w14:paraId="0DEB6577" w14:textId="77777777" w:rsidR="00367C4E" w:rsidRDefault="00367C4E">
      <w:pPr>
        <w:rPr>
          <w:rFonts w:asciiTheme="majorBidi" w:hAnsiTheme="majorBidi" w:cstheme="majorBidi"/>
          <w:sz w:val="24"/>
          <w:szCs w:val="24"/>
        </w:rPr>
      </w:pPr>
    </w:p>
    <w:p w14:paraId="742DEC4E" w14:textId="77777777" w:rsidR="00367C4E" w:rsidRDefault="00367C4E">
      <w:pPr>
        <w:rPr>
          <w:rFonts w:asciiTheme="majorBidi" w:hAnsiTheme="majorBidi" w:cstheme="majorBidi"/>
          <w:sz w:val="24"/>
          <w:szCs w:val="24"/>
        </w:rPr>
      </w:pPr>
    </w:p>
    <w:p w14:paraId="0E2659B3" w14:textId="346E571F" w:rsidR="00367C4E" w:rsidRDefault="00367C4E">
      <w:pPr>
        <w:rPr>
          <w:rFonts w:asciiTheme="majorBidi" w:hAnsiTheme="majorBidi" w:cstheme="majorBidi"/>
          <w:sz w:val="32"/>
          <w:szCs w:val="32"/>
        </w:rPr>
      </w:pPr>
      <w:r w:rsidRPr="00367C4E">
        <w:rPr>
          <w:rFonts w:asciiTheme="majorBidi" w:hAnsiTheme="majorBidi" w:cstheme="majorBidi"/>
          <w:sz w:val="32"/>
          <w:szCs w:val="32"/>
        </w:rPr>
        <w:t>Name:</w:t>
      </w:r>
    </w:p>
    <w:p w14:paraId="7FF21216" w14:textId="7F7DE7E5" w:rsidR="00367C4E" w:rsidRPr="00367C4E" w:rsidRDefault="00367C4E" w:rsidP="00367C4E">
      <w:pPr>
        <w:jc w:val="right"/>
        <w:rPr>
          <w:rFonts w:asciiTheme="majorBidi" w:hAnsiTheme="majorBidi" w:cstheme="majorBidi"/>
          <w:sz w:val="24"/>
          <w:szCs w:val="24"/>
          <w:rtl/>
          <w:lang w:bidi="ar-EG"/>
        </w:rPr>
      </w:pPr>
      <w:r w:rsidRPr="00367C4E">
        <w:rPr>
          <w:rFonts w:asciiTheme="majorBidi" w:hAnsiTheme="majorBidi" w:cstheme="majorBidi" w:hint="cs"/>
          <w:sz w:val="24"/>
          <w:szCs w:val="24"/>
          <w:rtl/>
          <w:lang w:bidi="ar-EG"/>
        </w:rPr>
        <w:t>احمد هانى فاروق توفيق</w:t>
      </w:r>
    </w:p>
    <w:p w14:paraId="6824FB86" w14:textId="63D21FFE" w:rsidR="00367C4E" w:rsidRPr="00367C4E" w:rsidRDefault="00367C4E" w:rsidP="00367C4E">
      <w:pPr>
        <w:rPr>
          <w:rFonts w:asciiTheme="majorBidi" w:hAnsiTheme="majorBidi" w:cstheme="majorBidi"/>
          <w:sz w:val="24"/>
          <w:szCs w:val="24"/>
          <w:lang w:bidi="ar-EG"/>
        </w:rPr>
      </w:pPr>
      <w:r w:rsidRPr="00367C4E">
        <w:rPr>
          <w:rFonts w:asciiTheme="majorBidi" w:hAnsiTheme="majorBidi" w:cstheme="majorBidi"/>
          <w:sz w:val="24"/>
          <w:szCs w:val="24"/>
          <w:lang w:bidi="ar-EG"/>
        </w:rPr>
        <w:t>Ahmed Hany Farouk Tawfik</w:t>
      </w:r>
    </w:p>
    <w:p w14:paraId="30376008" w14:textId="77777777" w:rsidR="00367C4E" w:rsidRDefault="00367C4E" w:rsidP="00367C4E">
      <w:pPr>
        <w:rPr>
          <w:rFonts w:asciiTheme="majorBidi" w:hAnsiTheme="majorBidi" w:cstheme="majorBidi"/>
          <w:sz w:val="32"/>
          <w:szCs w:val="32"/>
          <w:lang w:bidi="ar-EG"/>
        </w:rPr>
      </w:pPr>
    </w:p>
    <w:p w14:paraId="6112FC51" w14:textId="5D65A48B" w:rsidR="00367C4E" w:rsidRDefault="00367C4E" w:rsidP="00367C4E">
      <w:pPr>
        <w:rPr>
          <w:rFonts w:asciiTheme="majorBidi" w:hAnsiTheme="majorBidi" w:cstheme="majorBidi"/>
          <w:sz w:val="32"/>
          <w:szCs w:val="32"/>
          <w:lang w:bidi="ar-EG"/>
        </w:rPr>
      </w:pPr>
      <w:r>
        <w:rPr>
          <w:rFonts w:asciiTheme="majorBidi" w:hAnsiTheme="majorBidi" w:cstheme="majorBidi"/>
          <w:sz w:val="32"/>
          <w:szCs w:val="32"/>
          <w:lang w:bidi="ar-EG"/>
        </w:rPr>
        <w:t>Mail:</w:t>
      </w:r>
    </w:p>
    <w:p w14:paraId="706CEECB" w14:textId="7E703540" w:rsidR="00367C4E" w:rsidRPr="00367C4E" w:rsidRDefault="00000000">
      <w:pPr>
        <w:rPr>
          <w:rFonts w:asciiTheme="majorBidi" w:hAnsiTheme="majorBidi" w:cstheme="majorBidi"/>
          <w:sz w:val="24"/>
          <w:szCs w:val="24"/>
        </w:rPr>
      </w:pPr>
      <w:hyperlink r:id="rId8" w:history="1">
        <w:r w:rsidR="00367C4E" w:rsidRPr="00367C4E">
          <w:rPr>
            <w:rStyle w:val="Hyperlink"/>
            <w:rFonts w:asciiTheme="majorBidi" w:hAnsiTheme="majorBidi" w:cstheme="majorBidi"/>
            <w:sz w:val="24"/>
            <w:szCs w:val="24"/>
          </w:rPr>
          <w:t>ahmed.tawfik011@eng-st.cu.edu.eg</w:t>
        </w:r>
      </w:hyperlink>
    </w:p>
    <w:p w14:paraId="5DBEF3A1" w14:textId="77777777" w:rsidR="00367C4E" w:rsidRDefault="00367C4E">
      <w:pPr>
        <w:rPr>
          <w:rFonts w:asciiTheme="majorBidi" w:hAnsiTheme="majorBidi" w:cstheme="majorBidi"/>
          <w:sz w:val="24"/>
          <w:szCs w:val="24"/>
        </w:rPr>
      </w:pPr>
    </w:p>
    <w:p w14:paraId="24BA12E9" w14:textId="77777777" w:rsidR="00367C4E" w:rsidRDefault="00367C4E">
      <w:pPr>
        <w:rPr>
          <w:rFonts w:asciiTheme="majorBidi" w:hAnsiTheme="majorBidi" w:cstheme="majorBidi"/>
          <w:sz w:val="24"/>
          <w:szCs w:val="24"/>
        </w:rPr>
      </w:pPr>
    </w:p>
    <w:p w14:paraId="349ACC3D" w14:textId="77777777" w:rsidR="00367C4E" w:rsidRDefault="00367C4E">
      <w:pPr>
        <w:rPr>
          <w:rFonts w:asciiTheme="majorBidi" w:hAnsiTheme="majorBidi" w:cstheme="majorBidi"/>
          <w:sz w:val="24"/>
          <w:szCs w:val="24"/>
        </w:rPr>
      </w:pPr>
    </w:p>
    <w:p w14:paraId="526F458B" w14:textId="77777777" w:rsidR="00367C4E" w:rsidRDefault="00367C4E">
      <w:pPr>
        <w:rPr>
          <w:rFonts w:asciiTheme="majorBidi" w:hAnsiTheme="majorBidi" w:cstheme="majorBidi"/>
          <w:sz w:val="24"/>
          <w:szCs w:val="24"/>
        </w:rPr>
      </w:pPr>
    </w:p>
    <w:p w14:paraId="5EF25480" w14:textId="77777777" w:rsidR="00D02AE4" w:rsidRDefault="00D02AE4">
      <w:pPr>
        <w:rPr>
          <w:rFonts w:asciiTheme="majorBidi" w:hAnsiTheme="majorBidi" w:cstheme="majorBidi"/>
          <w:sz w:val="24"/>
          <w:szCs w:val="24"/>
        </w:rPr>
      </w:pPr>
    </w:p>
    <w:p w14:paraId="574255C1" w14:textId="7CED3D18" w:rsidR="00774271" w:rsidRDefault="0062227F" w:rsidP="000A2B69">
      <w:pPr>
        <w:pStyle w:val="ListParagraph"/>
        <w:numPr>
          <w:ilvl w:val="0"/>
          <w:numId w:val="1"/>
        </w:numPr>
        <w:ind w:left="-270"/>
        <w:jc w:val="both"/>
        <w:rPr>
          <w:rFonts w:asciiTheme="majorBidi" w:hAnsiTheme="majorBidi" w:cstheme="majorBidi"/>
          <w:b/>
          <w:bCs/>
          <w:sz w:val="32"/>
          <w:szCs w:val="32"/>
        </w:rPr>
      </w:pPr>
      <w:r w:rsidRPr="003A1734">
        <w:rPr>
          <w:rFonts w:asciiTheme="majorBidi" w:hAnsiTheme="majorBidi" w:cstheme="majorBidi"/>
          <w:b/>
          <w:bCs/>
          <w:sz w:val="32"/>
          <w:szCs w:val="32"/>
        </w:rPr>
        <w:lastRenderedPageBreak/>
        <w:t>Preface</w:t>
      </w:r>
    </w:p>
    <w:p w14:paraId="255D54C3" w14:textId="77777777" w:rsidR="000A2B69" w:rsidRPr="000A2B69" w:rsidRDefault="000A2B69" w:rsidP="000A2B69">
      <w:pPr>
        <w:pStyle w:val="ListParagraph"/>
        <w:ind w:left="-270"/>
        <w:jc w:val="both"/>
        <w:rPr>
          <w:rFonts w:asciiTheme="majorBidi" w:hAnsiTheme="majorBidi" w:cstheme="majorBidi"/>
          <w:b/>
          <w:bCs/>
          <w:sz w:val="24"/>
          <w:szCs w:val="24"/>
        </w:rPr>
      </w:pPr>
    </w:p>
    <w:p w14:paraId="48F25EAC" w14:textId="0D34B477" w:rsidR="0062227F" w:rsidRPr="003A1734" w:rsidRDefault="00C01F82" w:rsidP="000A2B69">
      <w:pPr>
        <w:pStyle w:val="ListParagraph"/>
        <w:ind w:left="-270"/>
        <w:jc w:val="both"/>
        <w:rPr>
          <w:rFonts w:asciiTheme="majorBidi" w:hAnsiTheme="majorBidi" w:cstheme="majorBidi"/>
          <w:sz w:val="24"/>
          <w:szCs w:val="24"/>
        </w:rPr>
      </w:pPr>
      <w:r w:rsidRPr="003A1734">
        <w:rPr>
          <w:rFonts w:asciiTheme="majorBidi" w:hAnsiTheme="majorBidi" w:cstheme="majorBidi"/>
          <w:sz w:val="24"/>
          <w:szCs w:val="24"/>
        </w:rPr>
        <w:t>The TPC-H Benchmark is managed by the Transaction Processing Performance Council (TPC), a non-profit organization dedicated to developing industry-standard benchmarks for evaluating the performance of transaction processing and database systems.</w:t>
      </w:r>
      <w:r w:rsidR="00774271" w:rsidRPr="003A1734">
        <w:rPr>
          <w:rFonts w:asciiTheme="majorBidi" w:hAnsiTheme="majorBidi" w:cstheme="majorBidi"/>
          <w:sz w:val="24"/>
          <w:szCs w:val="24"/>
        </w:rPr>
        <w:t xml:space="preserve"> </w:t>
      </w:r>
      <w:r w:rsidRPr="003A1734">
        <w:rPr>
          <w:rFonts w:asciiTheme="majorBidi" w:hAnsiTheme="majorBidi" w:cstheme="majorBidi"/>
          <w:sz w:val="24"/>
          <w:szCs w:val="24"/>
        </w:rPr>
        <w:t>The TPC-H Benchmark specifically focuses on decision support systems, measuring the performance of database management systems (DBMS) in data warehousing scenarios.</w:t>
      </w:r>
      <w:r w:rsidR="00774271" w:rsidRPr="003A1734">
        <w:rPr>
          <w:rFonts w:asciiTheme="majorBidi" w:hAnsiTheme="majorBidi" w:cstheme="majorBidi"/>
          <w:sz w:val="24"/>
          <w:szCs w:val="24"/>
        </w:rPr>
        <w:t xml:space="preserve"> </w:t>
      </w:r>
      <w:r w:rsidR="00AB23FE" w:rsidRPr="003A1734">
        <w:rPr>
          <w:rFonts w:asciiTheme="majorBidi" w:hAnsiTheme="majorBidi" w:cstheme="majorBidi"/>
          <w:sz w:val="24"/>
          <w:szCs w:val="24"/>
        </w:rPr>
        <w:t>My choice, which is TPC-H, is a benchmark for TPC-H evaluates the performance of various decision support systems by the execution of sets of queries against a standard database under controlled conditions. Moreover</w:t>
      </w:r>
      <w:r w:rsidRPr="003A1734">
        <w:rPr>
          <w:rFonts w:asciiTheme="majorBidi" w:hAnsiTheme="majorBidi" w:cstheme="majorBidi"/>
          <w:sz w:val="24"/>
          <w:szCs w:val="24"/>
        </w:rPr>
        <w:t>, the TPC-H Benchmark is designed to be universally acceptable. To achieve this, all companies participating in the</w:t>
      </w:r>
      <w:r w:rsidR="00774271" w:rsidRPr="003A1734">
        <w:rPr>
          <w:rFonts w:asciiTheme="majorBidi" w:hAnsiTheme="majorBidi" w:cstheme="majorBidi"/>
          <w:sz w:val="24"/>
          <w:szCs w:val="24"/>
        </w:rPr>
        <w:t xml:space="preserve"> </w:t>
      </w:r>
      <w:r w:rsidRPr="003A1734">
        <w:rPr>
          <w:rFonts w:asciiTheme="majorBidi" w:hAnsiTheme="majorBidi" w:cstheme="majorBidi"/>
          <w:sz w:val="24"/>
          <w:szCs w:val="24"/>
        </w:rPr>
        <w:t>benchmarking process must adhere to a set of agreed-upon rules and conditions. This ensures a level playing field where different organizations can confidently compare the performance of their systems without concerns about biases or unfair advantages.</w:t>
      </w:r>
    </w:p>
    <w:p w14:paraId="200BD077" w14:textId="77777777" w:rsidR="00774271" w:rsidRPr="003A1734" w:rsidRDefault="00774271" w:rsidP="000A2B69">
      <w:pPr>
        <w:pStyle w:val="ListParagraph"/>
        <w:ind w:left="-270"/>
        <w:jc w:val="both"/>
        <w:rPr>
          <w:rFonts w:asciiTheme="majorBidi" w:hAnsiTheme="majorBidi" w:cstheme="majorBidi"/>
          <w:sz w:val="24"/>
          <w:szCs w:val="24"/>
        </w:rPr>
      </w:pPr>
    </w:p>
    <w:p w14:paraId="5E479531" w14:textId="3B77FD1B" w:rsidR="0062227F" w:rsidRPr="003A1734" w:rsidRDefault="0062227F" w:rsidP="000A2B69">
      <w:pPr>
        <w:pStyle w:val="ListParagraph"/>
        <w:numPr>
          <w:ilvl w:val="0"/>
          <w:numId w:val="1"/>
        </w:numPr>
        <w:ind w:left="-270"/>
        <w:jc w:val="both"/>
        <w:rPr>
          <w:rFonts w:asciiTheme="majorBidi" w:hAnsiTheme="majorBidi" w:cstheme="majorBidi"/>
          <w:b/>
          <w:bCs/>
          <w:sz w:val="32"/>
          <w:szCs w:val="32"/>
        </w:rPr>
      </w:pPr>
      <w:r w:rsidRPr="003A1734">
        <w:rPr>
          <w:rFonts w:asciiTheme="majorBidi" w:hAnsiTheme="majorBidi" w:cstheme="majorBidi"/>
          <w:b/>
          <w:bCs/>
          <w:sz w:val="32"/>
          <w:szCs w:val="32"/>
        </w:rPr>
        <w:t>Introduction</w:t>
      </w:r>
    </w:p>
    <w:p w14:paraId="2CB3FE3A" w14:textId="20D7BDB9" w:rsidR="00774271" w:rsidRPr="003A1734" w:rsidRDefault="00774271" w:rsidP="000A2B69">
      <w:pPr>
        <w:ind w:left="-270"/>
        <w:jc w:val="both"/>
        <w:rPr>
          <w:rFonts w:asciiTheme="majorBidi" w:hAnsiTheme="majorBidi" w:cstheme="majorBidi"/>
          <w:sz w:val="24"/>
          <w:szCs w:val="24"/>
        </w:rPr>
      </w:pPr>
      <w:r w:rsidRPr="003A1734">
        <w:rPr>
          <w:rFonts w:asciiTheme="majorBidi" w:hAnsiTheme="majorBidi" w:cstheme="majorBidi"/>
          <w:sz w:val="24"/>
          <w:szCs w:val="24"/>
        </w:rPr>
        <w:t>The TPC-H benchmark, conducted by the Transaction Processing Performance Council (TPC), a non-profit organization renowned for defining transaction processing and database benchmarks, serves as a standardized performance measurement tool. This decision support benchmark comprises business-oriented ad-hoc queries and concurrent data modifications chosen for broad industry relevance. The TPC-H benchmark exemplifies decision support systems capable of handling large volumes of data, executing complex queries, and providing critical business insights.</w:t>
      </w:r>
    </w:p>
    <w:p w14:paraId="205D6314" w14:textId="661BA575" w:rsidR="00774271" w:rsidRPr="003A1734" w:rsidRDefault="00774271" w:rsidP="000A2B69">
      <w:pPr>
        <w:ind w:left="-270"/>
        <w:jc w:val="both"/>
        <w:rPr>
          <w:rFonts w:asciiTheme="majorBidi" w:hAnsiTheme="majorBidi" w:cstheme="majorBidi"/>
          <w:sz w:val="24"/>
          <w:szCs w:val="24"/>
        </w:rPr>
      </w:pPr>
      <w:r w:rsidRPr="003A1734">
        <w:rPr>
          <w:rFonts w:asciiTheme="majorBidi" w:hAnsiTheme="majorBidi" w:cstheme="majorBidi"/>
          <w:sz w:val="24"/>
          <w:szCs w:val="24"/>
        </w:rPr>
        <w:t>Originating in the 1980s with a focus on OLTP systems, the TPC evolved to address the surge in Decision Support Systems (DSS) popularity in the 1990s. To adapt to advancements in technology and maintain relevance, the TPC introduced V3.0 of the TPC-H Benchmark. This version continues to be actively used, reflecting the TPC-H benchmark's ongoing applicability and non-obsolescence.</w:t>
      </w:r>
    </w:p>
    <w:p w14:paraId="730CAB96" w14:textId="68EE79E4" w:rsidR="00123F39" w:rsidRDefault="00774271" w:rsidP="000A2B69">
      <w:pPr>
        <w:ind w:left="-270"/>
        <w:jc w:val="both"/>
        <w:rPr>
          <w:rFonts w:asciiTheme="majorBidi" w:hAnsiTheme="majorBidi" w:cstheme="majorBidi"/>
          <w:sz w:val="24"/>
          <w:szCs w:val="24"/>
        </w:rPr>
      </w:pPr>
      <w:r w:rsidRPr="003A1734">
        <w:rPr>
          <w:rFonts w:asciiTheme="majorBidi" w:hAnsiTheme="majorBidi" w:cstheme="majorBidi"/>
          <w:sz w:val="24"/>
          <w:szCs w:val="24"/>
        </w:rPr>
        <w:t>The TPC-H benchmark evaluates performance through the Composite Query-per-Hour Performance Metric (QphH@Size). This metric considers database size, query processing power for single-stream submissions, and query throughput for multiple concurrent users. The benchmark's purpose is paramount — it provides a reliable, industry-standard method for evaluating and comparing the performance of various Database Management Systems (DBMSs) and hardware architectures in a standardized manner.</w:t>
      </w:r>
    </w:p>
    <w:p w14:paraId="7C2E21F7" w14:textId="77777777" w:rsidR="003A1734" w:rsidRPr="003A1734" w:rsidRDefault="003A1734" w:rsidP="000A2B69">
      <w:pPr>
        <w:jc w:val="both"/>
        <w:rPr>
          <w:rFonts w:asciiTheme="majorBidi" w:hAnsiTheme="majorBidi" w:cstheme="majorBidi"/>
          <w:sz w:val="24"/>
          <w:szCs w:val="24"/>
        </w:rPr>
      </w:pPr>
    </w:p>
    <w:p w14:paraId="32FA7827" w14:textId="25164193" w:rsidR="00327217" w:rsidRDefault="0062227F" w:rsidP="000A2B69">
      <w:pPr>
        <w:pStyle w:val="ListParagraph"/>
        <w:numPr>
          <w:ilvl w:val="0"/>
          <w:numId w:val="1"/>
        </w:numPr>
        <w:ind w:left="-270"/>
        <w:jc w:val="both"/>
        <w:rPr>
          <w:rFonts w:asciiTheme="majorBidi" w:hAnsiTheme="majorBidi" w:cstheme="majorBidi"/>
          <w:b/>
          <w:bCs/>
          <w:sz w:val="32"/>
          <w:szCs w:val="32"/>
        </w:rPr>
      </w:pPr>
      <w:r w:rsidRPr="003A1734">
        <w:rPr>
          <w:rFonts w:asciiTheme="majorBidi" w:hAnsiTheme="majorBidi" w:cstheme="majorBidi"/>
          <w:b/>
          <w:bCs/>
          <w:sz w:val="32"/>
          <w:szCs w:val="32"/>
        </w:rPr>
        <w:t>Benchmark Methodology</w:t>
      </w:r>
    </w:p>
    <w:p w14:paraId="2BB86F13" w14:textId="77777777" w:rsidR="007420FF" w:rsidRPr="007420FF" w:rsidRDefault="007420FF" w:rsidP="000A2B69">
      <w:pPr>
        <w:pStyle w:val="ListParagraph"/>
        <w:ind w:left="-270"/>
        <w:jc w:val="both"/>
        <w:rPr>
          <w:rFonts w:asciiTheme="majorBidi" w:hAnsiTheme="majorBidi" w:cstheme="majorBidi"/>
          <w:b/>
          <w:bCs/>
          <w:sz w:val="32"/>
          <w:szCs w:val="32"/>
        </w:rPr>
      </w:pPr>
    </w:p>
    <w:p w14:paraId="4990613F" w14:textId="533C2295" w:rsidR="003A1734" w:rsidRPr="003A1734" w:rsidRDefault="003A1734" w:rsidP="000A2B69">
      <w:pPr>
        <w:pStyle w:val="ListParagraph"/>
        <w:ind w:left="-270"/>
        <w:jc w:val="both"/>
        <w:rPr>
          <w:rFonts w:asciiTheme="majorBidi" w:hAnsiTheme="majorBidi" w:cstheme="majorBidi"/>
          <w:sz w:val="24"/>
          <w:szCs w:val="24"/>
        </w:rPr>
      </w:pPr>
      <w:r w:rsidRPr="003A1734">
        <w:rPr>
          <w:rFonts w:asciiTheme="majorBidi" w:hAnsiTheme="majorBidi" w:cstheme="majorBidi"/>
          <w:b/>
          <w:bCs/>
          <w:sz w:val="24"/>
          <w:szCs w:val="24"/>
        </w:rPr>
        <w:t>Benchmark Execution:</w:t>
      </w:r>
    </w:p>
    <w:p w14:paraId="7FBECDB1" w14:textId="58E6462C" w:rsidR="003A1734" w:rsidRPr="007420FF" w:rsidRDefault="003A1734" w:rsidP="000A2B69">
      <w:pPr>
        <w:jc w:val="both"/>
        <w:rPr>
          <w:rFonts w:asciiTheme="majorBidi" w:hAnsiTheme="majorBidi" w:cstheme="majorBidi"/>
          <w:sz w:val="24"/>
          <w:szCs w:val="24"/>
        </w:rPr>
      </w:pPr>
      <w:r w:rsidRPr="007420FF">
        <w:rPr>
          <w:rFonts w:asciiTheme="majorBidi" w:hAnsiTheme="majorBidi" w:cstheme="majorBidi"/>
          <w:sz w:val="24"/>
          <w:szCs w:val="24"/>
        </w:rPr>
        <w:t>TPC-H employs crafted ad-hoc queries and concurrent data modifications to replicate real-world decision support workloads. The benchmark assesses system performance by measuring the number of queries executed per hour (QphH).</w:t>
      </w:r>
    </w:p>
    <w:p w14:paraId="7CDFFD97" w14:textId="11CC7BD9" w:rsidR="003A1734" w:rsidRPr="003A1734" w:rsidRDefault="003A1734" w:rsidP="000A2B69">
      <w:pPr>
        <w:pStyle w:val="ListParagraph"/>
        <w:ind w:left="-270"/>
        <w:jc w:val="both"/>
        <w:rPr>
          <w:rFonts w:asciiTheme="majorBidi" w:hAnsiTheme="majorBidi" w:cstheme="majorBidi"/>
          <w:sz w:val="24"/>
          <w:szCs w:val="24"/>
        </w:rPr>
      </w:pPr>
      <w:r w:rsidRPr="003A1734">
        <w:rPr>
          <w:rFonts w:asciiTheme="majorBidi" w:hAnsiTheme="majorBidi" w:cstheme="majorBidi"/>
          <w:b/>
          <w:bCs/>
          <w:sz w:val="24"/>
          <w:szCs w:val="24"/>
        </w:rPr>
        <w:lastRenderedPageBreak/>
        <w:t>Query Structure and Database Schema:</w:t>
      </w:r>
    </w:p>
    <w:p w14:paraId="38107800" w14:textId="1D02A2B7" w:rsidR="003A1734" w:rsidRPr="007420FF" w:rsidRDefault="003A1734" w:rsidP="000A2B69">
      <w:pPr>
        <w:jc w:val="both"/>
        <w:rPr>
          <w:rFonts w:asciiTheme="majorBidi" w:hAnsiTheme="majorBidi" w:cstheme="majorBidi"/>
          <w:sz w:val="24"/>
          <w:szCs w:val="24"/>
        </w:rPr>
      </w:pPr>
      <w:r w:rsidRPr="007420FF">
        <w:rPr>
          <w:rFonts w:asciiTheme="majorBidi" w:hAnsiTheme="majorBidi" w:cstheme="majorBidi"/>
          <w:sz w:val="24"/>
          <w:szCs w:val="24"/>
        </w:rPr>
        <w:t>TPC-H queries are intricate and business-oriented, tailored to the demands of decision support systems. The benchmark utilizes a predefined and standardized database schema, ensuring consistency across diverse systems.</w:t>
      </w:r>
    </w:p>
    <w:p w14:paraId="6AD87270" w14:textId="759E536E" w:rsidR="003A1734" w:rsidRPr="003A1734" w:rsidRDefault="003A1734" w:rsidP="000A2B69">
      <w:pPr>
        <w:pStyle w:val="ListParagraph"/>
        <w:ind w:left="-270"/>
        <w:jc w:val="both"/>
        <w:rPr>
          <w:rFonts w:asciiTheme="majorBidi" w:hAnsiTheme="majorBidi" w:cstheme="majorBidi"/>
          <w:sz w:val="24"/>
          <w:szCs w:val="24"/>
        </w:rPr>
      </w:pPr>
      <w:r w:rsidRPr="003A1734">
        <w:rPr>
          <w:rFonts w:asciiTheme="majorBidi" w:hAnsiTheme="majorBidi" w:cstheme="majorBidi"/>
          <w:b/>
          <w:bCs/>
          <w:sz w:val="24"/>
          <w:szCs w:val="24"/>
        </w:rPr>
        <w:t>Algorithmic Overview:</w:t>
      </w:r>
    </w:p>
    <w:p w14:paraId="3A0E711B" w14:textId="77777777" w:rsidR="00BA5E8B" w:rsidRPr="00BA5E8B" w:rsidRDefault="00BA5E8B" w:rsidP="000A2B69">
      <w:pPr>
        <w:pStyle w:val="ListParagraph"/>
        <w:ind w:left="-270"/>
        <w:jc w:val="both"/>
        <w:rPr>
          <w:rFonts w:asciiTheme="majorBidi" w:hAnsiTheme="majorBidi" w:cstheme="majorBidi"/>
          <w:sz w:val="24"/>
          <w:szCs w:val="24"/>
        </w:rPr>
      </w:pPr>
    </w:p>
    <w:p w14:paraId="5715FC50" w14:textId="6B1970C2" w:rsidR="00BA5E8B" w:rsidRPr="00BA5E8B" w:rsidRDefault="00BA5E8B" w:rsidP="000A2B69">
      <w:pPr>
        <w:pStyle w:val="ListParagraph"/>
        <w:numPr>
          <w:ilvl w:val="0"/>
          <w:numId w:val="16"/>
        </w:numPr>
        <w:jc w:val="both"/>
        <w:rPr>
          <w:rFonts w:asciiTheme="majorBidi" w:hAnsiTheme="majorBidi" w:cstheme="majorBidi"/>
          <w:sz w:val="24"/>
          <w:szCs w:val="24"/>
        </w:rPr>
      </w:pPr>
      <w:r w:rsidRPr="00BA5E8B">
        <w:rPr>
          <w:rFonts w:asciiTheme="majorBidi" w:hAnsiTheme="majorBidi" w:cstheme="majorBidi"/>
          <w:sz w:val="24"/>
          <w:szCs w:val="24"/>
        </w:rPr>
        <w:t>Database Population: The first step in the TPC-H benchmark involves populating the database with a synthetic dataset generated by the DBGEN data generation program.</w:t>
      </w:r>
    </w:p>
    <w:p w14:paraId="017D6B4C" w14:textId="77777777" w:rsidR="00BA5E8B" w:rsidRPr="00BA5E8B" w:rsidRDefault="00BA5E8B" w:rsidP="000A2B69">
      <w:pPr>
        <w:pStyle w:val="ListParagraph"/>
        <w:ind w:left="-270"/>
        <w:jc w:val="both"/>
        <w:rPr>
          <w:rFonts w:asciiTheme="majorBidi" w:hAnsiTheme="majorBidi" w:cstheme="majorBidi"/>
          <w:sz w:val="24"/>
          <w:szCs w:val="24"/>
        </w:rPr>
      </w:pPr>
    </w:p>
    <w:p w14:paraId="4389FB1B" w14:textId="4E135025" w:rsidR="00BA5E8B" w:rsidRPr="00BA5E8B" w:rsidRDefault="00BA5E8B" w:rsidP="000A2B69">
      <w:pPr>
        <w:pStyle w:val="ListParagraph"/>
        <w:numPr>
          <w:ilvl w:val="0"/>
          <w:numId w:val="16"/>
        </w:numPr>
        <w:jc w:val="both"/>
        <w:rPr>
          <w:rFonts w:asciiTheme="majorBidi" w:hAnsiTheme="majorBidi" w:cstheme="majorBidi"/>
          <w:sz w:val="24"/>
          <w:szCs w:val="24"/>
        </w:rPr>
      </w:pPr>
      <w:r w:rsidRPr="00BA5E8B">
        <w:rPr>
          <w:rFonts w:asciiTheme="majorBidi" w:hAnsiTheme="majorBidi" w:cstheme="majorBidi"/>
          <w:sz w:val="24"/>
          <w:szCs w:val="24"/>
        </w:rPr>
        <w:t xml:space="preserve">Query Execution: The benchmark consists of executing a suite of </w:t>
      </w:r>
      <w:r w:rsidR="00DB2436" w:rsidRPr="00BA5E8B">
        <w:rPr>
          <w:rFonts w:asciiTheme="majorBidi" w:hAnsiTheme="majorBidi" w:cstheme="majorBidi"/>
          <w:sz w:val="24"/>
          <w:szCs w:val="24"/>
        </w:rPr>
        <w:t>twenty-two</w:t>
      </w:r>
      <w:r w:rsidR="00DB2436">
        <w:rPr>
          <w:rFonts w:asciiTheme="majorBidi" w:hAnsiTheme="majorBidi" w:cstheme="majorBidi"/>
          <w:sz w:val="24"/>
          <w:szCs w:val="24"/>
        </w:rPr>
        <w:t xml:space="preserve"> (22)</w:t>
      </w:r>
      <w:r w:rsidRPr="00BA5E8B">
        <w:rPr>
          <w:rFonts w:asciiTheme="majorBidi" w:hAnsiTheme="majorBidi" w:cstheme="majorBidi"/>
          <w:sz w:val="24"/>
          <w:szCs w:val="24"/>
        </w:rPr>
        <w:t xml:space="preserve"> complex queries against the populated database. These queries are designed to represent real-world business questions.</w:t>
      </w:r>
    </w:p>
    <w:p w14:paraId="1F731301" w14:textId="77777777" w:rsidR="00BA5E8B" w:rsidRPr="00BA5E8B" w:rsidRDefault="00BA5E8B" w:rsidP="000A2B69">
      <w:pPr>
        <w:pStyle w:val="ListParagraph"/>
        <w:ind w:left="-270"/>
        <w:jc w:val="both"/>
        <w:rPr>
          <w:rFonts w:asciiTheme="majorBidi" w:hAnsiTheme="majorBidi" w:cstheme="majorBidi"/>
          <w:sz w:val="24"/>
          <w:szCs w:val="24"/>
        </w:rPr>
      </w:pPr>
    </w:p>
    <w:p w14:paraId="1CACC44A" w14:textId="4A07AA1A" w:rsidR="00BA5E8B" w:rsidRPr="00BA5E8B" w:rsidRDefault="00BA5E8B" w:rsidP="000A2B69">
      <w:pPr>
        <w:pStyle w:val="ListParagraph"/>
        <w:numPr>
          <w:ilvl w:val="0"/>
          <w:numId w:val="16"/>
        </w:numPr>
        <w:jc w:val="both"/>
        <w:rPr>
          <w:rFonts w:asciiTheme="majorBidi" w:hAnsiTheme="majorBidi" w:cstheme="majorBidi"/>
          <w:sz w:val="24"/>
          <w:szCs w:val="24"/>
        </w:rPr>
      </w:pPr>
      <w:r w:rsidRPr="00BA5E8B">
        <w:rPr>
          <w:rFonts w:asciiTheme="majorBidi" w:hAnsiTheme="majorBidi" w:cstheme="majorBidi"/>
          <w:sz w:val="24"/>
          <w:szCs w:val="24"/>
        </w:rPr>
        <w:t>Data Modification: In addition to the queries, the benchmark includes two concurrent data modification operations, or “refresh functions,” which insert and delete data from the database.</w:t>
      </w:r>
    </w:p>
    <w:p w14:paraId="2AF303D4" w14:textId="77777777" w:rsidR="00BA5E8B" w:rsidRPr="00BA5E8B" w:rsidRDefault="00BA5E8B" w:rsidP="000A2B69">
      <w:pPr>
        <w:pStyle w:val="ListParagraph"/>
        <w:ind w:left="-270"/>
        <w:jc w:val="both"/>
        <w:rPr>
          <w:rFonts w:asciiTheme="majorBidi" w:hAnsiTheme="majorBidi" w:cstheme="majorBidi"/>
          <w:sz w:val="24"/>
          <w:szCs w:val="24"/>
        </w:rPr>
      </w:pPr>
    </w:p>
    <w:p w14:paraId="47E6B7A7" w14:textId="0C44113A" w:rsidR="00BA5E8B" w:rsidRPr="00BA5E8B" w:rsidRDefault="00BA5E8B" w:rsidP="000A2B69">
      <w:pPr>
        <w:pStyle w:val="ListParagraph"/>
        <w:numPr>
          <w:ilvl w:val="0"/>
          <w:numId w:val="16"/>
        </w:numPr>
        <w:jc w:val="both"/>
        <w:rPr>
          <w:rFonts w:asciiTheme="majorBidi" w:hAnsiTheme="majorBidi" w:cstheme="majorBidi"/>
          <w:sz w:val="24"/>
          <w:szCs w:val="24"/>
        </w:rPr>
      </w:pPr>
      <w:r w:rsidRPr="00BA5E8B">
        <w:rPr>
          <w:rFonts w:asciiTheme="majorBidi" w:hAnsiTheme="majorBidi" w:cstheme="majorBidi"/>
          <w:sz w:val="24"/>
          <w:szCs w:val="24"/>
        </w:rPr>
        <w:t>Performance Measurement: The performance of a system under the TPC-H benchmark is measured using the TPC-H Composite Query-per-Hour Performance Metric (QphH@Size). This metric reflects multiple aspects of the system’s ability to process queries, including the selected database size against which the queries are executed, the query processing power when queries are submitted by a single stream, and the query throughput when queries are submitted by multiple concurrent users.</w:t>
      </w:r>
    </w:p>
    <w:p w14:paraId="79206120" w14:textId="77777777" w:rsidR="00BA5E8B" w:rsidRPr="00BA5E8B" w:rsidRDefault="00BA5E8B" w:rsidP="000A2B69">
      <w:pPr>
        <w:pStyle w:val="ListParagraph"/>
        <w:ind w:left="-270"/>
        <w:jc w:val="both"/>
        <w:rPr>
          <w:rFonts w:asciiTheme="majorBidi" w:hAnsiTheme="majorBidi" w:cstheme="majorBidi"/>
          <w:sz w:val="24"/>
          <w:szCs w:val="24"/>
        </w:rPr>
      </w:pPr>
    </w:p>
    <w:p w14:paraId="2DC5E2EA" w14:textId="2FF19FC3" w:rsidR="00BA5E8B" w:rsidRDefault="00BA5E8B" w:rsidP="000A2B69">
      <w:pPr>
        <w:pStyle w:val="ListParagraph"/>
        <w:numPr>
          <w:ilvl w:val="0"/>
          <w:numId w:val="16"/>
        </w:numPr>
        <w:jc w:val="both"/>
        <w:rPr>
          <w:rFonts w:asciiTheme="majorBidi" w:hAnsiTheme="majorBidi" w:cstheme="majorBidi"/>
          <w:b/>
          <w:bCs/>
          <w:sz w:val="24"/>
          <w:szCs w:val="24"/>
        </w:rPr>
      </w:pPr>
      <w:r w:rsidRPr="00BA5E8B">
        <w:rPr>
          <w:rFonts w:asciiTheme="majorBidi" w:hAnsiTheme="majorBidi" w:cstheme="majorBidi"/>
          <w:sz w:val="24"/>
          <w:szCs w:val="24"/>
        </w:rPr>
        <w:t>Result Reporting: The results of the benchmark are reported in terms of the QphH@Size metric and the TPC-H Price/Performance metric. The latter is expressed as Price/QphH@Size for Version 2 and Price/kQphH@Size for Version 31.</w:t>
      </w:r>
      <w:r w:rsidRPr="00BA5E8B">
        <w:rPr>
          <w:rFonts w:asciiTheme="majorBidi" w:hAnsiTheme="majorBidi" w:cstheme="majorBidi"/>
          <w:b/>
          <w:bCs/>
          <w:sz w:val="24"/>
          <w:szCs w:val="24"/>
        </w:rPr>
        <w:t xml:space="preserve"> </w:t>
      </w:r>
    </w:p>
    <w:p w14:paraId="0B4C2776" w14:textId="77777777" w:rsidR="00361200" w:rsidRDefault="00361200" w:rsidP="000A2B69">
      <w:pPr>
        <w:pStyle w:val="ListParagraph"/>
        <w:ind w:left="-270"/>
        <w:jc w:val="both"/>
        <w:rPr>
          <w:rFonts w:asciiTheme="majorBidi" w:hAnsiTheme="majorBidi" w:cstheme="majorBidi"/>
          <w:b/>
          <w:bCs/>
          <w:sz w:val="24"/>
          <w:szCs w:val="24"/>
        </w:rPr>
      </w:pPr>
    </w:p>
    <w:p w14:paraId="1A6DF8F6" w14:textId="0F92BC3D" w:rsidR="003A1734" w:rsidRPr="003A1734" w:rsidRDefault="003A1734" w:rsidP="000A2B69">
      <w:pPr>
        <w:pStyle w:val="ListParagraph"/>
        <w:ind w:left="-270"/>
        <w:jc w:val="both"/>
        <w:rPr>
          <w:rFonts w:asciiTheme="majorBidi" w:hAnsiTheme="majorBidi" w:cstheme="majorBidi"/>
          <w:sz w:val="24"/>
          <w:szCs w:val="24"/>
        </w:rPr>
      </w:pPr>
      <w:r w:rsidRPr="003A1734">
        <w:rPr>
          <w:rFonts w:asciiTheme="majorBidi" w:hAnsiTheme="majorBidi" w:cstheme="majorBidi"/>
          <w:b/>
          <w:bCs/>
          <w:sz w:val="24"/>
          <w:szCs w:val="24"/>
        </w:rPr>
        <w:t>Hardware Configuration:</w:t>
      </w:r>
    </w:p>
    <w:p w14:paraId="07F4AE2B" w14:textId="40820439" w:rsidR="003A1734" w:rsidRPr="007420FF" w:rsidRDefault="003A1734" w:rsidP="000A2B69">
      <w:pPr>
        <w:jc w:val="both"/>
        <w:rPr>
          <w:rFonts w:asciiTheme="majorBidi" w:hAnsiTheme="majorBidi" w:cstheme="majorBidi"/>
          <w:sz w:val="24"/>
          <w:szCs w:val="24"/>
        </w:rPr>
      </w:pPr>
      <w:r w:rsidRPr="007420FF">
        <w:rPr>
          <w:rFonts w:asciiTheme="majorBidi" w:hAnsiTheme="majorBidi" w:cstheme="majorBidi"/>
          <w:sz w:val="24"/>
          <w:szCs w:val="24"/>
        </w:rPr>
        <w:t>TPC-H avoids specifying a fixed hardware configuration but mandates public disclosure. Transparency in hardware specifications, including processors, memory, storage, and network architecture, ensures interpretable and comparable benchmark results.</w:t>
      </w:r>
    </w:p>
    <w:p w14:paraId="560F8637" w14:textId="7029C2C6" w:rsidR="003A1734" w:rsidRPr="003A1734" w:rsidRDefault="003A1734" w:rsidP="000A2B69">
      <w:pPr>
        <w:pStyle w:val="ListParagraph"/>
        <w:ind w:left="-270"/>
        <w:jc w:val="both"/>
        <w:rPr>
          <w:rFonts w:asciiTheme="majorBidi" w:hAnsiTheme="majorBidi" w:cstheme="majorBidi"/>
          <w:sz w:val="24"/>
          <w:szCs w:val="24"/>
        </w:rPr>
      </w:pPr>
      <w:r w:rsidRPr="003A1734">
        <w:rPr>
          <w:rFonts w:asciiTheme="majorBidi" w:hAnsiTheme="majorBidi" w:cstheme="majorBidi"/>
          <w:b/>
          <w:bCs/>
          <w:sz w:val="24"/>
          <w:szCs w:val="24"/>
        </w:rPr>
        <w:t>Execution Workflow:</w:t>
      </w:r>
    </w:p>
    <w:p w14:paraId="2C9CCA51" w14:textId="0CEF9F3C" w:rsidR="003A1734" w:rsidRPr="007420FF" w:rsidRDefault="003A1734" w:rsidP="000A2B69">
      <w:pPr>
        <w:jc w:val="both"/>
        <w:rPr>
          <w:rFonts w:asciiTheme="majorBidi" w:hAnsiTheme="majorBidi" w:cstheme="majorBidi"/>
          <w:sz w:val="24"/>
          <w:szCs w:val="24"/>
        </w:rPr>
      </w:pPr>
      <w:r w:rsidRPr="007420FF">
        <w:rPr>
          <w:rFonts w:asciiTheme="majorBidi" w:hAnsiTheme="majorBidi" w:cstheme="majorBidi"/>
          <w:sz w:val="24"/>
          <w:szCs w:val="24"/>
        </w:rPr>
        <w:t>TPC-H queries are executed sequentially, simulating a decision support workload. The benchmark measures response time for each query and calculates throughput in queries per hour. Concurrent data modifications, simulating updates, assess the system's capability for simultaneous read and write operations.</w:t>
      </w:r>
    </w:p>
    <w:p w14:paraId="053DD9CE" w14:textId="2A215DAA" w:rsidR="0062227F" w:rsidRPr="003A1734" w:rsidRDefault="007420FF" w:rsidP="000A2B69">
      <w:pPr>
        <w:pStyle w:val="ListParagraph"/>
        <w:ind w:left="-270"/>
        <w:jc w:val="both"/>
        <w:rPr>
          <w:rFonts w:asciiTheme="majorBidi" w:hAnsiTheme="majorBidi" w:cstheme="majorBidi"/>
          <w:sz w:val="24"/>
          <w:szCs w:val="24"/>
        </w:rPr>
      </w:pPr>
      <w:r w:rsidRPr="003A1734">
        <w:rPr>
          <w:rFonts w:asciiTheme="majorBidi" w:hAnsiTheme="majorBidi" w:cstheme="majorBidi"/>
          <w:b/>
          <w:bCs/>
          <w:noProof/>
          <w:sz w:val="24"/>
          <w:szCs w:val="24"/>
        </w:rPr>
        <w:lastRenderedPageBreak/>
        <w:drawing>
          <wp:inline distT="0" distB="0" distL="0" distR="0" wp14:anchorId="13082A52" wp14:editId="3CA95E00">
            <wp:extent cx="2247227" cy="2849880"/>
            <wp:effectExtent l="0" t="0" r="1270" b="7620"/>
            <wp:docPr id="1858253589"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253589" name="Picture 1" descr="A diagram of a business process&#10;&#10;Description automatically generated"/>
                    <pic:cNvPicPr/>
                  </pic:nvPicPr>
                  <pic:blipFill rotWithShape="1">
                    <a:blip r:embed="rId9">
                      <a:extLst>
                        <a:ext uri="{28A0092B-C50C-407E-A947-70E740481C1C}">
                          <a14:useLocalDpi xmlns:a14="http://schemas.microsoft.com/office/drawing/2010/main" val="0"/>
                        </a:ext>
                      </a:extLst>
                    </a:blip>
                    <a:srcRect l="6925" t="1" r="4433" b="2404"/>
                    <a:stretch/>
                  </pic:blipFill>
                  <pic:spPr bwMode="auto">
                    <a:xfrm>
                      <a:off x="0" y="0"/>
                      <a:ext cx="2282395" cy="2894480"/>
                    </a:xfrm>
                    <a:prstGeom prst="rect">
                      <a:avLst/>
                    </a:prstGeom>
                    <a:ln>
                      <a:noFill/>
                    </a:ln>
                    <a:extLst>
                      <a:ext uri="{53640926-AAD7-44D8-BBD7-CCE9431645EC}">
                        <a14:shadowObscured xmlns:a14="http://schemas.microsoft.com/office/drawing/2010/main"/>
                      </a:ext>
                    </a:extLst>
                  </pic:spPr>
                </pic:pic>
              </a:graphicData>
            </a:graphic>
          </wp:inline>
        </w:drawing>
      </w:r>
      <w:r w:rsidR="00BA5E8B" w:rsidRPr="00BA5E8B">
        <w:t xml:space="preserve"> </w:t>
      </w:r>
      <w:r w:rsidR="00BA5E8B">
        <w:rPr>
          <w:noProof/>
        </w:rPr>
        <w:drawing>
          <wp:inline distT="0" distB="0" distL="0" distR="0" wp14:anchorId="027FC061" wp14:editId="55F674C1">
            <wp:extent cx="3459480" cy="3473862"/>
            <wp:effectExtent l="0" t="0" r="7620" b="0"/>
            <wp:docPr id="1357732365" name="Picture 1" descr="Schema for TPC-H benchmark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for TPC-H benchmark da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1503" cy="3526101"/>
                    </a:xfrm>
                    <a:prstGeom prst="rect">
                      <a:avLst/>
                    </a:prstGeom>
                    <a:noFill/>
                    <a:ln>
                      <a:noFill/>
                    </a:ln>
                  </pic:spPr>
                </pic:pic>
              </a:graphicData>
            </a:graphic>
          </wp:inline>
        </w:drawing>
      </w:r>
    </w:p>
    <w:p w14:paraId="1E1DC988" w14:textId="0E8F55FC" w:rsidR="004E3B14" w:rsidRPr="003A1734" w:rsidRDefault="004E3B14" w:rsidP="000A2B69">
      <w:pPr>
        <w:pStyle w:val="ListParagraph"/>
        <w:ind w:left="-270"/>
        <w:jc w:val="both"/>
        <w:rPr>
          <w:rFonts w:asciiTheme="majorBidi" w:hAnsiTheme="majorBidi" w:cstheme="majorBidi"/>
          <w:sz w:val="24"/>
          <w:szCs w:val="24"/>
        </w:rPr>
      </w:pPr>
    </w:p>
    <w:p w14:paraId="7105320A" w14:textId="705248C7" w:rsidR="0062227F" w:rsidRPr="000A2B69" w:rsidRDefault="0062227F" w:rsidP="000A2B69">
      <w:pPr>
        <w:pStyle w:val="ListParagraph"/>
        <w:numPr>
          <w:ilvl w:val="0"/>
          <w:numId w:val="1"/>
        </w:numPr>
        <w:ind w:left="-270"/>
        <w:jc w:val="both"/>
        <w:rPr>
          <w:rFonts w:asciiTheme="majorBidi" w:hAnsiTheme="majorBidi" w:cstheme="majorBidi"/>
          <w:b/>
          <w:bCs/>
          <w:sz w:val="32"/>
          <w:szCs w:val="32"/>
        </w:rPr>
      </w:pPr>
      <w:r w:rsidRPr="003A1734">
        <w:rPr>
          <w:rFonts w:asciiTheme="majorBidi" w:hAnsiTheme="majorBidi" w:cstheme="majorBidi"/>
          <w:b/>
          <w:bCs/>
          <w:sz w:val="32"/>
          <w:szCs w:val="32"/>
        </w:rPr>
        <w:t>SAMPLE RESULTS</w:t>
      </w:r>
    </w:p>
    <w:p w14:paraId="2782C392" w14:textId="7189A808" w:rsidR="00327217" w:rsidRPr="00874D8C" w:rsidRDefault="00327217" w:rsidP="000A2B69">
      <w:pPr>
        <w:pStyle w:val="NormalWeb"/>
        <w:ind w:left="-270"/>
        <w:jc w:val="both"/>
      </w:pPr>
      <w:r w:rsidRPr="00874D8C">
        <w:rPr>
          <w:rStyle w:val="Strong"/>
          <w:color w:val="000000"/>
        </w:rPr>
        <w:t xml:space="preserve">100 </w:t>
      </w:r>
      <w:r w:rsidRPr="00874D8C">
        <w:rPr>
          <w:rStyle w:val="Strong"/>
        </w:rPr>
        <w:t>GB Results</w:t>
      </w:r>
    </w:p>
    <w:p w14:paraId="5E958896" w14:textId="33A23E56" w:rsidR="00327217" w:rsidRPr="00874D8C" w:rsidRDefault="00000000" w:rsidP="000A2B69">
      <w:pPr>
        <w:spacing w:before="100" w:beforeAutospacing="1" w:after="100" w:afterAutospacing="1" w:line="240" w:lineRule="auto"/>
        <w:jc w:val="both"/>
        <w:rPr>
          <w:sz w:val="24"/>
          <w:szCs w:val="24"/>
        </w:rPr>
      </w:pPr>
      <w:hyperlink r:id="rId11" w:tgtFrame="_blank" w:history="1">
        <w:r w:rsidR="00327217" w:rsidRPr="00874D8C">
          <w:rPr>
            <w:rStyle w:val="Strong"/>
            <w:sz w:val="24"/>
            <w:szCs w:val="24"/>
          </w:rPr>
          <w:t>KTNF KR580S1</w:t>
        </w:r>
        <w:r w:rsidR="00327217" w:rsidRPr="00874D8C">
          <w:rPr>
            <w:rStyle w:val="Hyperlink"/>
            <w:color w:val="auto"/>
            <w:sz w:val="24"/>
            <w:szCs w:val="24"/>
            <w:u w:val="none"/>
          </w:rPr>
          <w:t>: QphH = 43,903, Price/kQphH = 1,567,768.70 KRW, System Availability = 02/16/21, Database = Altibase 7.1, Operating System = Red Hat Enterprise Linux 7.9</w:t>
        </w:r>
      </w:hyperlink>
    </w:p>
    <w:p w14:paraId="29A5C673" w14:textId="77777777" w:rsidR="00327217" w:rsidRPr="00874D8C" w:rsidRDefault="00327217" w:rsidP="000A2B69">
      <w:pPr>
        <w:pStyle w:val="NormalWeb"/>
        <w:ind w:left="-270"/>
        <w:jc w:val="both"/>
      </w:pPr>
      <w:r w:rsidRPr="00874D8C">
        <w:rPr>
          <w:rStyle w:val="Strong"/>
        </w:rPr>
        <w:t>1,000 GB Results</w:t>
      </w:r>
    </w:p>
    <w:p w14:paraId="57BAE917" w14:textId="1BAC9065" w:rsidR="00327217" w:rsidRPr="00874D8C" w:rsidRDefault="00000000" w:rsidP="000A2B69">
      <w:pPr>
        <w:spacing w:before="100" w:beforeAutospacing="1" w:after="100" w:afterAutospacing="1" w:line="240" w:lineRule="auto"/>
        <w:jc w:val="both"/>
        <w:rPr>
          <w:sz w:val="24"/>
          <w:szCs w:val="24"/>
        </w:rPr>
      </w:pPr>
      <w:hyperlink r:id="rId12" w:tgtFrame="_blank" w:history="1">
        <w:r w:rsidR="00327217" w:rsidRPr="00874D8C">
          <w:rPr>
            <w:rStyle w:val="Strong"/>
            <w:sz w:val="24"/>
            <w:szCs w:val="24"/>
          </w:rPr>
          <w:t>HPE ProLiant DL385 Gen11</w:t>
        </w:r>
        <w:r w:rsidR="00327217" w:rsidRPr="00874D8C">
          <w:rPr>
            <w:rStyle w:val="Hyperlink"/>
            <w:color w:val="auto"/>
            <w:sz w:val="24"/>
            <w:szCs w:val="24"/>
            <w:u w:val="none"/>
          </w:rPr>
          <w:t xml:space="preserve">: QphH = 1,156,627, Price/kQphH = 265.09 USD, System Availability = 12/05/22, Database = Microsoft SQL Server 2022 Enterprise Edition </w:t>
        </w:r>
        <w:r w:rsidR="00DB2436" w:rsidRPr="00874D8C">
          <w:rPr>
            <w:rStyle w:val="Hyperlink"/>
            <w:color w:val="auto"/>
            <w:sz w:val="24"/>
            <w:szCs w:val="24"/>
            <w:u w:val="none"/>
          </w:rPr>
          <w:t>64-bit</w:t>
        </w:r>
        <w:r w:rsidR="00327217" w:rsidRPr="00874D8C">
          <w:rPr>
            <w:rStyle w:val="Hyperlink"/>
            <w:color w:val="auto"/>
            <w:sz w:val="24"/>
            <w:szCs w:val="24"/>
            <w:u w:val="none"/>
          </w:rPr>
          <w:t>, Operating System = Microsoft Windows Server 2022 Datacenter Edition</w:t>
        </w:r>
      </w:hyperlink>
    </w:p>
    <w:p w14:paraId="388D03DA" w14:textId="281CE1A5" w:rsidR="00327217" w:rsidRPr="00874D8C" w:rsidRDefault="00000000" w:rsidP="000A2B69">
      <w:pPr>
        <w:spacing w:before="100" w:beforeAutospacing="1" w:after="100" w:afterAutospacing="1" w:line="240" w:lineRule="auto"/>
        <w:jc w:val="both"/>
        <w:rPr>
          <w:sz w:val="24"/>
          <w:szCs w:val="24"/>
        </w:rPr>
      </w:pPr>
      <w:hyperlink r:id="rId13" w:tgtFrame="_blank" w:history="1">
        <w:r w:rsidR="00327217" w:rsidRPr="00874D8C">
          <w:rPr>
            <w:rStyle w:val="Strong"/>
            <w:sz w:val="24"/>
            <w:szCs w:val="24"/>
          </w:rPr>
          <w:t>Dell PowerEdge R7515</w:t>
        </w:r>
        <w:r w:rsidR="00327217" w:rsidRPr="00874D8C">
          <w:rPr>
            <w:rStyle w:val="Hyperlink"/>
            <w:color w:val="auto"/>
            <w:sz w:val="24"/>
            <w:szCs w:val="24"/>
            <w:u w:val="none"/>
          </w:rPr>
          <w:t xml:space="preserve">: QphH = 979,335, Price/kQphH = 269.23 USD, System Availability = 05/03/21, Database = Microsoft SQL Server 2019 Enterprise Edition </w:t>
        </w:r>
        <w:r w:rsidR="00DB2436" w:rsidRPr="00874D8C">
          <w:rPr>
            <w:rStyle w:val="Hyperlink"/>
            <w:color w:val="auto"/>
            <w:sz w:val="24"/>
            <w:szCs w:val="24"/>
            <w:u w:val="none"/>
          </w:rPr>
          <w:t>64-bit</w:t>
        </w:r>
        <w:r w:rsidR="00327217" w:rsidRPr="00874D8C">
          <w:rPr>
            <w:rStyle w:val="Hyperlink"/>
            <w:color w:val="auto"/>
            <w:sz w:val="24"/>
            <w:szCs w:val="24"/>
            <w:u w:val="none"/>
          </w:rPr>
          <w:t>, Operating System = Red Hat Enterprise Linux 8</w:t>
        </w:r>
      </w:hyperlink>
    </w:p>
    <w:p w14:paraId="14D99CA3" w14:textId="77777777" w:rsidR="00327217" w:rsidRPr="00874D8C" w:rsidRDefault="00327217" w:rsidP="000A2B69">
      <w:pPr>
        <w:pStyle w:val="NormalWeb"/>
        <w:ind w:left="-270"/>
        <w:jc w:val="both"/>
      </w:pPr>
      <w:r w:rsidRPr="00874D8C">
        <w:rPr>
          <w:rStyle w:val="Strong"/>
        </w:rPr>
        <w:t>3,000 GB Results</w:t>
      </w:r>
    </w:p>
    <w:p w14:paraId="7B5AD5E7" w14:textId="3B5E7AFA" w:rsidR="00327217" w:rsidRPr="00874D8C" w:rsidRDefault="00000000" w:rsidP="000A2B69">
      <w:pPr>
        <w:spacing w:before="100" w:beforeAutospacing="1" w:after="100" w:afterAutospacing="1" w:line="240" w:lineRule="auto"/>
        <w:ind w:left="-270"/>
        <w:jc w:val="both"/>
        <w:rPr>
          <w:sz w:val="24"/>
          <w:szCs w:val="24"/>
        </w:rPr>
      </w:pPr>
      <w:hyperlink r:id="rId14" w:tgtFrame="_blank" w:history="1">
        <w:r w:rsidR="00327217" w:rsidRPr="00874D8C">
          <w:rPr>
            <w:rStyle w:val="Strong"/>
            <w:sz w:val="24"/>
            <w:szCs w:val="24"/>
          </w:rPr>
          <w:t>HPE ProLiant DL385 Gen11</w:t>
        </w:r>
        <w:r w:rsidR="00327217" w:rsidRPr="00874D8C">
          <w:rPr>
            <w:rStyle w:val="Hyperlink"/>
            <w:color w:val="auto"/>
            <w:sz w:val="24"/>
            <w:szCs w:val="24"/>
            <w:u w:val="none"/>
          </w:rPr>
          <w:t xml:space="preserve">: QphH = 2,405,162, Price/kQphH = 490.02 USD, System Availability = 04/03/23, Database = Microsoft SQL Server 2022 Enterprise Edition </w:t>
        </w:r>
        <w:r w:rsidR="00DB2436" w:rsidRPr="00874D8C">
          <w:rPr>
            <w:rStyle w:val="Hyperlink"/>
            <w:color w:val="auto"/>
            <w:sz w:val="24"/>
            <w:szCs w:val="24"/>
            <w:u w:val="none"/>
          </w:rPr>
          <w:t>64-bit</w:t>
        </w:r>
        <w:r w:rsidR="00327217" w:rsidRPr="00874D8C">
          <w:rPr>
            <w:rStyle w:val="Hyperlink"/>
            <w:color w:val="auto"/>
            <w:sz w:val="24"/>
            <w:szCs w:val="24"/>
            <w:u w:val="none"/>
          </w:rPr>
          <w:t>, Operating System = Microsoft Windows Server 2022 Datacenter Edition</w:t>
        </w:r>
      </w:hyperlink>
    </w:p>
    <w:p w14:paraId="66CD0410" w14:textId="54D55E5D" w:rsidR="00327217" w:rsidRPr="00874D8C" w:rsidRDefault="00000000" w:rsidP="000A2B69">
      <w:pPr>
        <w:spacing w:before="100" w:beforeAutospacing="1" w:after="100" w:afterAutospacing="1" w:line="240" w:lineRule="auto"/>
        <w:ind w:left="-270"/>
        <w:jc w:val="both"/>
        <w:rPr>
          <w:sz w:val="24"/>
          <w:szCs w:val="24"/>
        </w:rPr>
      </w:pPr>
      <w:hyperlink r:id="rId15" w:tgtFrame="_blank" w:history="1">
        <w:r w:rsidR="00327217" w:rsidRPr="00874D8C">
          <w:rPr>
            <w:rStyle w:val="Strong"/>
            <w:sz w:val="24"/>
            <w:szCs w:val="24"/>
          </w:rPr>
          <w:t>Dell PowerEdge R7525</w:t>
        </w:r>
        <w:r w:rsidR="00327217" w:rsidRPr="00874D8C">
          <w:rPr>
            <w:rStyle w:val="Hyperlink"/>
            <w:color w:val="auto"/>
            <w:sz w:val="24"/>
            <w:szCs w:val="24"/>
            <w:u w:val="none"/>
          </w:rPr>
          <w:t xml:space="preserve">: QphH = 1,542,560, Price/kQphH = 327.38 USD, System Availability = 07/05/21, Database = Microsoft SQL Server 2019 Enterprise Edition </w:t>
        </w:r>
        <w:r w:rsidR="00DB2436" w:rsidRPr="00874D8C">
          <w:rPr>
            <w:rStyle w:val="Hyperlink"/>
            <w:color w:val="auto"/>
            <w:sz w:val="24"/>
            <w:szCs w:val="24"/>
            <w:u w:val="none"/>
          </w:rPr>
          <w:t>64-bit</w:t>
        </w:r>
        <w:r w:rsidR="00327217" w:rsidRPr="00874D8C">
          <w:rPr>
            <w:rStyle w:val="Hyperlink"/>
            <w:color w:val="auto"/>
            <w:sz w:val="24"/>
            <w:szCs w:val="24"/>
            <w:u w:val="none"/>
          </w:rPr>
          <w:t>, Operating System = Red Hat Enterprise Linux Server Release 8.3</w:t>
        </w:r>
      </w:hyperlink>
    </w:p>
    <w:p w14:paraId="6221D179" w14:textId="77777777" w:rsidR="00327217" w:rsidRPr="00874D8C" w:rsidRDefault="00327217" w:rsidP="000A2B69">
      <w:pPr>
        <w:pStyle w:val="NormalWeb"/>
        <w:ind w:left="-270"/>
        <w:jc w:val="both"/>
      </w:pPr>
      <w:r w:rsidRPr="00874D8C">
        <w:rPr>
          <w:rStyle w:val="Strong"/>
        </w:rPr>
        <w:t>10,000 GB Results</w:t>
      </w:r>
    </w:p>
    <w:p w14:paraId="466DEBDE" w14:textId="35CA719B" w:rsidR="00327217" w:rsidRPr="00874D8C" w:rsidRDefault="00000000" w:rsidP="000A2B69">
      <w:pPr>
        <w:spacing w:before="100" w:beforeAutospacing="1" w:after="100" w:afterAutospacing="1" w:line="240" w:lineRule="auto"/>
        <w:ind w:left="-270"/>
        <w:jc w:val="both"/>
        <w:rPr>
          <w:sz w:val="24"/>
          <w:szCs w:val="24"/>
        </w:rPr>
      </w:pPr>
      <w:hyperlink r:id="rId16" w:tgtFrame="_blank" w:history="1">
        <w:r w:rsidR="00327217" w:rsidRPr="00874D8C">
          <w:rPr>
            <w:rStyle w:val="Strong"/>
            <w:sz w:val="24"/>
            <w:szCs w:val="24"/>
          </w:rPr>
          <w:t>Dell PowerEdge R6525</w:t>
        </w:r>
        <w:r w:rsidR="00327217" w:rsidRPr="00874D8C">
          <w:rPr>
            <w:rStyle w:val="Hyperlink"/>
            <w:color w:val="auto"/>
            <w:sz w:val="24"/>
            <w:szCs w:val="24"/>
            <w:u w:val="none"/>
          </w:rPr>
          <w:t>: QphH = 22,756,594, Price/kQphH = 68.79 USD, System Availability = 07/01/21, Database = EXASOL 7.1, Operating System = Ubuntu 20.04.2 LTS</w:t>
        </w:r>
      </w:hyperlink>
    </w:p>
    <w:p w14:paraId="3F3BE1E4" w14:textId="755CCA09" w:rsidR="003F59EE" w:rsidRPr="00874D8C" w:rsidRDefault="00000000" w:rsidP="000A2B69">
      <w:pPr>
        <w:spacing w:before="100" w:beforeAutospacing="1" w:after="100" w:afterAutospacing="1" w:line="240" w:lineRule="auto"/>
        <w:ind w:left="-270"/>
        <w:jc w:val="both"/>
        <w:rPr>
          <w:sz w:val="24"/>
          <w:szCs w:val="24"/>
        </w:rPr>
      </w:pPr>
      <w:hyperlink r:id="rId17" w:tgtFrame="_blank" w:history="1">
        <w:r w:rsidR="00327217" w:rsidRPr="00874D8C">
          <w:rPr>
            <w:rStyle w:val="Strong"/>
            <w:sz w:val="24"/>
            <w:szCs w:val="24"/>
          </w:rPr>
          <w:t>HPE ProLiant DL380 Gen11</w:t>
        </w:r>
        <w:r w:rsidR="00327217" w:rsidRPr="00874D8C">
          <w:rPr>
            <w:rStyle w:val="Hyperlink"/>
            <w:color w:val="auto"/>
            <w:sz w:val="24"/>
            <w:szCs w:val="24"/>
            <w:u w:val="none"/>
          </w:rPr>
          <w:t xml:space="preserve">: QphH = 2,028,444, Price/kQphH = 821.80 USD, System Availability = 05/01/23, Database = Microsoft SQL Server 2022 Enterprise Edition </w:t>
        </w:r>
        <w:r w:rsidR="00DB2436" w:rsidRPr="00874D8C">
          <w:rPr>
            <w:rStyle w:val="Hyperlink"/>
            <w:color w:val="auto"/>
            <w:sz w:val="24"/>
            <w:szCs w:val="24"/>
            <w:u w:val="none"/>
          </w:rPr>
          <w:t>64-bit</w:t>
        </w:r>
        <w:r w:rsidR="00327217" w:rsidRPr="00874D8C">
          <w:rPr>
            <w:rStyle w:val="Hyperlink"/>
            <w:color w:val="auto"/>
            <w:sz w:val="24"/>
            <w:szCs w:val="24"/>
            <w:u w:val="none"/>
          </w:rPr>
          <w:t>, Operating System = Microsoft Windows Server 2022 Standard Edition</w:t>
        </w:r>
      </w:hyperlink>
    </w:p>
    <w:p w14:paraId="2FF0AEEC" w14:textId="77777777" w:rsidR="003F59EE" w:rsidRPr="00874D8C" w:rsidRDefault="003F59EE" w:rsidP="000A2B69">
      <w:pPr>
        <w:pStyle w:val="ListParagraph"/>
        <w:ind w:left="-270"/>
        <w:jc w:val="both"/>
        <w:rPr>
          <w:rFonts w:asciiTheme="majorBidi" w:hAnsiTheme="majorBidi" w:cstheme="majorBidi"/>
          <w:sz w:val="24"/>
          <w:szCs w:val="24"/>
        </w:rPr>
      </w:pPr>
    </w:p>
    <w:p w14:paraId="57099BE8" w14:textId="00EADDB9" w:rsidR="003F59EE" w:rsidRDefault="0062227F" w:rsidP="000A2B69">
      <w:pPr>
        <w:pStyle w:val="ListParagraph"/>
        <w:numPr>
          <w:ilvl w:val="0"/>
          <w:numId w:val="1"/>
        </w:numPr>
        <w:ind w:left="-270"/>
        <w:jc w:val="both"/>
        <w:rPr>
          <w:rFonts w:asciiTheme="majorBidi" w:hAnsiTheme="majorBidi" w:cstheme="majorBidi"/>
          <w:b/>
          <w:bCs/>
          <w:sz w:val="32"/>
          <w:szCs w:val="32"/>
        </w:rPr>
      </w:pPr>
      <w:r w:rsidRPr="00874D8C">
        <w:rPr>
          <w:rFonts w:asciiTheme="majorBidi" w:hAnsiTheme="majorBidi" w:cstheme="majorBidi"/>
          <w:b/>
          <w:bCs/>
          <w:sz w:val="32"/>
          <w:szCs w:val="32"/>
        </w:rPr>
        <w:t>Conclusion</w:t>
      </w:r>
    </w:p>
    <w:p w14:paraId="71B68EE7" w14:textId="5ADA93D3" w:rsidR="00DB2436" w:rsidRPr="00DB2436" w:rsidRDefault="00DB2436" w:rsidP="000A2B69">
      <w:pPr>
        <w:pStyle w:val="ListParagraph"/>
        <w:ind w:left="-270"/>
        <w:jc w:val="both"/>
        <w:rPr>
          <w:rFonts w:asciiTheme="majorBidi" w:hAnsiTheme="majorBidi" w:cstheme="majorBidi"/>
          <w:b/>
          <w:bCs/>
          <w:sz w:val="24"/>
          <w:szCs w:val="24"/>
          <w:u w:val="single"/>
        </w:rPr>
      </w:pPr>
      <w:r w:rsidRPr="00DB2436">
        <w:rPr>
          <w:rFonts w:asciiTheme="majorBidi" w:hAnsiTheme="majorBidi" w:cstheme="majorBidi"/>
          <w:b/>
          <w:bCs/>
          <w:sz w:val="24"/>
          <w:szCs w:val="24"/>
          <w:u w:val="single"/>
        </w:rPr>
        <w:t>Importance:</w:t>
      </w:r>
    </w:p>
    <w:p w14:paraId="573DF1DF" w14:textId="77777777" w:rsidR="003F59EE" w:rsidRPr="00874D8C" w:rsidRDefault="003F59EE" w:rsidP="000A2B69">
      <w:pPr>
        <w:pStyle w:val="NormalWeb"/>
        <w:numPr>
          <w:ilvl w:val="0"/>
          <w:numId w:val="2"/>
        </w:numPr>
        <w:ind w:left="-270"/>
        <w:jc w:val="both"/>
        <w:rPr>
          <w:color w:val="000000"/>
        </w:rPr>
      </w:pPr>
      <w:r w:rsidRPr="00874D8C">
        <w:rPr>
          <w:rStyle w:val="Strong"/>
          <w:color w:val="000000"/>
        </w:rPr>
        <w:t>Standardized Testing</w:t>
      </w:r>
      <w:r w:rsidRPr="00874D8C">
        <w:rPr>
          <w:color w:val="000000"/>
        </w:rPr>
        <w:t>: TPC-H provides a standardized testing framework that allows for fair comparisons between different systems. This is crucial for businesses and researchers who need to evaluate the performance of various DBMSs and hardware configurations.</w:t>
      </w:r>
    </w:p>
    <w:p w14:paraId="7E74D78B" w14:textId="77777777" w:rsidR="003F59EE" w:rsidRPr="00874D8C" w:rsidRDefault="003F59EE" w:rsidP="000A2B69">
      <w:pPr>
        <w:pStyle w:val="NormalWeb"/>
        <w:numPr>
          <w:ilvl w:val="0"/>
          <w:numId w:val="2"/>
        </w:numPr>
        <w:ind w:left="-270"/>
        <w:jc w:val="both"/>
        <w:rPr>
          <w:color w:val="000000"/>
        </w:rPr>
      </w:pPr>
      <w:r w:rsidRPr="00874D8C">
        <w:rPr>
          <w:rStyle w:val="Strong"/>
          <w:color w:val="000000"/>
        </w:rPr>
        <w:t>Complex Queries</w:t>
      </w:r>
      <w:r w:rsidRPr="00874D8C">
        <w:rPr>
          <w:color w:val="000000"/>
        </w:rPr>
        <w:t>: The benchmark includes a suite of complex queries and concurrent modifications of a database. The queries are designed to answer critical business questions and are representative of real-world business data processing and analytics.</w:t>
      </w:r>
    </w:p>
    <w:p w14:paraId="637DE009" w14:textId="2A175DBC" w:rsidR="003F59EE" w:rsidRPr="00874D8C" w:rsidRDefault="003F59EE" w:rsidP="000A2B69">
      <w:pPr>
        <w:pStyle w:val="NormalWeb"/>
        <w:numPr>
          <w:ilvl w:val="0"/>
          <w:numId w:val="2"/>
        </w:numPr>
        <w:ind w:left="-270"/>
        <w:jc w:val="both"/>
        <w:rPr>
          <w:color w:val="000000"/>
        </w:rPr>
      </w:pPr>
      <w:r w:rsidRPr="00874D8C">
        <w:rPr>
          <w:rStyle w:val="Strong"/>
          <w:color w:val="000000"/>
        </w:rPr>
        <w:t>Scalability</w:t>
      </w:r>
      <w:r w:rsidRPr="00874D8C">
        <w:rPr>
          <w:color w:val="000000"/>
        </w:rPr>
        <w:t xml:space="preserve">: TPC-H supports different scales of test data, making it possible to evaluate how well a system performs as the volume of data increases. This is particularly important in the era of big data, where systems must be able to </w:t>
      </w:r>
      <w:r w:rsidR="000A2B69" w:rsidRPr="00874D8C">
        <w:rPr>
          <w:color w:val="000000"/>
        </w:rPr>
        <w:t>manage</w:t>
      </w:r>
      <w:r w:rsidRPr="00874D8C">
        <w:rPr>
          <w:color w:val="000000"/>
        </w:rPr>
        <w:t xml:space="preserve"> increasingly large datasets.</w:t>
      </w:r>
    </w:p>
    <w:p w14:paraId="6F08B2E0" w14:textId="77777777" w:rsidR="003F59EE" w:rsidRPr="00874D8C" w:rsidRDefault="003F59EE" w:rsidP="000A2B69">
      <w:pPr>
        <w:pStyle w:val="NormalWeb"/>
        <w:numPr>
          <w:ilvl w:val="0"/>
          <w:numId w:val="2"/>
        </w:numPr>
        <w:ind w:left="-270"/>
        <w:jc w:val="both"/>
        <w:rPr>
          <w:color w:val="000000"/>
        </w:rPr>
      </w:pPr>
      <w:r w:rsidRPr="00874D8C">
        <w:rPr>
          <w:rStyle w:val="Strong"/>
          <w:color w:val="000000"/>
        </w:rPr>
        <w:t>Comprehensive Metrics</w:t>
      </w:r>
      <w:r w:rsidRPr="00874D8C">
        <w:rPr>
          <w:color w:val="000000"/>
        </w:rPr>
        <w:t>: TPC-H measures performance in terms of both query processing speed and price-performance ratio. This allows businesses to consider both the raw performance and the cost-effectiveness of their systems.</w:t>
      </w:r>
    </w:p>
    <w:p w14:paraId="5AFCA368" w14:textId="77777777" w:rsidR="00DB2436" w:rsidRDefault="003F59EE" w:rsidP="000A2B69">
      <w:pPr>
        <w:pStyle w:val="NormalWeb"/>
        <w:numPr>
          <w:ilvl w:val="0"/>
          <w:numId w:val="2"/>
        </w:numPr>
        <w:ind w:left="-270"/>
        <w:jc w:val="both"/>
        <w:rPr>
          <w:color w:val="000000"/>
        </w:rPr>
      </w:pPr>
      <w:r w:rsidRPr="00874D8C">
        <w:rPr>
          <w:rStyle w:val="Strong"/>
          <w:color w:val="000000"/>
        </w:rPr>
        <w:t>Industry Recognition</w:t>
      </w:r>
      <w:r w:rsidRPr="00874D8C">
        <w:rPr>
          <w:color w:val="000000"/>
        </w:rPr>
        <w:t>: TPC-H is widely recognized in the industry, and the results of TPC-H tests are often used in marketing materials. Therefore, achieving a good result on the TPC-H benchmark can be seen as a mark of quality.</w:t>
      </w:r>
    </w:p>
    <w:p w14:paraId="32B14C79" w14:textId="1FBEE080" w:rsidR="00DB2436" w:rsidRPr="000A2B69" w:rsidRDefault="00DB2436" w:rsidP="000A2B69">
      <w:pPr>
        <w:pStyle w:val="NormalWeb"/>
        <w:ind w:left="-630"/>
        <w:jc w:val="both"/>
        <w:rPr>
          <w:b/>
          <w:bCs/>
          <w:color w:val="000000"/>
          <w:u w:val="single"/>
        </w:rPr>
      </w:pPr>
      <w:r w:rsidRPr="000A2B69">
        <w:rPr>
          <w:b/>
          <w:bCs/>
          <w:color w:val="000000"/>
          <w:u w:val="single"/>
        </w:rPr>
        <w:t>As for future research:</w:t>
      </w:r>
    </w:p>
    <w:p w14:paraId="01B4AA15" w14:textId="27F53DCE" w:rsidR="00DB2436" w:rsidRPr="00DB2436" w:rsidRDefault="00DB2436" w:rsidP="000A2B69">
      <w:pPr>
        <w:pStyle w:val="NormalWeb"/>
        <w:numPr>
          <w:ilvl w:val="0"/>
          <w:numId w:val="17"/>
        </w:numPr>
        <w:ind w:left="-630"/>
        <w:jc w:val="both"/>
        <w:rPr>
          <w:color w:val="000000"/>
        </w:rPr>
      </w:pPr>
      <w:r w:rsidRPr="00DB2436">
        <w:rPr>
          <w:rStyle w:val="Strong"/>
          <w:color w:val="000000"/>
        </w:rPr>
        <w:t>Benchmarking New Technologies</w:t>
      </w:r>
      <w:r w:rsidRPr="00DB2436">
        <w:rPr>
          <w:color w:val="000000"/>
        </w:rPr>
        <w:t>: As modern technologies and architectures emerge, it will be important to adapt the TPC-H benchmark to these new contexts. For example, how does the performance of traditional DBMSs compare with new NoSQL databases or in-memory databases?</w:t>
      </w:r>
    </w:p>
    <w:p w14:paraId="0AED8BF9" w14:textId="77777777" w:rsidR="00DB2436" w:rsidRPr="00DB2436" w:rsidRDefault="00DB2436" w:rsidP="000A2B69">
      <w:pPr>
        <w:pStyle w:val="NormalWeb"/>
        <w:numPr>
          <w:ilvl w:val="0"/>
          <w:numId w:val="17"/>
        </w:numPr>
        <w:ind w:left="-630"/>
        <w:jc w:val="both"/>
        <w:rPr>
          <w:color w:val="000000"/>
        </w:rPr>
      </w:pPr>
      <w:r w:rsidRPr="00DB2436">
        <w:rPr>
          <w:rStyle w:val="Strong"/>
          <w:color w:val="000000"/>
        </w:rPr>
        <w:t>Real-Time Analytics</w:t>
      </w:r>
      <w:r w:rsidRPr="00DB2436">
        <w:rPr>
          <w:color w:val="000000"/>
        </w:rPr>
        <w:t>: With the rise of real-time analytics, it would be interesting to see how the TPC-H benchmark could be adapted to measure the performance of systems under real-time constraints.</w:t>
      </w:r>
    </w:p>
    <w:p w14:paraId="561F869B" w14:textId="77777777" w:rsidR="00DB2436" w:rsidRPr="00DB2436" w:rsidRDefault="00DB2436" w:rsidP="000A2B69">
      <w:pPr>
        <w:pStyle w:val="NormalWeb"/>
        <w:numPr>
          <w:ilvl w:val="0"/>
          <w:numId w:val="17"/>
        </w:numPr>
        <w:ind w:left="-630"/>
        <w:jc w:val="both"/>
        <w:rPr>
          <w:color w:val="000000"/>
        </w:rPr>
      </w:pPr>
      <w:r w:rsidRPr="00DB2436">
        <w:rPr>
          <w:rStyle w:val="Strong"/>
          <w:color w:val="000000"/>
        </w:rPr>
        <w:t>Big Data</w:t>
      </w:r>
      <w:r w:rsidRPr="00DB2436">
        <w:rPr>
          <w:color w:val="000000"/>
        </w:rPr>
        <w:t>: The TPC-H benchmark could be extended to better handle big data scenarios. This could involve increasing the scale of the test data or incorporating more complex queries that are representative of big data analytics.</w:t>
      </w:r>
    </w:p>
    <w:p w14:paraId="0FDCB955" w14:textId="472349F7" w:rsidR="00367C4E" w:rsidRPr="00DB2436" w:rsidRDefault="00DB2436" w:rsidP="000A2B69">
      <w:pPr>
        <w:pStyle w:val="NormalWeb"/>
        <w:numPr>
          <w:ilvl w:val="0"/>
          <w:numId w:val="17"/>
        </w:numPr>
        <w:ind w:left="-630"/>
        <w:jc w:val="both"/>
        <w:rPr>
          <w:color w:val="000000"/>
        </w:rPr>
      </w:pPr>
      <w:r w:rsidRPr="00DB2436">
        <w:rPr>
          <w:rStyle w:val="Strong"/>
          <w:color w:val="000000"/>
        </w:rPr>
        <w:t>Machine Learning</w:t>
      </w:r>
      <w:r w:rsidRPr="00DB2436">
        <w:rPr>
          <w:color w:val="000000"/>
        </w:rPr>
        <w:t>: With the increasing integration of machine learning into data processing pipelines, future research could look at incorporating machine learning tasks into the TPC-H benchmark.</w:t>
      </w:r>
    </w:p>
    <w:sectPr w:rsidR="00367C4E" w:rsidRPr="00DB2436" w:rsidSect="00774271">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12F"/>
    <w:multiLevelType w:val="multilevel"/>
    <w:tmpl w:val="3F2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E2CF2"/>
    <w:multiLevelType w:val="multilevel"/>
    <w:tmpl w:val="DB2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F28CB"/>
    <w:multiLevelType w:val="multilevel"/>
    <w:tmpl w:val="7D1E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53F30"/>
    <w:multiLevelType w:val="multilevel"/>
    <w:tmpl w:val="CA8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F08FE"/>
    <w:multiLevelType w:val="multilevel"/>
    <w:tmpl w:val="68D0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867042"/>
    <w:multiLevelType w:val="multilevel"/>
    <w:tmpl w:val="A960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A7E6D"/>
    <w:multiLevelType w:val="hybridMultilevel"/>
    <w:tmpl w:val="58F0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52FFB"/>
    <w:multiLevelType w:val="multilevel"/>
    <w:tmpl w:val="ECA4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B70C97"/>
    <w:multiLevelType w:val="multilevel"/>
    <w:tmpl w:val="5698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B63867"/>
    <w:multiLevelType w:val="hybridMultilevel"/>
    <w:tmpl w:val="17E4FAE0"/>
    <w:lvl w:ilvl="0" w:tplc="651E9030">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4780487C"/>
    <w:multiLevelType w:val="multilevel"/>
    <w:tmpl w:val="FDD8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E36FB8"/>
    <w:multiLevelType w:val="multilevel"/>
    <w:tmpl w:val="697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7E1AD5"/>
    <w:multiLevelType w:val="multilevel"/>
    <w:tmpl w:val="1A64CA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FE63572"/>
    <w:multiLevelType w:val="multilevel"/>
    <w:tmpl w:val="3490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1E1613"/>
    <w:multiLevelType w:val="multilevel"/>
    <w:tmpl w:val="0F1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814A33"/>
    <w:multiLevelType w:val="multilevel"/>
    <w:tmpl w:val="AA72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B6F66"/>
    <w:multiLevelType w:val="multilevel"/>
    <w:tmpl w:val="FC8C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540529">
    <w:abstractNumId w:val="6"/>
  </w:num>
  <w:num w:numId="2" w16cid:durableId="883835163">
    <w:abstractNumId w:val="2"/>
  </w:num>
  <w:num w:numId="3" w16cid:durableId="509609717">
    <w:abstractNumId w:val="16"/>
  </w:num>
  <w:num w:numId="4" w16cid:durableId="2090692704">
    <w:abstractNumId w:val="1"/>
  </w:num>
  <w:num w:numId="5" w16cid:durableId="1068380944">
    <w:abstractNumId w:val="15"/>
  </w:num>
  <w:num w:numId="6" w16cid:durableId="1547910207">
    <w:abstractNumId w:val="5"/>
  </w:num>
  <w:num w:numId="7" w16cid:durableId="915363416">
    <w:abstractNumId w:val="11"/>
  </w:num>
  <w:num w:numId="8" w16cid:durableId="471942085">
    <w:abstractNumId w:val="8"/>
  </w:num>
  <w:num w:numId="9" w16cid:durableId="53087968">
    <w:abstractNumId w:val="4"/>
  </w:num>
  <w:num w:numId="10" w16cid:durableId="548035757">
    <w:abstractNumId w:val="14"/>
  </w:num>
  <w:num w:numId="11" w16cid:durableId="1482111212">
    <w:abstractNumId w:val="3"/>
  </w:num>
  <w:num w:numId="12" w16cid:durableId="704062577">
    <w:abstractNumId w:val="0"/>
  </w:num>
  <w:num w:numId="13" w16cid:durableId="307905618">
    <w:abstractNumId w:val="7"/>
  </w:num>
  <w:num w:numId="14" w16cid:durableId="332295187">
    <w:abstractNumId w:val="10"/>
  </w:num>
  <w:num w:numId="15" w16cid:durableId="886919557">
    <w:abstractNumId w:val="13"/>
  </w:num>
  <w:num w:numId="16" w16cid:durableId="1025324459">
    <w:abstractNumId w:val="9"/>
  </w:num>
  <w:num w:numId="17" w16cid:durableId="2241510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7F"/>
    <w:rsid w:val="000A2B69"/>
    <w:rsid w:val="00101FB6"/>
    <w:rsid w:val="00123F39"/>
    <w:rsid w:val="00327217"/>
    <w:rsid w:val="00361200"/>
    <w:rsid w:val="00362E7F"/>
    <w:rsid w:val="00367C4E"/>
    <w:rsid w:val="003A1734"/>
    <w:rsid w:val="003F59EE"/>
    <w:rsid w:val="004E3B14"/>
    <w:rsid w:val="005E01E7"/>
    <w:rsid w:val="0062227F"/>
    <w:rsid w:val="007420FF"/>
    <w:rsid w:val="00774271"/>
    <w:rsid w:val="007B4410"/>
    <w:rsid w:val="008125A8"/>
    <w:rsid w:val="00874D8C"/>
    <w:rsid w:val="00AB23FE"/>
    <w:rsid w:val="00BA5E8B"/>
    <w:rsid w:val="00C01F82"/>
    <w:rsid w:val="00C470F4"/>
    <w:rsid w:val="00CF55C5"/>
    <w:rsid w:val="00D02AE4"/>
    <w:rsid w:val="00DB24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8A0A"/>
  <w15:chartTrackingRefBased/>
  <w15:docId w15:val="{18745608-5FFF-450D-A48B-429843D7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C4E"/>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C4E"/>
    <w:rPr>
      <w:color w:val="0563C1" w:themeColor="hyperlink"/>
      <w:u w:val="single"/>
    </w:rPr>
  </w:style>
  <w:style w:type="character" w:styleId="UnresolvedMention">
    <w:name w:val="Unresolved Mention"/>
    <w:basedOn w:val="DefaultParagraphFont"/>
    <w:uiPriority w:val="99"/>
    <w:semiHidden/>
    <w:unhideWhenUsed/>
    <w:rsid w:val="00367C4E"/>
    <w:rPr>
      <w:color w:val="605E5C"/>
      <w:shd w:val="clear" w:color="auto" w:fill="E1DFDD"/>
    </w:rPr>
  </w:style>
  <w:style w:type="paragraph" w:styleId="ListParagraph">
    <w:name w:val="List Paragraph"/>
    <w:basedOn w:val="Normal"/>
    <w:uiPriority w:val="34"/>
    <w:qFormat/>
    <w:rsid w:val="0062227F"/>
    <w:pPr>
      <w:ind w:left="720"/>
      <w:contextualSpacing/>
    </w:pPr>
  </w:style>
  <w:style w:type="paragraph" w:styleId="NormalWeb">
    <w:name w:val="Normal (Web)"/>
    <w:basedOn w:val="Normal"/>
    <w:uiPriority w:val="99"/>
    <w:unhideWhenUsed/>
    <w:rsid w:val="003F59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59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4835">
      <w:bodyDiv w:val="1"/>
      <w:marLeft w:val="0"/>
      <w:marRight w:val="0"/>
      <w:marTop w:val="0"/>
      <w:marBottom w:val="0"/>
      <w:divBdr>
        <w:top w:val="none" w:sz="0" w:space="0" w:color="auto"/>
        <w:left w:val="none" w:sz="0" w:space="0" w:color="auto"/>
        <w:bottom w:val="none" w:sz="0" w:space="0" w:color="auto"/>
        <w:right w:val="none" w:sz="0" w:space="0" w:color="auto"/>
      </w:divBdr>
    </w:div>
    <w:div w:id="134759774">
      <w:bodyDiv w:val="1"/>
      <w:marLeft w:val="0"/>
      <w:marRight w:val="0"/>
      <w:marTop w:val="0"/>
      <w:marBottom w:val="0"/>
      <w:divBdr>
        <w:top w:val="none" w:sz="0" w:space="0" w:color="auto"/>
        <w:left w:val="none" w:sz="0" w:space="0" w:color="auto"/>
        <w:bottom w:val="none" w:sz="0" w:space="0" w:color="auto"/>
        <w:right w:val="none" w:sz="0" w:space="0" w:color="auto"/>
      </w:divBdr>
    </w:div>
    <w:div w:id="346296798">
      <w:bodyDiv w:val="1"/>
      <w:marLeft w:val="0"/>
      <w:marRight w:val="0"/>
      <w:marTop w:val="0"/>
      <w:marBottom w:val="0"/>
      <w:divBdr>
        <w:top w:val="none" w:sz="0" w:space="0" w:color="auto"/>
        <w:left w:val="none" w:sz="0" w:space="0" w:color="auto"/>
        <w:bottom w:val="none" w:sz="0" w:space="0" w:color="auto"/>
        <w:right w:val="none" w:sz="0" w:space="0" w:color="auto"/>
      </w:divBdr>
    </w:div>
    <w:div w:id="362942890">
      <w:bodyDiv w:val="1"/>
      <w:marLeft w:val="0"/>
      <w:marRight w:val="0"/>
      <w:marTop w:val="0"/>
      <w:marBottom w:val="0"/>
      <w:divBdr>
        <w:top w:val="none" w:sz="0" w:space="0" w:color="auto"/>
        <w:left w:val="none" w:sz="0" w:space="0" w:color="auto"/>
        <w:bottom w:val="none" w:sz="0" w:space="0" w:color="auto"/>
        <w:right w:val="none" w:sz="0" w:space="0" w:color="auto"/>
      </w:divBdr>
    </w:div>
    <w:div w:id="396713177">
      <w:bodyDiv w:val="1"/>
      <w:marLeft w:val="0"/>
      <w:marRight w:val="0"/>
      <w:marTop w:val="0"/>
      <w:marBottom w:val="0"/>
      <w:divBdr>
        <w:top w:val="none" w:sz="0" w:space="0" w:color="auto"/>
        <w:left w:val="none" w:sz="0" w:space="0" w:color="auto"/>
        <w:bottom w:val="none" w:sz="0" w:space="0" w:color="auto"/>
        <w:right w:val="none" w:sz="0" w:space="0" w:color="auto"/>
      </w:divBdr>
    </w:div>
    <w:div w:id="551698879">
      <w:bodyDiv w:val="1"/>
      <w:marLeft w:val="0"/>
      <w:marRight w:val="0"/>
      <w:marTop w:val="0"/>
      <w:marBottom w:val="0"/>
      <w:divBdr>
        <w:top w:val="none" w:sz="0" w:space="0" w:color="auto"/>
        <w:left w:val="none" w:sz="0" w:space="0" w:color="auto"/>
        <w:bottom w:val="none" w:sz="0" w:space="0" w:color="auto"/>
        <w:right w:val="none" w:sz="0" w:space="0" w:color="auto"/>
      </w:divBdr>
    </w:div>
    <w:div w:id="721827162">
      <w:bodyDiv w:val="1"/>
      <w:marLeft w:val="0"/>
      <w:marRight w:val="0"/>
      <w:marTop w:val="0"/>
      <w:marBottom w:val="0"/>
      <w:divBdr>
        <w:top w:val="none" w:sz="0" w:space="0" w:color="auto"/>
        <w:left w:val="none" w:sz="0" w:space="0" w:color="auto"/>
        <w:bottom w:val="none" w:sz="0" w:space="0" w:color="auto"/>
        <w:right w:val="none" w:sz="0" w:space="0" w:color="auto"/>
      </w:divBdr>
      <w:divsChild>
        <w:div w:id="311907945">
          <w:marLeft w:val="0"/>
          <w:marRight w:val="0"/>
          <w:marTop w:val="0"/>
          <w:marBottom w:val="0"/>
          <w:divBdr>
            <w:top w:val="none" w:sz="0" w:space="0" w:color="auto"/>
            <w:left w:val="none" w:sz="0" w:space="0" w:color="auto"/>
            <w:bottom w:val="none" w:sz="0" w:space="0" w:color="auto"/>
            <w:right w:val="none" w:sz="0" w:space="0" w:color="auto"/>
          </w:divBdr>
          <w:divsChild>
            <w:div w:id="1382243842">
              <w:marLeft w:val="0"/>
              <w:marRight w:val="0"/>
              <w:marTop w:val="0"/>
              <w:marBottom w:val="0"/>
              <w:divBdr>
                <w:top w:val="none" w:sz="0" w:space="0" w:color="auto"/>
                <w:left w:val="none" w:sz="0" w:space="0" w:color="auto"/>
                <w:bottom w:val="none" w:sz="0" w:space="0" w:color="auto"/>
                <w:right w:val="none" w:sz="0" w:space="0" w:color="auto"/>
              </w:divBdr>
              <w:divsChild>
                <w:div w:id="1582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92484">
      <w:bodyDiv w:val="1"/>
      <w:marLeft w:val="0"/>
      <w:marRight w:val="0"/>
      <w:marTop w:val="0"/>
      <w:marBottom w:val="0"/>
      <w:divBdr>
        <w:top w:val="none" w:sz="0" w:space="0" w:color="auto"/>
        <w:left w:val="none" w:sz="0" w:space="0" w:color="auto"/>
        <w:bottom w:val="none" w:sz="0" w:space="0" w:color="auto"/>
        <w:right w:val="none" w:sz="0" w:space="0" w:color="auto"/>
      </w:divBdr>
    </w:div>
    <w:div w:id="1274241984">
      <w:bodyDiv w:val="1"/>
      <w:marLeft w:val="0"/>
      <w:marRight w:val="0"/>
      <w:marTop w:val="0"/>
      <w:marBottom w:val="0"/>
      <w:divBdr>
        <w:top w:val="none" w:sz="0" w:space="0" w:color="auto"/>
        <w:left w:val="none" w:sz="0" w:space="0" w:color="auto"/>
        <w:bottom w:val="none" w:sz="0" w:space="0" w:color="auto"/>
        <w:right w:val="none" w:sz="0" w:space="0" w:color="auto"/>
      </w:divBdr>
      <w:divsChild>
        <w:div w:id="56247643">
          <w:marLeft w:val="0"/>
          <w:marRight w:val="0"/>
          <w:marTop w:val="0"/>
          <w:marBottom w:val="0"/>
          <w:divBdr>
            <w:top w:val="none" w:sz="0" w:space="0" w:color="auto"/>
            <w:left w:val="none" w:sz="0" w:space="0" w:color="auto"/>
            <w:bottom w:val="none" w:sz="0" w:space="0" w:color="auto"/>
            <w:right w:val="none" w:sz="0" w:space="0" w:color="auto"/>
          </w:divBdr>
          <w:divsChild>
            <w:div w:id="248127520">
              <w:marLeft w:val="0"/>
              <w:marRight w:val="0"/>
              <w:marTop w:val="0"/>
              <w:marBottom w:val="0"/>
              <w:divBdr>
                <w:top w:val="none" w:sz="0" w:space="0" w:color="auto"/>
                <w:left w:val="none" w:sz="0" w:space="0" w:color="auto"/>
                <w:bottom w:val="none" w:sz="0" w:space="0" w:color="auto"/>
                <w:right w:val="none" w:sz="0" w:space="0" w:color="auto"/>
              </w:divBdr>
              <w:divsChild>
                <w:div w:id="2077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4125">
      <w:bodyDiv w:val="1"/>
      <w:marLeft w:val="0"/>
      <w:marRight w:val="0"/>
      <w:marTop w:val="0"/>
      <w:marBottom w:val="0"/>
      <w:divBdr>
        <w:top w:val="none" w:sz="0" w:space="0" w:color="auto"/>
        <w:left w:val="none" w:sz="0" w:space="0" w:color="auto"/>
        <w:bottom w:val="none" w:sz="0" w:space="0" w:color="auto"/>
        <w:right w:val="none" w:sz="0" w:space="0" w:color="auto"/>
      </w:divBdr>
    </w:div>
    <w:div w:id="1388072814">
      <w:bodyDiv w:val="1"/>
      <w:marLeft w:val="0"/>
      <w:marRight w:val="0"/>
      <w:marTop w:val="0"/>
      <w:marBottom w:val="0"/>
      <w:divBdr>
        <w:top w:val="none" w:sz="0" w:space="0" w:color="auto"/>
        <w:left w:val="none" w:sz="0" w:space="0" w:color="auto"/>
        <w:bottom w:val="none" w:sz="0" w:space="0" w:color="auto"/>
        <w:right w:val="none" w:sz="0" w:space="0" w:color="auto"/>
      </w:divBdr>
    </w:div>
    <w:div w:id="1580408091">
      <w:bodyDiv w:val="1"/>
      <w:marLeft w:val="0"/>
      <w:marRight w:val="0"/>
      <w:marTop w:val="0"/>
      <w:marBottom w:val="0"/>
      <w:divBdr>
        <w:top w:val="none" w:sz="0" w:space="0" w:color="auto"/>
        <w:left w:val="none" w:sz="0" w:space="0" w:color="auto"/>
        <w:bottom w:val="none" w:sz="0" w:space="0" w:color="auto"/>
        <w:right w:val="none" w:sz="0" w:space="0" w:color="auto"/>
      </w:divBdr>
      <w:divsChild>
        <w:div w:id="371736916">
          <w:marLeft w:val="0"/>
          <w:marRight w:val="0"/>
          <w:marTop w:val="0"/>
          <w:marBottom w:val="0"/>
          <w:divBdr>
            <w:top w:val="none" w:sz="0" w:space="0" w:color="auto"/>
            <w:left w:val="none" w:sz="0" w:space="0" w:color="auto"/>
            <w:bottom w:val="none" w:sz="0" w:space="0" w:color="auto"/>
            <w:right w:val="none" w:sz="0" w:space="0" w:color="auto"/>
          </w:divBdr>
          <w:divsChild>
            <w:div w:id="335502940">
              <w:marLeft w:val="0"/>
              <w:marRight w:val="0"/>
              <w:marTop w:val="0"/>
              <w:marBottom w:val="0"/>
              <w:divBdr>
                <w:top w:val="none" w:sz="0" w:space="0" w:color="auto"/>
                <w:left w:val="none" w:sz="0" w:space="0" w:color="auto"/>
                <w:bottom w:val="none" w:sz="0" w:space="0" w:color="auto"/>
                <w:right w:val="none" w:sz="0" w:space="0" w:color="auto"/>
              </w:divBdr>
              <w:divsChild>
                <w:div w:id="5382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79585">
      <w:bodyDiv w:val="1"/>
      <w:marLeft w:val="0"/>
      <w:marRight w:val="0"/>
      <w:marTop w:val="0"/>
      <w:marBottom w:val="0"/>
      <w:divBdr>
        <w:top w:val="none" w:sz="0" w:space="0" w:color="auto"/>
        <w:left w:val="none" w:sz="0" w:space="0" w:color="auto"/>
        <w:bottom w:val="none" w:sz="0" w:space="0" w:color="auto"/>
        <w:right w:val="none" w:sz="0" w:space="0" w:color="auto"/>
      </w:divBdr>
    </w:div>
    <w:div w:id="2129934767">
      <w:bodyDiv w:val="1"/>
      <w:marLeft w:val="0"/>
      <w:marRight w:val="0"/>
      <w:marTop w:val="0"/>
      <w:marBottom w:val="0"/>
      <w:divBdr>
        <w:top w:val="none" w:sz="0" w:space="0" w:color="auto"/>
        <w:left w:val="none" w:sz="0" w:space="0" w:color="auto"/>
        <w:bottom w:val="none" w:sz="0" w:space="0" w:color="auto"/>
        <w:right w:val="none" w:sz="0" w:space="0" w:color="auto"/>
      </w:divBdr>
      <w:divsChild>
        <w:div w:id="784930444">
          <w:marLeft w:val="0"/>
          <w:marRight w:val="0"/>
          <w:marTop w:val="0"/>
          <w:marBottom w:val="0"/>
          <w:divBdr>
            <w:top w:val="none" w:sz="0" w:space="0" w:color="auto"/>
            <w:left w:val="none" w:sz="0" w:space="0" w:color="auto"/>
            <w:bottom w:val="none" w:sz="0" w:space="0" w:color="auto"/>
            <w:right w:val="none" w:sz="0" w:space="0" w:color="auto"/>
          </w:divBdr>
          <w:divsChild>
            <w:div w:id="1387486566">
              <w:marLeft w:val="0"/>
              <w:marRight w:val="0"/>
              <w:marTop w:val="0"/>
              <w:marBottom w:val="0"/>
              <w:divBdr>
                <w:top w:val="none" w:sz="0" w:space="0" w:color="auto"/>
                <w:left w:val="none" w:sz="0" w:space="0" w:color="auto"/>
                <w:bottom w:val="none" w:sz="0" w:space="0" w:color="auto"/>
                <w:right w:val="none" w:sz="0" w:space="0" w:color="auto"/>
              </w:divBdr>
              <w:divsChild>
                <w:div w:id="6582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74266">
      <w:bodyDiv w:val="1"/>
      <w:marLeft w:val="0"/>
      <w:marRight w:val="0"/>
      <w:marTop w:val="0"/>
      <w:marBottom w:val="0"/>
      <w:divBdr>
        <w:top w:val="none" w:sz="0" w:space="0" w:color="auto"/>
        <w:left w:val="none" w:sz="0" w:space="0" w:color="auto"/>
        <w:bottom w:val="none" w:sz="0" w:space="0" w:color="auto"/>
        <w:right w:val="none" w:sz="0" w:space="0" w:color="auto"/>
      </w:divBdr>
    </w:div>
    <w:div w:id="21451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ed.tawfik011@eng-st.cu.edu.eg" TargetMode="External"/><Relationship Id="rId13" Type="http://schemas.openxmlformats.org/officeDocument/2006/relationships/hyperlink" Target="https://www.tpc.org/tpch/results/tpch_perf_results5.asp?resulttype=a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pc.org/TPC_Documents_Current_Versions/pdf/TPC-H_v3.0.1.pdf" TargetMode="External"/><Relationship Id="rId12" Type="http://schemas.openxmlformats.org/officeDocument/2006/relationships/hyperlink" Target="https://www.tpc.org/tpch/results/tpch_perf_results5.asp?resulttype=all" TargetMode="External"/><Relationship Id="rId17" Type="http://schemas.openxmlformats.org/officeDocument/2006/relationships/hyperlink" Target="https://www.tpc.org/tpch/results/tpch_perf_results5.asp?resulttype=all" TargetMode="External"/><Relationship Id="rId2" Type="http://schemas.openxmlformats.org/officeDocument/2006/relationships/styles" Target="styles.xml"/><Relationship Id="rId16" Type="http://schemas.openxmlformats.org/officeDocument/2006/relationships/hyperlink" Target="https://www.tpc.org/tpch/results/tpch_perf_results5.asp?resulttype=all" TargetMode="External"/><Relationship Id="rId1" Type="http://schemas.openxmlformats.org/officeDocument/2006/relationships/numbering" Target="numbering.xml"/><Relationship Id="rId6" Type="http://schemas.openxmlformats.org/officeDocument/2006/relationships/hyperlink" Target="https://www.tpc.org/tpch/" TargetMode="External"/><Relationship Id="rId11" Type="http://schemas.openxmlformats.org/officeDocument/2006/relationships/hyperlink" Target="https://www.tpc.org/tpch/results/tpch_perf_results5.asp?resulttype=all" TargetMode="External"/><Relationship Id="rId5" Type="http://schemas.openxmlformats.org/officeDocument/2006/relationships/image" Target="media/image1.png"/><Relationship Id="rId15" Type="http://schemas.openxmlformats.org/officeDocument/2006/relationships/hyperlink" Target="https://www.tpc.org/tpch/results/tpch_perf_results5.asp?resulttype=al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tpc.org/tpch/results/tpch_perf_results5.asp?resulttyp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1475</Words>
  <Characters>8412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Hany</dc:creator>
  <cp:keywords/>
  <dc:description/>
  <cp:lastModifiedBy>Ahmed Hany</cp:lastModifiedBy>
  <cp:revision>27</cp:revision>
  <dcterms:created xsi:type="dcterms:W3CDTF">2023-11-25T13:58:00Z</dcterms:created>
  <dcterms:modified xsi:type="dcterms:W3CDTF">2023-11-28T20:43:00Z</dcterms:modified>
</cp:coreProperties>
</file>