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2880" w:firstLine="0"/>
        <w:rPr/>
      </w:pPr>
      <w:bookmarkStart w:colFirst="0" w:colLast="0" w:name="_lz0o6gyx3g1" w:id="0"/>
      <w:bookmarkEnd w:id="0"/>
      <w:r w:rsidDel="00000000" w:rsidR="00000000" w:rsidRPr="00000000">
        <w:rPr>
          <w:rtl w:val="0"/>
        </w:rPr>
        <w:t xml:space="preserve">    Controllers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Controllers in laravel serve as the intermediary between incoming HTTP requests and your application’s logic, organizing code for better structure, reusability, and maintainability. They are a core component of Laravel’s Model-View-Controller (MVC) architecture, separating concerns by handling requests processing while models manage data and views handle presentation.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can create controllers by using the Artisan command-line tool to  generate a new controller.  (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php artisan make:controller ExampleController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creates a file in </w:t>
      </w:r>
      <w:r w:rsidDel="00000000" w:rsidR="00000000" w:rsidRPr="00000000">
        <w:rPr>
          <w:i w:val="1"/>
          <w:iCs w:val="1"/>
          <w:u w:val="single"/>
          <w:rtl w:val="0"/>
        </w:rPr>
        <w:t xml:space="preserve">app/HTTP/Controllers/ExampleController.php 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Best practices:-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controllers focused on a single resource or logical group.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dependency injection to enhance testability.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leverage resource controllers for CRUD operations.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middleware strategically to handle cross-cutting concerns.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Controllers are essentially for scalable,clean Laravel applications–especially as projects grow beyond simple routes.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