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5FA3"/>
          <w:sz w:val="44"/>
          <w:szCs w:val="44"/>
        </w:rPr>
        <w:t xml:space="preserve">Mid Progress Report</w:t>
      </w:r>
    </w:p>
    <w:p>
      <w:pPr>
        <w:spacing w:after="40" w:before="0"/>
        <w:jc w:val="center"/>
      </w:pPr>
      <w:r>
        <w:rPr>
          <w:rFonts w:ascii="Arial" w:cs="Arial" w:eastAsia="Arial" w:hAnsi="Arial"/>
          <w:color w:val="555555"/>
          <w:sz w:val="22"/>
          <w:szCs w:val="22"/>
        </w:rPr>
        <w:t xml:space="preserve">Skin Lesion Classification — ViT Early Fusion &amp; Hybrid ViT-MLP</w:t>
      </w:r>
    </w:p>
    <w:p>
      <w:pPr>
        <w:spacing w:after="200" w:before="0"/>
        <w:jc w:val="center"/>
      </w:pPr>
      <w:r>
        <w:rPr>
          <w:rFonts w:ascii="Arial" w:cs="Arial" w:eastAsia="Arial" w:hAnsi="Arial"/>
          <w:i/>
          <w:iCs/>
          <w:color w:val="555555"/>
          <w:sz w:val="20"/>
          <w:szCs w:val="20"/>
        </w:rPr>
        <w:t xml:space="preserve">April 2026</w:t>
      </w:r>
    </w:p>
    <w:p>
      <w:pPr>
        <w:pStyle w:val="Heading1"/>
        <w:pBdr>
          <w:bottom w:val="single" w:color="2E5FA3" w:sz="6" w:space="3"/>
        </w:pBdr>
        <w:spacing w:after="120" w:before="280"/>
      </w:pPr>
      <w:r>
        <w:rPr>
          <w:rFonts w:ascii="Arial" w:cs="Arial" w:eastAsia="Arial" w:hAnsi="Arial"/>
          <w:b/>
          <w:bCs/>
          <w:color w:val="2E5FA3"/>
          <w:sz w:val="28"/>
          <w:szCs w:val="28"/>
        </w:rPr>
        <w:t xml:space="preserve">1. The Models</w:t>
      </w:r>
    </w:p>
    <w:p>
      <w:pPr>
        <w:pStyle w:val="Heading2"/>
        <w:spacing w:after="80" w:before="180"/>
      </w:pPr>
      <w:r>
        <w:rPr>
          <w:rFonts w:ascii="Arial" w:cs="Arial" w:eastAsia="Arial" w:hAnsi="Arial"/>
          <w:b/>
          <w:bCs/>
          <w:color w:val="1F3864"/>
          <w:sz w:val="24"/>
          <w:szCs w:val="24"/>
        </w:rPr>
        <w:t xml:space="preserve">ViT Early Fusion</w:t>
      </w:r>
    </w:p>
    <w:p>
      <w:pPr>
        <w:spacing w:after="80" w:before="40"/>
      </w:pPr>
      <w:r>
        <w:rPr>
          <w:rFonts w:ascii="Arial" w:cs="Arial" w:eastAsia="Arial" w:hAnsi="Arial"/>
          <w:sz w:val="21"/>
          <w:szCs w:val="21"/>
        </w:rPr>
        <w:t xml:space="preserve">I built this model around a core design principle: metadata should inform visual reasoning, not just supplement it. I inject the 29 clinical features as a dedicated token directly into the ViT patch sequence before the first Transformer block, so every attention layer can cross-attend between image patches and clinical context simultaneously. The metadata is first projected to 768 dimensions via a two-layer MLP with LayerNorm and GELU, then given its own learnable positional embedding to match the patch token convention. The CLS token output feeds a lightweight classifier head. This is a true early fusion — not a concatenation at the end.</w:t>
      </w:r>
    </w:p>
    <w:p>
      <w:pPr>
        <w:spacing w:after="0" w:before="80"/>
      </w:pPr>
      <w:r>
        <w:t xml:space="preserve"/>
      </w:r>
    </w:p>
    <w:p>
      <w:pPr>
        <w:pStyle w:val="Heading2"/>
        <w:spacing w:after="80" w:before="180"/>
      </w:pPr>
      <w:r>
        <w:rPr>
          <w:rFonts w:ascii="Arial" w:cs="Arial" w:eastAsia="Arial" w:hAnsi="Arial"/>
          <w:b/>
          <w:bCs/>
          <w:color w:val="1F3864"/>
          <w:sz w:val="24"/>
          <w:szCs w:val="24"/>
        </w:rPr>
        <w:t xml:space="preserve">Hybrid ViT-MLP (Late Fusion)</w:t>
      </w:r>
    </w:p>
    <w:p>
      <w:pPr>
        <w:spacing w:after="80" w:before="40"/>
      </w:pPr>
      <w:r>
        <w:rPr>
          <w:rFonts w:ascii="Arial" w:cs="Arial" w:eastAsia="Arial" w:hAnsi="Arial"/>
          <w:sz w:val="21"/>
          <w:szCs w:val="21"/>
        </w:rPr>
        <w:t xml:space="preserve">I designed this model as a deliberate contrast: two fully independent branches that specialize separately and merge only at the final stage. The same ViT backbone extracts a 768-dimensional CLS token from the image, while a three-layer MLP (256 → 128 → 128) processes the metadata independently with its own LayerNorm and GELU stack. I concatenate both representations into a 896-dimensional vector that a fusion classifier then maps to the final prediction. The late-fusion design makes each branch individually interpretable and allows me to apply differential learning rates — 1e-4 for the ViT, 3e-4 for the MLP — reflecting their different convergence dynamics.</w:t>
      </w:r>
    </w:p>
    <w:p>
      <w:pPr>
        <w:spacing w:after="0" w:before="120"/>
      </w:pPr>
      <w:r>
        <w:t xml:space="preserve"/>
      </w:r>
    </w:p>
    <w:p>
      <w:pPr>
        <w:pStyle w:val="Heading1"/>
        <w:pBdr>
          <w:bottom w:val="single" w:color="2E5FA3" w:sz="6" w:space="3"/>
        </w:pBdr>
        <w:spacing w:after="120" w:before="280"/>
      </w:pPr>
      <w:r>
        <w:rPr>
          <w:rFonts w:ascii="Arial" w:cs="Arial" w:eastAsia="Arial" w:hAnsi="Arial"/>
          <w:b/>
          <w:bCs/>
          <w:color w:val="2E5FA3"/>
          <w:sz w:val="28"/>
          <w:szCs w:val="28"/>
        </w:rPr>
        <w:t xml:space="preserve">2. Training Approaches</w:t>
      </w:r>
    </w:p>
    <w:p>
      <w:pPr>
        <w:spacing w:after="80" w:before="40"/>
      </w:pPr>
      <w:r>
        <w:rPr>
          <w:rFonts w:ascii="Arial" w:cs="Arial" w:eastAsia="Arial" w:hAnsi="Arial"/>
          <w:sz w:val="21"/>
          <w:szCs w:val="21"/>
        </w:rPr>
        <w:t xml:space="preserve">Both models share the same foundational setup: 5-fold stratified cross-validation, batch size 32, 10 epochs maximum, early stopping at patience 3, AdamW optimizer, mixed precision training (AMP), and ImageNet normalization on both train and validation sets. The key differences are in scheduling and regularization.</w:t>
      </w:r>
    </w:p>
    <w:p>
      <w:pPr>
        <w:spacing w:after="0" w:before="60"/>
      </w:pPr>
      <w:r>
        <w:t xml:space="preserve"/>
      </w:r>
    </w:p>
    <w:p>
      <w:pPr>
        <w:spacing w:after="80" w:before="40"/>
      </w:pPr>
      <w:r>
        <w:rPr>
          <w:rFonts w:ascii="Arial" w:cs="Arial" w:eastAsia="Arial" w:hAnsi="Arial"/>
          <w:sz w:val="21"/>
          <w:szCs w:val="21"/>
        </w:rPr>
        <w:t xml:space="preserve">For ViT Early Fusion, I use CosineAnnealingLR with a conservative LR of 2e-5 and light label smoothing (0.05) — the deep integration of metadata into the Transformer requires a gentler optimization landscape. For the Hybrid model, I use OneCycleLR with aggressive warmup (pct_start=0.1), which better suits the faster-converging MLP branch running at 3x the ViT's learning rate. I also apply gradient clipping at norm 1.0 for the Hybrid to prevent the larger LR from causing instability.</w:t>
      </w:r>
    </w:p>
    <w:p>
      <w:pPr>
        <w:spacing w:after="0" w:before="60"/>
      </w:pPr>
      <w:r>
        <w:t xml:space="preserve"/>
      </w:r>
    </w:p>
    <w:p>
      <w:pPr>
        <w:spacing w:after="80" w:before="40"/>
      </w:pPr>
      <w:r>
        <w:rPr>
          <w:rFonts w:ascii="Arial" w:cs="Arial" w:eastAsia="Arial" w:hAnsi="Arial"/>
          <w:sz w:val="21"/>
          <w:szCs w:val="21"/>
        </w:rPr>
        <w:t xml:space="preserve">Both models apply horizontal/vertical flips, rotation, brightness/contrast jitter, and Gaussian blur or noise. I additionally applied CoarseDropout (8 holes, 32×32 pixels) to the Early Fusion model to simulate partial occlusions common in dermoscopy.</w:t>
      </w:r>
    </w:p>
    <w:p>
      <w:pPr>
        <w:spacing w:after="0" w:before="120"/>
      </w:pPr>
      <w:r>
        <w:t xml:space="preserve"/>
      </w:r>
    </w:p>
    <w:p>
      <w:pPr>
        <w:pStyle w:val="Heading1"/>
        <w:pBdr>
          <w:bottom w:val="single" w:color="2E5FA3" w:sz="6" w:space="3"/>
        </w:pBdr>
        <w:spacing w:after="120" w:before="280"/>
      </w:pPr>
      <w:r>
        <w:rPr>
          <w:rFonts w:ascii="Arial" w:cs="Arial" w:eastAsia="Arial" w:hAnsi="Arial"/>
          <w:b/>
          <w:bCs/>
          <w:color w:val="2E5FA3"/>
          <w:sz w:val="28"/>
          <w:szCs w:val="28"/>
        </w:rPr>
        <w:t xml:space="preserve">3. Results and Interpretation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FA3" w:val="clear"/>
            <w:tcMar>
              <w:top w:type="dxa" w:w="70"/>
              <w:left w:type="dxa" w:w="120"/>
              <w:bottom w:type="dxa" w:w="70"/>
              <w:right w:type="dxa" w:w="120"/>
            </w:tcMar>
          </w:tcPr>
          <w:p>
            <w:pPr>
              <w:jc w:val="left"/>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ViT Early Fusion</w:t>
            </w:r>
          </w:p>
        </w:tc>
        <w:tc>
          <w:tcPr>
            <w:tcW w:type="dxa" w:w="3120"/>
            <w:tcBorders>
              <w:top w:val="single" w:color="CCCCCC" w:sz="1"/>
              <w:left w:val="single" w:color="CCCCCC" w:sz="1"/>
              <w:bottom w:val="single" w:color="CCCCCC" w:sz="1"/>
              <w:right w:val="single" w:color="CCCCCC" w:sz="1"/>
            </w:tcBorders>
            <w:shd w:fill="2E5FA3" w:val="clear"/>
            <w:tcMar>
              <w:top w:type="dxa" w:w="70"/>
              <w:left w:type="dxa" w:w="120"/>
              <w:bottom w:type="dxa" w:w="70"/>
              <w:right w:type="dxa" w:w="120"/>
            </w:tcMar>
          </w:tcPr>
          <w:p>
            <w:pPr>
              <w:jc w:val="center"/>
            </w:pPr>
            <w:r>
              <w:rPr>
                <w:rFonts w:ascii="Arial" w:cs="Arial" w:eastAsia="Arial" w:hAnsi="Arial"/>
                <w:b/>
                <w:bCs/>
                <w:color w:val="FFFFFF"/>
                <w:sz w:val="20"/>
                <w:szCs w:val="20"/>
              </w:rPr>
              <w:t xml:space="preserve">Hybrid ViT-MLP</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Mean F1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0.8864</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0.8666</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Std F1</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±0.0029</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±0.0025</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Best F1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0.8915 (Fold 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0.8695 (Fold 2)</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Best AUC</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0.9596</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0.9493</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Best Accuracy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89.15%</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86.96%</w:t>
            </w:r>
          </w:p>
        </w:tc>
      </w:tr>
      <w:tr>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Precision (Melanoma)</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0.88</w:t>
            </w:r>
          </w:p>
        </w:tc>
        <w:tc>
          <w:tcPr>
            <w:tcW w:type="dxa" w:w="312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0.85</w:t>
            </w:r>
          </w:p>
        </w:tc>
      </w:tr>
      <w:tr>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000000"/>
                <w:sz w:val="20"/>
                <w:szCs w:val="20"/>
              </w:rPr>
              <w:t xml:space="preserve">Recall (Melanoma)</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0.91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000000"/>
                <w:sz w:val="20"/>
                <w:szCs w:val="20"/>
              </w:rPr>
              <w:t xml:space="preserve">0.89</w:t>
            </w:r>
          </w:p>
        </w:tc>
      </w:tr>
    </w:tbl>
    <w:p>
      <w:pPr>
        <w:spacing w:after="0" w:before="120"/>
      </w:pPr>
      <w:r>
        <w:t xml:space="preserve"/>
      </w:r>
    </w:p>
    <w:p>
      <w:pPr>
        <w:spacing w:after="80" w:before="40"/>
      </w:pPr>
      <w:r>
        <w:rPr>
          <w:rFonts w:ascii="Arial" w:cs="Arial" w:eastAsia="Arial" w:hAnsi="Arial"/>
          <w:sz w:val="21"/>
          <w:szCs w:val="21"/>
        </w:rPr>
        <w:t xml:space="preserve">The Early Fusion model outperforms the Hybrid across every metric, and I believe the architecture explains why. By injecting metadata into the attention mechanism, image patches learn visual features that are already conditioned on clinical context — for instance, a borderline lesion is interpreted differently when the model simultaneously knows the patient's age and anatomical location. The Hybrid model, despite having a stronger MLP branch, can only combine these signals after the image representation is already fixed, which is a fundamental limitation.</w:t>
      </w:r>
    </w:p>
    <w:p>
      <w:pPr>
        <w:spacing w:after="0" w:before="60"/>
      </w:pPr>
      <w:r>
        <w:t xml:space="preserve"/>
      </w:r>
    </w:p>
    <w:p>
      <w:pPr>
        <w:spacing w:after="80" w:before="40"/>
      </w:pPr>
      <w:r>
        <w:rPr>
          <w:rFonts w:ascii="Arial" w:cs="Arial" w:eastAsia="Arial" w:hAnsi="Arial"/>
          <w:sz w:val="21"/>
          <w:szCs w:val="21"/>
        </w:rPr>
        <w:t xml:space="preserve">Both models are remarkably stable across folds (std ≤ 0.003), which tells me the performance is not an artifact of any particular data split. The AUC scores — 0.9596 and 0.9493 — are particularly meaningful here: they reflect ranking ability across all thresholds, which is the clinically relevant metric for a triage tool where the operating point may shift depending on clinical context.</w:t>
      </w:r>
    </w:p>
    <w:p>
      <w:pPr>
        <w:spacing w:after="0" w:before="60"/>
      </w:pPr>
      <w:r>
        <w:t xml:space="preserve"/>
      </w:r>
    </w:p>
    <w:p>
      <w:pPr>
        <w:spacing w:after="80" w:before="40"/>
      </w:pPr>
      <w:r>
        <w:rPr>
          <w:rFonts w:ascii="Arial" w:cs="Arial" w:eastAsia="Arial" w:hAnsi="Arial"/>
          <w:sz w:val="21"/>
          <w:szCs w:val="21"/>
        </w:rPr>
        <w:t xml:space="preserve">One result worth noting: the Early Fusion model achieves 91% recall on melanoma (class 1), meaning it misses only 9% of true melanoma cases. For a screening application where missed malignancies carry the highest cost, this is the metric that matters most.</w:t>
      </w:r>
    </w:p>
    <w:p>
      <w:pPr>
        <w:spacing w:after="0" w:before="120"/>
      </w:pPr>
      <w:r>
        <w:t xml:space="preserve"/>
      </w:r>
    </w:p>
    <w:p>
      <w:pPr>
        <w:pStyle w:val="Heading1"/>
        <w:pBdr>
          <w:bottom w:val="single" w:color="2E5FA3" w:sz="6" w:space="3"/>
        </w:pBdr>
        <w:spacing w:after="120" w:before="280"/>
      </w:pPr>
      <w:r>
        <w:rPr>
          <w:rFonts w:ascii="Arial" w:cs="Arial" w:eastAsia="Arial" w:hAnsi="Arial"/>
          <w:b/>
          <w:bCs/>
          <w:color w:val="2E5FA3"/>
          <w:sz w:val="28"/>
          <w:szCs w:val="28"/>
        </w:rPr>
        <w:t xml:space="preserve">4. Strengths and Weaknesses</w:t>
      </w:r>
    </w:p>
    <w:p>
      <w:pPr>
        <w:pStyle w:val="Heading2"/>
        <w:spacing w:after="80" w:before="180"/>
      </w:pPr>
      <w:r>
        <w:rPr>
          <w:rFonts w:ascii="Arial" w:cs="Arial" w:eastAsia="Arial" w:hAnsi="Arial"/>
          <w:b/>
          <w:bCs/>
          <w:color w:val="1F3864"/>
          <w:sz w:val="24"/>
          <w:szCs w:val="24"/>
        </w:rPr>
        <w:t xml:space="preserve">Strengths</w:t>
      </w:r>
    </w:p>
    <w:p>
      <w:pPr>
        <w:pStyle w:val="ListParagraph"/>
        <w:numPr>
          <w:ilvl w:val="0"/>
          <w:numId w:val="2"/>
        </w:numPr>
        <w:spacing w:after="30" w:before="30"/>
      </w:pPr>
      <w:r>
        <w:rPr>
          <w:rFonts w:ascii="Arial" w:cs="Arial" w:eastAsia="Arial" w:hAnsi="Arial"/>
          <w:b/>
          <w:bCs/>
          <w:sz w:val="21"/>
          <w:szCs w:val="21"/>
        </w:rPr>
        <w:t xml:space="preserve">Deep multimodal integration: </w:t>
      </w:r>
      <w:r>
        <w:rPr>
          <w:rFonts w:ascii="Arial" w:cs="Arial" w:eastAsia="Arial" w:hAnsi="Arial"/>
          <w:sz w:val="21"/>
          <w:szCs w:val="21"/>
        </w:rPr>
        <w:t xml:space="preserve">The Early Fusion architecture is the primary strength. By letting image patches attend to metadata at every layer, I enable the model to learn visual features that are inherently conditioned on clinical context — something no late-fusion model can replicate.</w:t>
      </w:r>
    </w:p>
    <w:p>
      <w:pPr>
        <w:pStyle w:val="ListParagraph"/>
        <w:numPr>
          <w:ilvl w:val="0"/>
          <w:numId w:val="2"/>
        </w:numPr>
        <w:spacing w:after="30" w:before="30"/>
      </w:pPr>
      <w:r>
        <w:rPr>
          <w:rFonts w:ascii="Arial" w:cs="Arial" w:eastAsia="Arial" w:hAnsi="Arial"/>
          <w:b/>
          <w:bCs/>
          <w:sz w:val="21"/>
          <w:szCs w:val="21"/>
        </w:rPr>
        <w:t xml:space="preserve">Stable cross-validation: </w:t>
      </w:r>
      <w:r>
        <w:rPr>
          <w:rFonts w:ascii="Arial" w:cs="Arial" w:eastAsia="Arial" w:hAnsi="Arial"/>
          <w:sz w:val="21"/>
          <w:szCs w:val="21"/>
        </w:rPr>
        <w:t xml:space="preserve">Both models achieve std &lt; 0.003 across 5 folds, which gives me confidence that the results generalize beyond any single split.</w:t>
      </w:r>
    </w:p>
    <w:p>
      <w:pPr>
        <w:pStyle w:val="ListParagraph"/>
        <w:numPr>
          <w:ilvl w:val="0"/>
          <w:numId w:val="2"/>
        </w:numPr>
        <w:spacing w:after="30" w:before="30"/>
      </w:pPr>
      <w:r>
        <w:rPr>
          <w:rFonts w:ascii="Arial" w:cs="Arial" w:eastAsia="Arial" w:hAnsi="Arial"/>
          <w:b/>
          <w:bCs/>
          <w:sz w:val="21"/>
          <w:szCs w:val="21"/>
        </w:rPr>
        <w:t xml:space="preserve">Correct normalization and reproducibility: </w:t>
      </w:r>
      <w:r>
        <w:rPr>
          <w:rFonts w:ascii="Arial" w:cs="Arial" w:eastAsia="Arial" w:hAnsi="Arial"/>
          <w:sz w:val="21"/>
          <w:szCs w:val="21"/>
        </w:rPr>
        <w:t xml:space="preserve">Both models apply ImageNet normalization correctly, preserve pretrained feature quality, and save best-epoch weights — all gaps I identified in the previous phase and fixed here.</w:t>
      </w:r>
    </w:p>
    <w:p>
      <w:pPr>
        <w:pStyle w:val="ListParagraph"/>
        <w:numPr>
          <w:ilvl w:val="0"/>
          <w:numId w:val="2"/>
        </w:numPr>
        <w:spacing w:after="30" w:before="30"/>
      </w:pPr>
      <w:r>
        <w:rPr>
          <w:rFonts w:ascii="Arial" w:cs="Arial" w:eastAsia="Arial" w:hAnsi="Arial"/>
          <w:b/>
          <w:bCs/>
          <w:sz w:val="21"/>
          <w:szCs w:val="21"/>
        </w:rPr>
        <w:t xml:space="preserve">Clinically relevant threshold: </w:t>
      </w:r>
      <w:r>
        <w:rPr>
          <w:rFonts w:ascii="Arial" w:cs="Arial" w:eastAsia="Arial" w:hAnsi="Arial"/>
          <w:sz w:val="21"/>
          <w:szCs w:val="21"/>
        </w:rPr>
        <w:t xml:space="preserve">I compute the Youden-J optimal threshold from the ROC curve at every epoch rather than defaulting to 0.5, which is critical for imbalanced medical data.</w:t>
      </w:r>
    </w:p>
    <w:p>
      <w:pPr>
        <w:spacing w:after="0" w:before="80"/>
      </w:pPr>
      <w:r>
        <w:t xml:space="preserve"/>
      </w:r>
    </w:p>
    <w:p>
      <w:pPr>
        <w:pStyle w:val="Heading2"/>
        <w:spacing w:after="80" w:before="180"/>
      </w:pPr>
      <w:r>
        <w:rPr>
          <w:rFonts w:ascii="Arial" w:cs="Arial" w:eastAsia="Arial" w:hAnsi="Arial"/>
          <w:b/>
          <w:bCs/>
          <w:color w:val="1F3864"/>
          <w:sz w:val="24"/>
          <w:szCs w:val="24"/>
        </w:rPr>
        <w:t xml:space="preserve">Weaknesses</w:t>
      </w:r>
    </w:p>
    <w:p>
      <w:pPr>
        <w:pStyle w:val="ListParagraph"/>
        <w:numPr>
          <w:ilvl w:val="0"/>
          <w:numId w:val="2"/>
        </w:numPr>
        <w:spacing w:after="30" w:before="30"/>
      </w:pPr>
      <w:r>
        <w:rPr>
          <w:rFonts w:ascii="Arial" w:cs="Arial" w:eastAsia="Arial" w:hAnsi="Arial"/>
          <w:b/>
          <w:bCs/>
          <w:sz w:val="21"/>
          <w:szCs w:val="21"/>
        </w:rPr>
        <w:t xml:space="preserve">Overfitting gap in Early Fusion: </w:t>
      </w:r>
      <w:r>
        <w:rPr>
          <w:rFonts w:ascii="Arial" w:cs="Arial" w:eastAsia="Arial" w:hAnsi="Arial"/>
          <w:sz w:val="21"/>
          <w:szCs w:val="21"/>
        </w:rPr>
        <w:t xml:space="preserve">Train accuracy reaches ~93% while val plateaus at ~89% from epoch 7 onward, and val loss rises even as train loss continues to fall. The model has capacity to spare, and I need stronger regularization — higher dropout, stochastic depth, or mixup augmentation.</w:t>
      </w:r>
    </w:p>
    <w:p>
      <w:pPr>
        <w:pStyle w:val="ListParagraph"/>
        <w:numPr>
          <w:ilvl w:val="0"/>
          <w:numId w:val="2"/>
        </w:numPr>
        <w:spacing w:after="30" w:before="30"/>
      </w:pPr>
      <w:r>
        <w:rPr>
          <w:rFonts w:ascii="Arial" w:cs="Arial" w:eastAsia="Arial" w:hAnsi="Arial"/>
          <w:b/>
          <w:bCs/>
          <w:sz w:val="21"/>
          <w:szCs w:val="21"/>
        </w:rPr>
        <w:t xml:space="preserve">Threshold instability: </w:t>
      </w:r>
      <w:r>
        <w:rPr>
          <w:rFonts w:ascii="Arial" w:cs="Arial" w:eastAsia="Arial" w:hAnsi="Arial"/>
          <w:sz w:val="21"/>
          <w:szCs w:val="21"/>
        </w:rPr>
        <w:t xml:space="preserve">The optimal threshold in the Early Fusion model fluctuates between 0.37 and 0.68 across epochs, suggesting the model's confidence is not well calibrated. Temperature scaling post-training would help stabilize this.</w:t>
      </w:r>
    </w:p>
    <w:p>
      <w:pPr>
        <w:pStyle w:val="ListParagraph"/>
        <w:numPr>
          <w:ilvl w:val="0"/>
          <w:numId w:val="2"/>
        </w:numPr>
        <w:spacing w:after="30" w:before="30"/>
      </w:pPr>
      <w:r>
        <w:rPr>
          <w:rFonts w:ascii="Arial" w:cs="Arial" w:eastAsia="Arial" w:hAnsi="Arial"/>
          <w:b/>
          <w:bCs/>
          <w:sz w:val="21"/>
          <w:szCs w:val="21"/>
        </w:rPr>
        <w:t xml:space="preserve">No held-out test set: </w:t>
      </w:r>
      <w:r>
        <w:rPr>
          <w:rFonts w:ascii="Arial" w:cs="Arial" w:eastAsia="Arial" w:hAnsi="Arial"/>
          <w:sz w:val="21"/>
          <w:szCs w:val="21"/>
        </w:rPr>
        <w:t xml:space="preserve">All reported numbers are on validation folds used during cross-validation, which makes them optimistic. A properly isolated test set would give a more honest estimate of generalization.</w:t>
      </w:r>
    </w:p>
    <w:p>
      <w:pPr>
        <w:pStyle w:val="ListParagraph"/>
        <w:numPr>
          <w:ilvl w:val="0"/>
          <w:numId w:val="2"/>
        </w:numPr>
        <w:spacing w:after="30" w:before="30"/>
      </w:pPr>
      <w:r>
        <w:rPr>
          <w:rFonts w:ascii="Arial" w:cs="Arial" w:eastAsia="Arial" w:hAnsi="Arial"/>
          <w:b/>
          <w:bCs/>
          <w:sz w:val="21"/>
          <w:szCs w:val="21"/>
        </w:rPr>
        <w:t xml:space="preserve">SHAP uses zero-image input: </w:t>
      </w:r>
      <w:r>
        <w:rPr>
          <w:rFonts w:ascii="Arial" w:cs="Arial" w:eastAsia="Arial" w:hAnsi="Arial"/>
          <w:sz w:val="21"/>
          <w:szCs w:val="21"/>
        </w:rPr>
        <w:t xml:space="preserve">During SHAP computation, I pass a zero tensor as the image input to isolate metadata contributions. This effectively disables the image branch and produces SHAP values that understate the image modality's true influence. A mean-image or representative-image baseline would give more honest explanations.</w:t>
      </w:r>
    </w:p>
    <w:p>
      <w:pPr>
        <w:pStyle w:val="ListParagraph"/>
        <w:numPr>
          <w:ilvl w:val="0"/>
          <w:numId w:val="2"/>
        </w:numPr>
        <w:spacing w:after="30" w:before="30"/>
      </w:pPr>
      <w:r>
        <w:rPr>
          <w:rFonts w:ascii="Arial" w:cs="Arial" w:eastAsia="Arial" w:hAnsi="Arial"/>
          <w:b/>
          <w:bCs/>
          <w:sz w:val="21"/>
          <w:szCs w:val="21"/>
        </w:rPr>
        <w:t xml:space="preserve">Performance gap in Hybrid model: </w:t>
      </w:r>
      <w:r>
        <w:rPr>
          <w:rFonts w:ascii="Arial" w:cs="Arial" w:eastAsia="Arial" w:hAnsi="Arial"/>
          <w:sz w:val="21"/>
          <w:szCs w:val="21"/>
        </w:rPr>
        <w:t xml:space="preserve">The Hybrid ViT-MLP trails by ~2% in mean F1. This is consistent with the late-fusion limitation: the image representation is learned without any awareness of metadata, leaving cross-modal synergies unexploited.</w:t>
      </w:r>
    </w:p>
    <w:p>
      <w:pPr>
        <w:spacing w:after="0" w:before="120"/>
      </w:pPr>
      <w:r>
        <w:t xml:space="preserve"/>
      </w:r>
    </w:p>
    <w:p>
      <w:pPr>
        <w:pStyle w:val="Heading1"/>
        <w:pBdr>
          <w:bottom w:val="single" w:color="2E5FA3" w:sz="6" w:space="3"/>
        </w:pBdr>
        <w:spacing w:after="120" w:before="280"/>
      </w:pPr>
      <w:r>
        <w:rPr>
          <w:rFonts w:ascii="Arial" w:cs="Arial" w:eastAsia="Arial" w:hAnsi="Arial"/>
          <w:b/>
          <w:bCs/>
          <w:color w:val="2E5FA3"/>
          <w:sz w:val="28"/>
          <w:szCs w:val="28"/>
        </w:rPr>
        <w:t xml:space="preserve">5. What I Will Improve Next</w:t>
      </w:r>
    </w:p>
    <w:p>
      <w:pPr>
        <w:pStyle w:val="ListParagraph"/>
        <w:numPr>
          <w:ilvl w:val="0"/>
          <w:numId w:val="2"/>
        </w:numPr>
        <w:spacing w:after="30" w:before="30"/>
      </w:pPr>
      <w:r>
        <w:rPr>
          <w:rFonts w:ascii="Arial" w:cs="Arial" w:eastAsia="Arial" w:hAnsi="Arial"/>
          <w:b/>
          <w:bCs/>
          <w:sz w:val="21"/>
          <w:szCs w:val="21"/>
        </w:rPr>
        <w:t xml:space="preserve">Held-out test set: </w:t>
      </w:r>
      <w:r>
        <w:rPr>
          <w:rFonts w:ascii="Arial" w:cs="Arial" w:eastAsia="Arial" w:hAnsi="Arial"/>
          <w:sz w:val="21"/>
          <w:szCs w:val="21"/>
        </w:rPr>
        <w:t xml:space="preserve">I will create a proper stratified test split before training begins and report final numbers only on this set.</w:t>
      </w:r>
    </w:p>
    <w:p>
      <w:pPr>
        <w:pStyle w:val="ListParagraph"/>
        <w:numPr>
          <w:ilvl w:val="0"/>
          <w:numId w:val="2"/>
        </w:numPr>
        <w:spacing w:after="30" w:before="30"/>
      </w:pPr>
      <w:r>
        <w:rPr>
          <w:rFonts w:ascii="Arial" w:cs="Arial" w:eastAsia="Arial" w:hAnsi="Arial"/>
          <w:b/>
          <w:bCs/>
          <w:sz w:val="21"/>
          <w:szCs w:val="21"/>
        </w:rPr>
        <w:t xml:space="preserve">Fix SHAP baseline: </w:t>
      </w:r>
      <w:r>
        <w:rPr>
          <w:rFonts w:ascii="Arial" w:cs="Arial" w:eastAsia="Arial" w:hAnsi="Arial"/>
          <w:sz w:val="21"/>
          <w:szCs w:val="21"/>
        </w:rPr>
        <w:t xml:space="preserve">I will replace the zero-image input with a mean-image baseline so that SHAP values reflect the true multimodal contribution of each metadata feature.</w:t>
      </w:r>
    </w:p>
    <w:p>
      <w:pPr>
        <w:pStyle w:val="ListParagraph"/>
        <w:numPr>
          <w:ilvl w:val="0"/>
          <w:numId w:val="2"/>
        </w:numPr>
        <w:spacing w:after="30" w:before="30"/>
      </w:pPr>
      <w:r>
        <w:rPr>
          <w:rFonts w:ascii="Arial" w:cs="Arial" w:eastAsia="Arial" w:hAnsi="Arial"/>
          <w:b/>
          <w:bCs/>
          <w:sz w:val="21"/>
          <w:szCs w:val="21"/>
        </w:rPr>
        <w:t xml:space="preserve">Add Captum Integrated Gradients: </w:t>
      </w:r>
      <w:r>
        <w:rPr>
          <w:rFonts w:ascii="Arial" w:cs="Arial" w:eastAsia="Arial" w:hAnsi="Arial"/>
          <w:sz w:val="21"/>
          <w:szCs w:val="21"/>
        </w:rPr>
        <w:t xml:space="preserve">IG provides theoretically rigorous per-pixel attribution without requiring the spatial reshape approximation needed for GradCAM — especially important for Transformer architectures.</w:t>
      </w:r>
    </w:p>
    <w:p>
      <w:pPr>
        <w:pStyle w:val="ListParagraph"/>
        <w:numPr>
          <w:ilvl w:val="0"/>
          <w:numId w:val="2"/>
        </w:numPr>
        <w:spacing w:after="30" w:before="30"/>
      </w:pPr>
      <w:r>
        <w:rPr>
          <w:rFonts w:ascii="Arial" w:cs="Arial" w:eastAsia="Arial" w:hAnsi="Arial"/>
          <w:b/>
          <w:bCs/>
          <w:sz w:val="21"/>
          <w:szCs w:val="21"/>
        </w:rPr>
        <w:t xml:space="preserve">Reduce overfitting: </w:t>
      </w:r>
      <w:r>
        <w:rPr>
          <w:rFonts w:ascii="Arial" w:cs="Arial" w:eastAsia="Arial" w:hAnsi="Arial"/>
          <w:sz w:val="21"/>
          <w:szCs w:val="21"/>
        </w:rPr>
        <w:t xml:space="preserve">I will experiment with stochastic depth, higher dropout in the classifier, and mixup augmentation to close the 4% train-val gap in the Early Fusion model.</w:t>
      </w:r>
    </w:p>
    <w:p>
      <w:pPr>
        <w:pStyle w:val="ListParagraph"/>
        <w:numPr>
          <w:ilvl w:val="0"/>
          <w:numId w:val="2"/>
        </w:numPr>
        <w:spacing w:after="30" w:before="30"/>
      </w:pPr>
      <w:r>
        <w:rPr>
          <w:rFonts w:ascii="Arial" w:cs="Arial" w:eastAsia="Arial" w:hAnsi="Arial"/>
          <w:b/>
          <w:bCs/>
          <w:sz w:val="21"/>
          <w:szCs w:val="21"/>
        </w:rPr>
        <w:t xml:space="preserve">Calibration: </w:t>
      </w:r>
      <w:r>
        <w:rPr>
          <w:rFonts w:ascii="Arial" w:cs="Arial" w:eastAsia="Arial" w:hAnsi="Arial"/>
          <w:sz w:val="21"/>
          <w:szCs w:val="21"/>
        </w:rPr>
        <w:t xml:space="preserve">I will apply temperature scaling post-training to stabilize the optimal threshold and make confidence scores more reliable.</w:t>
      </w:r>
    </w:p>
    <w:p>
      <w:pPr>
        <w:spacing w:after="0" w:before="80"/>
      </w:pPr>
      <w:r>
        <w:t xml:space="preserve"/>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2E5FA3"/>
      <w:sz w:val="28"/>
      <w:szCs w:val="28"/>
    </w:rPr>
  </w:style>
  <w:style w:type="paragraph" w:styleId="Heading2">
    <w:name w:val="Heading 2"/>
    <w:basedOn w:val="Normal"/>
    <w:next w:val="Normal"/>
    <w:qFormat/>
    <w:pPr>
      <w:spacing w:after="80" w:before="18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2026-04-24T21:50:30.173Z</dcterms:created>
  <dcterms:modified xsi:type="dcterms:W3CDTF">2026-04-24T21:50:30.174Z</dcterms:modified>
</cp:coreProperties>
</file>

<file path=docProps/custom.xml><?xml version="1.0" encoding="utf-8"?>
<Properties xmlns="http://schemas.openxmlformats.org/officeDocument/2006/custom-properties" xmlns:vt="http://schemas.openxmlformats.org/officeDocument/2006/docPropsVTypes"/>
</file>