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F4E79"/>
          <w:sz w:val="40"/>
          <w:szCs w:val="40"/>
        </w:rPr>
        <w:t xml:space="preserve">Mid-Progress Report</w:t>
      </w:r>
    </w:p>
    <w:p>
      <w:pPr>
        <w:spacing w:after="60" w:before="0"/>
        <w:jc w:val="center"/>
      </w:pPr>
      <w:r>
        <w:rPr>
          <w:rFonts w:ascii="Arial" w:cs="Arial" w:eastAsia="Arial" w:hAnsi="Arial"/>
          <w:i/>
          <w:iCs/>
          <w:color w:val="2E75B6"/>
          <w:sz w:val="24"/>
          <w:szCs w:val="24"/>
        </w:rPr>
        <w:t xml:space="preserve">Multimodal Skin Lesion Classification</w:t>
      </w:r>
    </w:p>
    <w:p>
      <w:pPr>
        <w:pBdr>
          <w:bottom w:val="single" w:color="2E75B6" w:sz="4" w:space="1"/>
        </w:pBdr>
        <w:spacing w:after="80" w:before="80"/>
      </w:pPr>
      <w:r>
        <w:t xml:space="preserve"/>
      </w:r>
    </w:p>
    <w:p>
      <w:pPr>
        <w:spacing w:after="0" w:before="60"/>
      </w:pPr>
      <w:r>
        <w:t xml:space="preserve"/>
      </w:r>
    </w:p>
    <w:p>
      <w:pPr>
        <w:pStyle w:val="Heading1"/>
        <w:spacing w:after="80" w:before="180"/>
      </w:pPr>
      <w:r>
        <w:rPr>
          <w:rFonts w:ascii="Arial" w:cs="Arial" w:eastAsia="Arial" w:hAnsi="Arial"/>
          <w:b/>
          <w:bCs/>
          <w:color w:val="1F4E79"/>
          <w:sz w:val="26"/>
          <w:szCs w:val="26"/>
        </w:rPr>
        <w:t xml:space="preserve">1. Overview</w:t>
      </w:r>
    </w:p>
    <w:p>
      <w:pPr>
        <w:spacing w:after="60" w:before="60"/>
        <w:jc w:val="both"/>
      </w:pPr>
      <w:r>
        <w:rPr>
          <w:rFonts w:ascii="Arial" w:cs="Arial" w:eastAsia="Arial" w:hAnsi="Arial"/>
          <w:color w:val="1A1A2E"/>
          <w:sz w:val="20"/>
          <w:szCs w:val="20"/>
        </w:rPr>
        <w:t xml:space="preserve">I designed, trained, and evaluated three multimodal deep learning architectures for binary skin lesion classification (benign vs. malignant) on the ISIC-DICM-17K dataset. Each model fuses image features from a pretrained visual backbone with structured clinical metadata using a distinct fusion strategy: </w:t>
      </w:r>
      <w:r>
        <w:rPr>
          <w:rFonts w:ascii="Arial" w:cs="Arial" w:eastAsia="Arial" w:hAnsi="Arial"/>
          <w:b/>
          <w:bCs/>
          <w:color w:val="1A1A2E"/>
          <w:sz w:val="20"/>
          <w:szCs w:val="20"/>
        </w:rPr>
        <w:t xml:space="preserve">EfficientNetV2-S + TabTransformer with Cross-Attention</w:t>
      </w:r>
      <w:r>
        <w:rPr>
          <w:rFonts w:ascii="Arial" w:cs="Arial" w:eastAsia="Arial" w:hAnsi="Arial"/>
          <w:color w:val="1A1A2E"/>
          <w:sz w:val="20"/>
          <w:szCs w:val="20"/>
        </w:rPr>
        <w:t xml:space="preserve">, </w:t>
      </w:r>
      <w:r>
        <w:rPr>
          <w:rFonts w:ascii="Arial" w:cs="Arial" w:eastAsia="Arial" w:hAnsi="Arial"/>
          <w:b/>
          <w:bCs/>
          <w:color w:val="1A1A2E"/>
          <w:sz w:val="20"/>
          <w:szCs w:val="20"/>
        </w:rPr>
        <w:t xml:space="preserve">EfficientNetV2-S + TabTransformer with Gated Fusion</w:t>
      </w:r>
      <w:r>
        <w:rPr>
          <w:rFonts w:ascii="Arial" w:cs="Arial" w:eastAsia="Arial" w:hAnsi="Arial"/>
          <w:color w:val="1A1A2E"/>
          <w:sz w:val="20"/>
          <w:szCs w:val="20"/>
        </w:rPr>
        <w:t xml:space="preserve">, and </w:t>
      </w:r>
      <w:r>
        <w:rPr>
          <w:rFonts w:ascii="Arial" w:cs="Arial" w:eastAsia="Arial" w:hAnsi="Arial"/>
          <w:b/>
          <w:bCs/>
          <w:color w:val="1A1A2E"/>
          <w:sz w:val="20"/>
          <w:szCs w:val="20"/>
        </w:rPr>
        <w:t xml:space="preserve">Swin Transformer V2 + TabTransformer with Cross-Attention</w:t>
      </w:r>
      <w:r>
        <w:rPr>
          <w:rFonts w:ascii="Arial" w:cs="Arial" w:eastAsia="Arial" w:hAnsi="Arial"/>
          <w:color w:val="1A1A2E"/>
          <w:sz w:val="20"/>
          <w:szCs w:val="20"/>
        </w:rPr>
        <w:t xml:space="preserve">. All three share a common evaluation protocol: EMA-smoothed AUC (α = 0.3) for early stopping, Youden-optimal classification thresholds, and 5-step Test-Time Augmentation at inference.</w:t>
      </w:r>
    </w:p>
    <w:p>
      <w:pPr>
        <w:spacing w:after="0" w:before="60"/>
      </w:pPr>
      <w:r>
        <w:t xml:space="preserve"/>
      </w:r>
    </w:p>
    <w:p>
      <w:pPr>
        <w:pStyle w:val="Heading1"/>
        <w:spacing w:after="80" w:before="180"/>
      </w:pPr>
      <w:r>
        <w:rPr>
          <w:rFonts w:ascii="Arial" w:cs="Arial" w:eastAsia="Arial" w:hAnsi="Arial"/>
          <w:b/>
          <w:bCs/>
          <w:color w:val="1F4E79"/>
          <w:sz w:val="26"/>
          <w:szCs w:val="26"/>
        </w:rPr>
        <w:t xml:space="preserve">2. Model Architectures</w:t>
      </w:r>
    </w:p>
    <w:p>
      <w:pPr>
        <w:pStyle w:val="Heading2"/>
        <w:spacing w:after="60" w:before="140"/>
      </w:pPr>
      <w:r>
        <w:rPr>
          <w:rFonts w:ascii="Arial" w:cs="Arial" w:eastAsia="Arial" w:hAnsi="Arial"/>
          <w:b/>
          <w:bCs/>
          <w:color w:val="2E75B6"/>
          <w:sz w:val="22"/>
          <w:szCs w:val="22"/>
        </w:rPr>
        <w:t xml:space="preserve">2.1  EfficientNetV2-S + TabTransformer + Cross-Attention</w:t>
      </w:r>
    </w:p>
    <w:p>
      <w:pPr>
        <w:spacing w:after="60" w:before="60"/>
        <w:jc w:val="both"/>
      </w:pPr>
      <w:r>
        <w:rPr>
          <w:rFonts w:ascii="Arial" w:cs="Arial" w:eastAsia="Arial" w:hAnsi="Arial"/>
          <w:color w:val="1A1A2E"/>
          <w:sz w:val="20"/>
          <w:szCs w:val="20"/>
        </w:rPr>
        <w:t xml:space="preserve">I used </w:t>
      </w:r>
      <w:r>
        <w:rPr>
          <w:rFonts w:ascii="Arial" w:cs="Arial" w:eastAsia="Arial" w:hAnsi="Arial"/>
          <w:b/>
          <w:bCs/>
          <w:color w:val="1A1A2E"/>
          <w:sz w:val="20"/>
          <w:szCs w:val="20"/>
        </w:rPr>
        <w:t xml:space="preserve">EfficientNetV2-S pretrained on ImageNet-21k</w:t>
      </w:r>
      <w:r>
        <w:rPr>
          <w:rFonts w:ascii="Arial" w:cs="Arial" w:eastAsia="Arial" w:hAnsi="Arial"/>
          <w:color w:val="1A1A2E"/>
          <w:sz w:val="20"/>
          <w:szCs w:val="20"/>
        </w:rPr>
        <w:t xml:space="preserve"> at 384 × 384 resolution as the image encoder (</w:t>
      </w:r>
      <w:r>
        <w:rPr>
          <w:rFonts w:ascii="Arial" w:cs="Arial" w:eastAsia="Arial" w:hAnsi="Arial"/>
          <w:i/>
          <w:iCs/>
          <w:color w:val="1A1A2E"/>
          <w:sz w:val="20"/>
          <w:szCs w:val="20"/>
        </w:rPr>
        <w:t xml:space="preserve">tf_efficientnetv2_s.in21k_ft_in1k</w:t>
      </w:r>
      <w:r>
        <w:rPr>
          <w:rFonts w:ascii="Arial" w:cs="Arial" w:eastAsia="Arial" w:hAnsi="Arial"/>
          <w:color w:val="1A1A2E"/>
          <w:sz w:val="20"/>
          <w:szCs w:val="20"/>
        </w:rPr>
        <w:t xml:space="preserve">). I froze the first four convolutional blocks and applied gradual unfreezing at epochs 10 and 20, giving the pretrained low-level features time to stabilise before the full backbone is fine-tuned. A </w:t>
      </w:r>
      <w:r>
        <w:rPr>
          <w:rFonts w:ascii="Arial" w:cs="Arial" w:eastAsia="Arial" w:hAnsi="Arial"/>
          <w:b/>
          <w:bCs/>
          <w:color w:val="1A1A2E"/>
          <w:sz w:val="20"/>
          <w:szCs w:val="20"/>
        </w:rPr>
        <w:t xml:space="preserve">TabTransformer</w:t>
      </w:r>
      <w:r>
        <w:rPr>
          <w:rFonts w:ascii="Arial" w:cs="Arial" w:eastAsia="Arial" w:hAnsi="Arial"/>
          <w:color w:val="1A1A2E"/>
          <w:sz w:val="20"/>
          <w:szCs w:val="20"/>
        </w:rPr>
        <w:t xml:space="preserve"> (depth 2, 4 heads) maps each clinical feature into a D-dimensional token. I then fused image patch tokens and tabular tokens through </w:t>
      </w:r>
      <w:r>
        <w:rPr>
          <w:rFonts w:ascii="Arial" w:cs="Arial" w:eastAsia="Arial" w:hAnsi="Arial"/>
          <w:b/>
          <w:bCs/>
          <w:color w:val="1A1A2E"/>
          <w:sz w:val="20"/>
          <w:szCs w:val="20"/>
        </w:rPr>
        <w:t xml:space="preserve">two bidirectional cross-attention layers (8 heads)</w:t>
      </w:r>
      <w:r>
        <w:rPr>
          <w:rFonts w:ascii="Arial" w:cs="Arial" w:eastAsia="Arial" w:hAnsi="Arial"/>
          <w:color w:val="1A1A2E"/>
          <w:sz w:val="20"/>
          <w:szCs w:val="20"/>
        </w:rPr>
        <w:t xml:space="preserve">, so each modality directly conditions how the other is interpreted — a lesion that looks ambiguous visually can become clearly classifiable once the model factors in patient age and anatomical site. The classifier head reads the fused CLS token and produces two output logits.</w:t>
      </w:r>
    </w:p>
    <w:p>
      <w:pPr>
        <w:spacing w:after="60" w:before="60"/>
        <w:jc w:val="both"/>
      </w:pPr>
      <w:r>
        <w:rPr>
          <w:rFonts w:ascii="Arial" w:cs="Arial" w:eastAsia="Arial" w:hAnsi="Arial"/>
          <w:color w:val="1A1A2E"/>
          <w:sz w:val="20"/>
          <w:szCs w:val="20"/>
        </w:rPr>
        <w:t xml:space="preserve">Training uses </w:t>
      </w:r>
      <w:r>
        <w:rPr>
          <w:rFonts w:ascii="Arial" w:cs="Arial" w:eastAsia="Arial" w:hAnsi="Arial"/>
          <w:b/>
          <w:bCs/>
          <w:color w:val="1A1A2E"/>
          <w:sz w:val="20"/>
          <w:szCs w:val="20"/>
        </w:rPr>
        <w:t xml:space="preserve">Focal Loss</w:t>
      </w:r>
      <w:r>
        <w:rPr>
          <w:rFonts w:ascii="Arial" w:cs="Arial" w:eastAsia="Arial" w:hAnsi="Arial"/>
          <w:color w:val="1A1A2E"/>
          <w:sz w:val="20"/>
          <w:szCs w:val="20"/>
        </w:rPr>
        <w:t xml:space="preserve"> (α = 0.25, γ = 2.0) to down-weight easy negatives, </w:t>
      </w:r>
      <w:r>
        <w:rPr>
          <w:rFonts w:ascii="Arial" w:cs="Arial" w:eastAsia="Arial" w:hAnsi="Arial"/>
          <w:b/>
          <w:bCs/>
          <w:color w:val="1A1A2E"/>
          <w:sz w:val="20"/>
          <w:szCs w:val="20"/>
        </w:rPr>
        <w:t xml:space="preserve">CutMix</w:t>
      </w:r>
      <w:r>
        <w:rPr>
          <w:rFonts w:ascii="Arial" w:cs="Arial" w:eastAsia="Arial" w:hAnsi="Arial"/>
          <w:color w:val="1A1A2E"/>
          <w:sz w:val="20"/>
          <w:szCs w:val="20"/>
        </w:rPr>
        <w:t xml:space="preserve"> (p = 0.30) and </w:t>
      </w:r>
      <w:r>
        <w:rPr>
          <w:rFonts w:ascii="Arial" w:cs="Arial" w:eastAsia="Arial" w:hAnsi="Arial"/>
          <w:b/>
          <w:bCs/>
          <w:color w:val="1A1A2E"/>
          <w:sz w:val="20"/>
          <w:szCs w:val="20"/>
        </w:rPr>
        <w:t xml:space="preserve">MixUp</w:t>
      </w:r>
      <w:r>
        <w:rPr>
          <w:rFonts w:ascii="Arial" w:cs="Arial" w:eastAsia="Arial" w:hAnsi="Arial"/>
          <w:color w:val="1A1A2E"/>
          <w:sz w:val="20"/>
          <w:szCs w:val="20"/>
        </w:rPr>
        <w:t xml:space="preserve"> (p = 0.20) for regularisation, and a warmup cosine LR scheduler (3 warmup epochs) with backbone LR = 2 × 10⁻⁵ and head LR = 2 × 10⁻⁴. I trained for up to 30 epochs with patience 10 and applied 5-step TTA at inference.</w:t>
      </w:r>
    </w:p>
    <w:p>
      <w:pPr>
        <w:spacing w:after="0" w:before="40"/>
      </w:pPr>
      <w:r>
        <w:t xml:space="preserve"/>
      </w:r>
    </w:p>
    <w:p>
      <w:pPr>
        <w:pStyle w:val="Heading2"/>
        <w:spacing w:after="60" w:before="140"/>
      </w:pPr>
      <w:r>
        <w:rPr>
          <w:rFonts w:ascii="Arial" w:cs="Arial" w:eastAsia="Arial" w:hAnsi="Arial"/>
          <w:b/>
          <w:bCs/>
          <w:color w:val="2E75B6"/>
          <w:sz w:val="22"/>
          <w:szCs w:val="22"/>
        </w:rPr>
        <w:t xml:space="preserve">2.2  EfficientNetV2-S + TabTransformer + Gated Fusion</w:t>
      </w:r>
    </w:p>
    <w:p>
      <w:pPr>
        <w:spacing w:after="60" w:before="60"/>
        <w:jc w:val="both"/>
      </w:pPr>
      <w:r>
        <w:rPr>
          <w:rFonts w:ascii="Arial" w:cs="Arial" w:eastAsia="Arial" w:hAnsi="Arial"/>
          <w:color w:val="1A1A2E"/>
          <w:sz w:val="20"/>
          <w:szCs w:val="20"/>
        </w:rPr>
        <w:t xml:space="preserve">This model shares the same EfficientNetV2-S backbone, TabTransformer, and training configuration as the cross-attention variant — with one architectural difference: instead of bidirectional cross-attention, I fuse the two modalities through a </w:t>
      </w:r>
      <w:r>
        <w:rPr>
          <w:rFonts w:ascii="Arial" w:cs="Arial" w:eastAsia="Arial" w:hAnsi="Arial"/>
          <w:b/>
          <w:bCs/>
          <w:color w:val="1A1A2E"/>
          <w:sz w:val="20"/>
          <w:szCs w:val="20"/>
        </w:rPr>
        <w:t xml:space="preserve">learned sigmoid gate</w:t>
      </w:r>
      <w:r>
        <w:rPr>
          <w:rFonts w:ascii="Arial" w:cs="Arial" w:eastAsia="Arial" w:hAnsi="Arial"/>
          <w:color w:val="1A1A2E"/>
          <w:sz w:val="20"/>
          <w:szCs w:val="20"/>
        </w:rPr>
        <w:t xml:space="preserve">. The gate takes the concatenation of the image CLS token and the tabular CLS token, passes it through a linear layer, and produces a scalar weight per sample that blends the two representations: </w:t>
      </w:r>
      <w:r>
        <w:rPr>
          <w:rFonts w:ascii="Arial" w:cs="Arial" w:eastAsia="Arial" w:hAnsi="Arial"/>
          <w:i/>
          <w:iCs/>
          <w:color w:val="1A1A2E"/>
          <w:sz w:val="20"/>
          <w:szCs w:val="20"/>
        </w:rPr>
        <w:t xml:space="preserve">new_img = gate × img + (1 − gate) × meta</w:t>
      </w:r>
      <w:r>
        <w:rPr>
          <w:rFonts w:ascii="Arial" w:cs="Arial" w:eastAsia="Arial" w:hAnsi="Arial"/>
          <w:color w:val="1A1A2E"/>
          <w:sz w:val="20"/>
          <w:szCs w:val="20"/>
        </w:rPr>
        <w:t xml:space="preserve"> and vice versa. This allows the model to dynamically emphasise image or metadata depending on the input, with lower architectural complexity than cross-attention. I trained for up to 40 epochs with gradient accumulation over 2 steps (effective batch = 32) and the same Focal Loss, CutMix, MixUp, and 5-step TTA setup.</w:t>
      </w:r>
    </w:p>
    <w:p>
      <w:pPr>
        <w:spacing w:after="0" w:before="40"/>
      </w:pPr>
      <w:r>
        <w:t xml:space="preserve"/>
      </w:r>
    </w:p>
    <w:p>
      <w:pPr>
        <w:pStyle w:val="Heading2"/>
        <w:spacing w:after="60" w:before="140"/>
      </w:pPr>
      <w:r>
        <w:rPr>
          <w:rFonts w:ascii="Arial" w:cs="Arial" w:eastAsia="Arial" w:hAnsi="Arial"/>
          <w:b/>
          <w:bCs/>
          <w:color w:val="2E75B6"/>
          <w:sz w:val="22"/>
          <w:szCs w:val="22"/>
        </w:rPr>
        <w:t xml:space="preserve">2.3  Swin Transformer V2 + TabTransformer + Cross-Attention</w:t>
      </w:r>
    </w:p>
    <w:p>
      <w:pPr>
        <w:spacing w:after="60" w:before="60"/>
        <w:jc w:val="both"/>
      </w:pPr>
      <w:r>
        <w:rPr>
          <w:rFonts w:ascii="Arial" w:cs="Arial" w:eastAsia="Arial" w:hAnsi="Arial"/>
          <w:color w:val="1A1A2E"/>
          <w:sz w:val="20"/>
          <w:szCs w:val="20"/>
        </w:rPr>
        <w:t xml:space="preserve">I used </w:t>
      </w:r>
      <w:r>
        <w:rPr>
          <w:rFonts w:ascii="Arial" w:cs="Arial" w:eastAsia="Arial" w:hAnsi="Arial"/>
          <w:b/>
          <w:bCs/>
          <w:color w:val="1A1A2E"/>
          <w:sz w:val="20"/>
          <w:szCs w:val="20"/>
        </w:rPr>
        <w:t xml:space="preserve">Swin V2 Base</w:t>
      </w:r>
      <w:r>
        <w:rPr>
          <w:rFonts w:ascii="Arial" w:cs="Arial" w:eastAsia="Arial" w:hAnsi="Arial"/>
          <w:color w:val="1A1A2E"/>
          <w:sz w:val="20"/>
          <w:szCs w:val="20"/>
        </w:rPr>
        <w:t xml:space="preserve"> (</w:t>
      </w:r>
      <w:r>
        <w:rPr>
          <w:rFonts w:ascii="Arial" w:cs="Arial" w:eastAsia="Arial" w:hAnsi="Arial"/>
          <w:i/>
          <w:iCs/>
          <w:color w:val="1A1A2E"/>
          <w:sz w:val="20"/>
          <w:szCs w:val="20"/>
        </w:rPr>
        <w:t xml:space="preserve">swinv2_base_window12to16_192to256_22kft1k</w:t>
      </w:r>
      <w:r>
        <w:rPr>
          <w:rFonts w:ascii="Arial" w:cs="Arial" w:eastAsia="Arial" w:hAnsi="Arial"/>
          <w:color w:val="1A1A2E"/>
          <w:sz w:val="20"/>
          <w:szCs w:val="20"/>
        </w:rPr>
        <w:t xml:space="preserve">) at 256 × 256, pretrained on ImageNet-22k and fine-tuned on ImageNet-1k. Swin V2's shifted-window hierarchical attention captures both fine-grained texture and global lesion shape simultaneously, which I expected to benefit dermoscopic classification. I froze all but the final Swin stage and used a </w:t>
      </w:r>
      <w:r>
        <w:rPr>
          <w:rFonts w:ascii="Arial" w:cs="Arial" w:eastAsia="Arial" w:hAnsi="Arial"/>
          <w:b/>
          <w:bCs/>
          <w:color w:val="1A1A2E"/>
          <w:sz w:val="20"/>
          <w:szCs w:val="20"/>
        </w:rPr>
        <w:t xml:space="preserve">WeightedRandomSampler</w:t>
      </w:r>
      <w:r>
        <w:rPr>
          <w:rFonts w:ascii="Arial" w:cs="Arial" w:eastAsia="Arial" w:hAnsi="Arial"/>
          <w:color w:val="1A1A2E"/>
          <w:sz w:val="20"/>
          <w:szCs w:val="20"/>
        </w:rPr>
        <w:t xml:space="preserve"> to rebalance the minority malignant class at the data level.</w:t>
      </w:r>
    </w:p>
    <w:p>
      <w:pPr>
        <w:spacing w:after="60" w:before="60"/>
        <w:jc w:val="both"/>
      </w:pPr>
      <w:r>
        <w:rPr>
          <w:rFonts w:ascii="Arial" w:cs="Arial" w:eastAsia="Arial" w:hAnsi="Arial"/>
          <w:color w:val="1A1A2E"/>
          <w:sz w:val="20"/>
          <w:szCs w:val="20"/>
        </w:rPr>
        <w:t xml:space="preserve">The TabTransformer and cross-attention fusion layers mirror the EfficientNetV2-S cross-attention variant (depth 2, 4 heads; 2 × 8-head cross-attention). I replaced Focal Loss with </w:t>
      </w:r>
      <w:r>
        <w:rPr>
          <w:rFonts w:ascii="Arial" w:cs="Arial" w:eastAsia="Arial" w:hAnsi="Arial"/>
          <w:b/>
          <w:bCs/>
          <w:color w:val="1A1A2E"/>
          <w:sz w:val="20"/>
          <w:szCs w:val="20"/>
        </w:rPr>
        <w:t xml:space="preserve">Label Smoothing Cross-Entropy</w:t>
      </w:r>
      <w:r>
        <w:rPr>
          <w:rFonts w:ascii="Arial" w:cs="Arial" w:eastAsia="Arial" w:hAnsi="Arial"/>
          <w:color w:val="1A1A2E"/>
          <w:sz w:val="20"/>
          <w:szCs w:val="20"/>
        </w:rPr>
        <w:t xml:space="preserve"> (ε = 0.05) and tightened gradient clipping to 0.5. I trained for up to 40 epochs (patience 10) with gradient accumulation over 2 steps and a warmup cosine scheduler (Swin LR = 3 × 10⁻⁵, head LR = 2 × 10⁻⁴). No TTA was applied to this model.</w:t>
      </w:r>
    </w:p>
    <w:p>
      <w:pPr>
        <w:spacing w:after="0" w:before="60"/>
      </w:pPr>
      <w:r>
        <w:t xml:space="preserve"/>
      </w:r>
    </w:p>
    <w:p>
      <w:pPr>
        <w:pStyle w:val="Heading1"/>
        <w:spacing w:after="80" w:before="180"/>
      </w:pPr>
      <w:r>
        <w:rPr>
          <w:rFonts w:ascii="Arial" w:cs="Arial" w:eastAsia="Arial" w:hAnsi="Arial"/>
          <w:b/>
          <w:bCs/>
          <w:color w:val="1F4E79"/>
          <w:sz w:val="26"/>
          <w:szCs w:val="26"/>
        </w:rPr>
        <w:t xml:space="preserve">3. Model Comparison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200"/>
        <w:gridCol w:w="1200"/>
        <w:gridCol w:w="1200"/>
        <w:gridCol w:w="600"/>
      </w:tblGrid>
      <w:tr>
        <w:trPr>
          <w:tblHeader/>
        </w:trPr>
        <w:tc>
          <w:tcPr>
            <w:tcW w:type="dxa" w:w="2700"/>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dxa" w:w="1500"/>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Backbone</w:t>
            </w:r>
          </w:p>
        </w:tc>
        <w:tc>
          <w:tcPr>
            <w:tcW w:type="dxa" w:w="1200"/>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Fusion</w:t>
            </w:r>
          </w:p>
        </w:tc>
        <w:tc>
          <w:tcPr>
            <w:tcW w:type="dxa" w:w="1200"/>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Loss</w:t>
            </w:r>
          </w:p>
        </w:tc>
        <w:tc>
          <w:tcPr>
            <w:tcW w:type="dxa" w:w="1200"/>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Augmentation</w:t>
            </w:r>
          </w:p>
        </w:tc>
        <w:tc>
          <w:tcPr>
            <w:tcW w:type="dxa" w:w="600"/>
            <w:tcBorders>
              <w:top w:val="single" w:color="AECDE8" w:sz="1"/>
              <w:left w:val="single" w:color="AECDE8" w:sz="1"/>
              <w:bottom w:val="single" w:color="AECDE8" w:sz="1"/>
              <w:right w:val="single" w:color="AECDE8"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TTA</w:t>
            </w:r>
          </w:p>
        </w:tc>
      </w:tr>
      <w:tr>
        <w:tc>
          <w:tcPr>
            <w:tcW w:type="dxa" w:w="27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8"/>
                <w:szCs w:val="18"/>
              </w:rPr>
              <w:t xml:space="preserve">EffNetV2-S + TabTransformer (Cross-Attn)</w:t>
            </w:r>
          </w:p>
        </w:tc>
        <w:tc>
          <w:tcPr>
            <w:tcW w:type="dxa" w:w="15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EffNetV2-S 384×384</w:t>
            </w:r>
          </w:p>
        </w:tc>
        <w:tc>
          <w:tcPr>
            <w:tcW w:type="dxa" w:w="12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Bidirectional Cross-Attention (×2)</w:t>
            </w:r>
          </w:p>
        </w:tc>
        <w:tc>
          <w:tcPr>
            <w:tcW w:type="dxa" w:w="12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Focal (α=0.25, γ=2)</w:t>
            </w:r>
          </w:p>
        </w:tc>
        <w:tc>
          <w:tcPr>
            <w:tcW w:type="dxa" w:w="12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CutMix + MixUp + Flip + Rotate + ColorJitter</w:t>
            </w:r>
          </w:p>
        </w:tc>
        <w:tc>
          <w:tcPr>
            <w:tcW w:type="dxa" w:w="6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5-step</w:t>
            </w:r>
          </w:p>
        </w:tc>
      </w:tr>
      <w:tr>
        <w:tc>
          <w:tcPr>
            <w:tcW w:type="dxa" w:w="2700"/>
            <w:tcBorders>
              <w:top w:val="single" w:color="AECDE8" w:sz="1"/>
              <w:left w:val="single" w:color="AECDE8" w:sz="1"/>
              <w:bottom w:val="single" w:color="AECDE8" w:sz="1"/>
              <w:right w:val="single" w:color="AECDE8" w:sz="1"/>
            </w:tcBorders>
            <w:shd w:fill="EBF3FB" w:val="clear"/>
            <w:tcMar>
              <w:top w:type="dxa" w:w="60"/>
              <w:left w:type="dxa" w:w="120"/>
              <w:bottom w:type="dxa" w:w="60"/>
              <w:right w:type="dxa" w:w="120"/>
            </w:tcMar>
            <w:vAlign w:val="center"/>
          </w:tcPr>
          <w:p>
            <w:pPr>
              <w:jc w:val="left"/>
            </w:pPr>
            <w:r>
              <w:rPr>
                <w:rFonts w:ascii="Arial" w:cs="Arial" w:eastAsia="Arial" w:hAnsi="Arial"/>
                <w:b/>
                <w:bCs/>
                <w:color w:val="1A1A2E"/>
                <w:sz w:val="18"/>
                <w:szCs w:val="18"/>
              </w:rPr>
              <w:t xml:space="preserve">EffNetV2-S + TabTransformer (Gated)</w:t>
            </w:r>
          </w:p>
        </w:tc>
        <w:tc>
          <w:tcPr>
            <w:tcW w:type="dxa" w:w="1500"/>
            <w:tcBorders>
              <w:top w:val="single" w:color="AECDE8" w:sz="1"/>
              <w:left w:val="single" w:color="AECDE8" w:sz="1"/>
              <w:bottom w:val="single" w:color="AECDE8" w:sz="1"/>
              <w:right w:val="single" w:color="AECDE8"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EffNetV2-S 384×384</w:t>
            </w:r>
          </w:p>
        </w:tc>
        <w:tc>
          <w:tcPr>
            <w:tcW w:type="dxa" w:w="1200"/>
            <w:tcBorders>
              <w:top w:val="single" w:color="AECDE8" w:sz="1"/>
              <w:left w:val="single" w:color="AECDE8" w:sz="1"/>
              <w:bottom w:val="single" w:color="AECDE8" w:sz="1"/>
              <w:right w:val="single" w:color="AECDE8"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Sigmoid Gate</w:t>
            </w:r>
          </w:p>
        </w:tc>
        <w:tc>
          <w:tcPr>
            <w:tcW w:type="dxa" w:w="1200"/>
            <w:tcBorders>
              <w:top w:val="single" w:color="AECDE8" w:sz="1"/>
              <w:left w:val="single" w:color="AECDE8" w:sz="1"/>
              <w:bottom w:val="single" w:color="AECDE8" w:sz="1"/>
              <w:right w:val="single" w:color="AECDE8"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Focal (α=0.25, γ=2)</w:t>
            </w:r>
          </w:p>
        </w:tc>
        <w:tc>
          <w:tcPr>
            <w:tcW w:type="dxa" w:w="1200"/>
            <w:tcBorders>
              <w:top w:val="single" w:color="AECDE8" w:sz="1"/>
              <w:left w:val="single" w:color="AECDE8" w:sz="1"/>
              <w:bottom w:val="single" w:color="AECDE8" w:sz="1"/>
              <w:right w:val="single" w:color="AECDE8"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CutMix + MixUp + Flip + Rotate + ColorJitter</w:t>
            </w:r>
          </w:p>
        </w:tc>
        <w:tc>
          <w:tcPr>
            <w:tcW w:type="dxa" w:w="600"/>
            <w:tcBorders>
              <w:top w:val="single" w:color="AECDE8" w:sz="1"/>
              <w:left w:val="single" w:color="AECDE8" w:sz="1"/>
              <w:bottom w:val="single" w:color="AECDE8" w:sz="1"/>
              <w:right w:val="single" w:color="AECDE8" w:sz="1"/>
            </w:tcBorders>
            <w:shd w:fill="EBF3FB"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5-step</w:t>
            </w:r>
          </w:p>
        </w:tc>
      </w:tr>
      <w:tr>
        <w:tc>
          <w:tcPr>
            <w:tcW w:type="dxa" w:w="27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left"/>
            </w:pPr>
            <w:r>
              <w:rPr>
                <w:rFonts w:ascii="Arial" w:cs="Arial" w:eastAsia="Arial" w:hAnsi="Arial"/>
                <w:b/>
                <w:bCs/>
                <w:color w:val="1A1A2E"/>
                <w:sz w:val="18"/>
                <w:szCs w:val="18"/>
              </w:rPr>
              <w:t xml:space="preserve">Swin V2 Base + TabTransformer (Cross-Attn)</w:t>
            </w:r>
          </w:p>
        </w:tc>
        <w:tc>
          <w:tcPr>
            <w:tcW w:type="dxa" w:w="15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Swin V2 Base 256×256</w:t>
            </w:r>
          </w:p>
        </w:tc>
        <w:tc>
          <w:tcPr>
            <w:tcW w:type="dxa" w:w="12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Bidirectional Cross-Attention (×2)</w:t>
            </w:r>
          </w:p>
        </w:tc>
        <w:tc>
          <w:tcPr>
            <w:tcW w:type="dxa" w:w="12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Label Smoothing (ε=0.05)</w:t>
            </w:r>
          </w:p>
        </w:tc>
        <w:tc>
          <w:tcPr>
            <w:tcW w:type="dxa" w:w="12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WeightedSampler + Flip + Rotate + ColorJitter</w:t>
            </w:r>
          </w:p>
        </w:tc>
        <w:tc>
          <w:tcPr>
            <w:tcW w:type="dxa" w:w="600"/>
            <w:tcBorders>
              <w:top w:val="single" w:color="AECDE8" w:sz="1"/>
              <w:left w:val="single" w:color="AECDE8" w:sz="1"/>
              <w:bottom w:val="single" w:color="AECDE8" w:sz="1"/>
              <w:right w:val="single" w:color="AECDE8"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1A2E"/>
                <w:sz w:val="18"/>
                <w:szCs w:val="18"/>
              </w:rPr>
              <w:t xml:space="preserve">No</w:t>
            </w:r>
          </w:p>
        </w:tc>
      </w:tr>
    </w:tbl>
    <w:p>
      <w:pPr>
        <w:spacing w:after="0" w:before="60"/>
      </w:pPr>
      <w:r>
        <w:t xml:space="preserve"/>
      </w:r>
    </w:p>
    <w:p>
      <w:pPr>
        <w:pStyle w:val="Heading1"/>
        <w:spacing w:after="80" w:before="180"/>
      </w:pPr>
      <w:r>
        <w:rPr>
          <w:rFonts w:ascii="Arial" w:cs="Arial" w:eastAsia="Arial" w:hAnsi="Arial"/>
          <w:b/>
          <w:bCs/>
          <w:color w:val="1F4E79"/>
          <w:sz w:val="26"/>
          <w:szCs w:val="26"/>
        </w:rPr>
        <w:t xml:space="preserve">4. Explainability (XAI)</w:t>
      </w:r>
    </w:p>
    <w:p>
      <w:pPr>
        <w:spacing w:after="60" w:before="60"/>
        <w:jc w:val="both"/>
      </w:pPr>
      <w:r>
        <w:rPr>
          <w:rFonts w:ascii="Arial" w:cs="Arial" w:eastAsia="Arial" w:hAnsi="Arial"/>
          <w:color w:val="1A1A2E"/>
          <w:sz w:val="20"/>
          <w:szCs w:val="20"/>
        </w:rPr>
        <w:t xml:space="preserve">I implemented five complementary XAI methods across all three models to provide spatial, attribution-based, attention-based, and perturbation-based explanations of model behaviour.</w:t>
      </w:r>
    </w:p>
    <w:p>
      <w:pPr>
        <w:pStyle w:val="ListParagraph"/>
        <w:numPr>
          <w:ilvl w:val="0"/>
          <w:numId w:val="2"/>
        </w:numPr>
        <w:spacing w:after="40" w:before="40"/>
      </w:pPr>
      <w:r>
        <w:rPr>
          <w:rFonts w:ascii="Arial" w:cs="Arial" w:eastAsia="Arial" w:hAnsi="Arial"/>
          <w:b/>
          <w:bCs/>
          <w:color w:val="1A1A2E"/>
          <w:sz w:val="20"/>
          <w:szCs w:val="20"/>
        </w:rPr>
        <w:t xml:space="preserve">Grad-CAM++: </w:t>
      </w:r>
      <w:r>
        <w:rPr>
          <w:rFonts w:ascii="Arial" w:cs="Arial" w:eastAsia="Arial" w:hAnsi="Arial"/>
          <w:color w:val="1A1A2E"/>
          <w:sz w:val="20"/>
          <w:szCs w:val="20"/>
        </w:rPr>
        <w:t xml:space="preserve">I registered a backward hook on the final feature layer and weighted spatial feature maps by gradient importance with respect to the malignant class logit. For EfficientNetV2-S this works directly on 2D CNN feature maps. For Swin V2, I manually reshape the 3D token output (B, N, C) into a 2D spatial grid — this assumes a square layout and works at 256 × 256 but may misalign if the spatial grid is not square.</w:t>
      </w:r>
    </w:p>
    <w:p>
      <w:pPr>
        <w:pStyle w:val="ListParagraph"/>
        <w:numPr>
          <w:ilvl w:val="0"/>
          <w:numId w:val="2"/>
        </w:numPr>
        <w:spacing w:after="40" w:before="40"/>
      </w:pPr>
      <w:r>
        <w:rPr>
          <w:rFonts w:ascii="Arial" w:cs="Arial" w:eastAsia="Arial" w:hAnsi="Arial"/>
          <w:b/>
          <w:bCs/>
          <w:color w:val="1A1A2E"/>
          <w:sz w:val="20"/>
          <w:szCs w:val="20"/>
        </w:rPr>
        <w:t xml:space="preserve">Integrated Gradients (image + tabular): </w:t>
      </w:r>
      <w:r>
        <w:rPr>
          <w:rFonts w:ascii="Arial" w:cs="Arial" w:eastAsia="Arial" w:hAnsi="Arial"/>
          <w:color w:val="1A1A2E"/>
          <w:sz w:val="20"/>
          <w:szCs w:val="20"/>
        </w:rPr>
        <w:t xml:space="preserve">Applied via Captum over 50 interpolation steps from a zero baseline. Gives theoretically principled, axiomatic attributions for both the image pixel space and each tabular feature, complementing the gradient-weighted heatmaps of Grad-CAM++.</w:t>
      </w:r>
    </w:p>
    <w:p>
      <w:pPr>
        <w:pStyle w:val="ListParagraph"/>
        <w:numPr>
          <w:ilvl w:val="0"/>
          <w:numId w:val="2"/>
        </w:numPr>
        <w:spacing w:after="40" w:before="40"/>
      </w:pPr>
      <w:r>
        <w:rPr>
          <w:rFonts w:ascii="Arial" w:cs="Arial" w:eastAsia="Arial" w:hAnsi="Arial"/>
          <w:b/>
          <w:bCs/>
          <w:color w:val="1A1A2E"/>
          <w:sz w:val="20"/>
          <w:szCs w:val="20"/>
        </w:rPr>
        <w:t xml:space="preserve">Attention Rollout across TabTransformer layers: </w:t>
      </w:r>
      <w:r>
        <w:rPr>
          <w:rFonts w:ascii="Arial" w:cs="Arial" w:eastAsia="Arial" w:hAnsi="Arial"/>
          <w:color w:val="1A1A2E"/>
          <w:sz w:val="20"/>
          <w:szCs w:val="20"/>
        </w:rPr>
        <w:t xml:space="preserve">I propagated attention weights recursively through the TabTransformer depth to visualise how feature importance accumulates across layers — which clinical variables retain influence after full tabular self-attention.</w:t>
      </w:r>
    </w:p>
    <w:p>
      <w:pPr>
        <w:pStyle w:val="ListParagraph"/>
        <w:numPr>
          <w:ilvl w:val="0"/>
          <w:numId w:val="2"/>
        </w:numPr>
        <w:spacing w:after="40" w:before="40"/>
      </w:pPr>
      <w:r>
        <w:rPr>
          <w:rFonts w:ascii="Arial" w:cs="Arial" w:eastAsia="Arial" w:hAnsi="Arial"/>
          <w:b/>
          <w:bCs/>
          <w:color w:val="1A1A2E"/>
          <w:sz w:val="20"/>
          <w:szCs w:val="20"/>
        </w:rPr>
        <w:t xml:space="preserve">Raw Cross-Attention maps: </w:t>
      </w:r>
      <w:r>
        <w:rPr>
          <w:rFonts w:ascii="Arial" w:cs="Arial" w:eastAsia="Arial" w:hAnsi="Arial"/>
          <w:color w:val="1A1A2E"/>
          <w:sz w:val="20"/>
          <w:szCs w:val="20"/>
        </w:rPr>
        <w:t xml:space="preserve">For both cross-attention models I extract and visualise the attention weights between clinical feature tokens and image patch positions, directly showing which spatial regions the model's clinical reasoning focuses on.</w:t>
      </w:r>
    </w:p>
    <w:p>
      <w:pPr>
        <w:pStyle w:val="ListParagraph"/>
        <w:numPr>
          <w:ilvl w:val="0"/>
          <w:numId w:val="2"/>
        </w:numPr>
        <w:spacing w:after="40" w:before="40"/>
      </w:pPr>
      <w:r>
        <w:rPr>
          <w:rFonts w:ascii="Arial" w:cs="Arial" w:eastAsia="Arial" w:hAnsi="Arial"/>
          <w:b/>
          <w:bCs/>
          <w:color w:val="1A1A2E"/>
          <w:sz w:val="20"/>
          <w:szCs w:val="20"/>
        </w:rPr>
        <w:t xml:space="preserve">SHAP (KernelExplainer): </w:t>
      </w:r>
      <w:r>
        <w:rPr>
          <w:rFonts w:ascii="Arial" w:cs="Arial" w:eastAsia="Arial" w:hAnsi="Arial"/>
          <w:color w:val="1A1A2E"/>
          <w:sz w:val="20"/>
          <w:szCs w:val="20"/>
        </w:rPr>
        <w:t xml:space="preserve">50-sample background, 200 perturbations per sample, beeswarm output for global feature importance. </w:t>
      </w:r>
      <w:r>
        <w:rPr>
          <w:rFonts w:ascii="Arial" w:cs="Arial" w:eastAsia="Arial" w:hAnsi="Arial"/>
          <w:b/>
          <w:bCs/>
          <w:color w:val="1A1A2E"/>
          <w:sz w:val="20"/>
          <w:szCs w:val="20"/>
        </w:rPr>
        <w:t xml:space="preserve">Known limitation: </w:t>
      </w:r>
      <w:r>
        <w:rPr>
          <w:rFonts w:ascii="Arial" w:cs="Arial" w:eastAsia="Arial" w:hAnsi="Arial"/>
          <w:color w:val="1A1A2E"/>
          <w:sz w:val="20"/>
          <w:szCs w:val="20"/>
        </w:rPr>
        <w:t xml:space="preserve">I pass zero-image tensors during SHAP computation, which isolates the metadata branch and underestimates true joint-modality contributions. Replacing this with a proper multimodal wrapper is the top XAI fix for the next phase.</w:t>
      </w:r>
    </w:p>
    <w:p>
      <w:pPr>
        <w:spacing w:after="0" w:before="60"/>
      </w:pPr>
      <w:r>
        <w:t xml:space="preserve"/>
      </w:r>
    </w:p>
    <w:p>
      <w:pPr>
        <w:pStyle w:val="Heading1"/>
        <w:spacing w:after="80" w:before="180"/>
      </w:pPr>
      <w:r>
        <w:rPr>
          <w:rFonts w:ascii="Arial" w:cs="Arial" w:eastAsia="Arial" w:hAnsi="Arial"/>
          <w:b/>
          <w:bCs/>
          <w:color w:val="1F4E79"/>
          <w:sz w:val="26"/>
          <w:szCs w:val="26"/>
        </w:rPr>
        <w:t xml:space="preserve">5. Strengths</w:t>
      </w:r>
    </w:p>
    <w:p>
      <w:pPr>
        <w:pStyle w:val="ListParagraph"/>
        <w:numPr>
          <w:ilvl w:val="0"/>
          <w:numId w:val="2"/>
        </w:numPr>
        <w:spacing w:after="40" w:before="40"/>
      </w:pPr>
      <w:r>
        <w:rPr>
          <w:rFonts w:ascii="Arial" w:cs="Arial" w:eastAsia="Arial" w:hAnsi="Arial"/>
          <w:b/>
          <w:bCs/>
          <w:color w:val="1A1A2E"/>
          <w:sz w:val="20"/>
          <w:szCs w:val="20"/>
        </w:rPr>
        <w:t xml:space="preserve">Bidirectional cross-attention </w:t>
      </w:r>
      <w:r>
        <w:rPr>
          <w:rFonts w:ascii="Arial" w:cs="Arial" w:eastAsia="Arial" w:hAnsi="Arial"/>
          <w:color w:val="1A1A2E"/>
          <w:sz w:val="20"/>
          <w:szCs w:val="20"/>
        </w:rPr>
        <w:t xml:space="preserve">(EfficientNetV2-S and Swin V2) is the most expressive fusion strategy I used. Each modality directly conditions the other's representation at the feature level — not just at the classifier head — enabling complex visual-clinical co-dependencies to be learned.</w:t>
      </w:r>
    </w:p>
    <w:p>
      <w:pPr>
        <w:pStyle w:val="ListParagraph"/>
        <w:numPr>
          <w:ilvl w:val="0"/>
          <w:numId w:val="2"/>
        </w:numPr>
        <w:spacing w:after="40" w:before="40"/>
      </w:pPr>
      <w:r>
        <w:rPr>
          <w:rFonts w:ascii="Arial" w:cs="Arial" w:eastAsia="Arial" w:hAnsi="Arial"/>
          <w:b/>
          <w:bCs/>
          <w:color w:val="1A1A2E"/>
          <w:sz w:val="20"/>
          <w:szCs w:val="20"/>
        </w:rPr>
        <w:t xml:space="preserve">Gated fusion </w:t>
      </w:r>
      <w:r>
        <w:rPr>
          <w:rFonts w:ascii="Arial" w:cs="Arial" w:eastAsia="Arial" w:hAnsi="Arial"/>
          <w:color w:val="1A1A2E"/>
          <w:sz w:val="20"/>
          <w:szCs w:val="20"/>
        </w:rPr>
        <w:t xml:space="preserve">provides a lightweight, interpretable alternative: the gate value per sample shows whether the model relied more on image or metadata for that prediction, which is clinically informative.</w:t>
      </w:r>
    </w:p>
    <w:p>
      <w:pPr>
        <w:pStyle w:val="ListParagraph"/>
        <w:numPr>
          <w:ilvl w:val="0"/>
          <w:numId w:val="2"/>
        </w:numPr>
        <w:spacing w:after="40" w:before="40"/>
      </w:pPr>
      <w:r>
        <w:rPr>
          <w:rFonts w:ascii="Arial" w:cs="Arial" w:eastAsia="Arial" w:hAnsi="Arial"/>
          <w:b/>
          <w:bCs/>
          <w:color w:val="1A1A2E"/>
          <w:sz w:val="20"/>
          <w:szCs w:val="20"/>
        </w:rPr>
        <w:t xml:space="preserve">Gradual backbone unfreezing </w:t>
      </w:r>
      <w:r>
        <w:rPr>
          <w:rFonts w:ascii="Arial" w:cs="Arial" w:eastAsia="Arial" w:hAnsi="Arial"/>
          <w:color w:val="1A1A2E"/>
          <w:sz w:val="20"/>
          <w:szCs w:val="20"/>
        </w:rPr>
        <w:t xml:space="preserve">(epochs 10 and 20 for EfficientNetV2-S) prevents catastrophic forgetting of ImageNet features while allowing full fine-tuning once the head has stabilised.</w:t>
      </w:r>
    </w:p>
    <w:p>
      <w:pPr>
        <w:pStyle w:val="ListParagraph"/>
        <w:numPr>
          <w:ilvl w:val="0"/>
          <w:numId w:val="2"/>
        </w:numPr>
        <w:spacing w:after="40" w:before="40"/>
      </w:pPr>
      <w:r>
        <w:rPr>
          <w:rFonts w:ascii="Arial" w:cs="Arial" w:eastAsia="Arial" w:hAnsi="Arial"/>
          <w:b/>
          <w:bCs/>
          <w:color w:val="1A1A2E"/>
          <w:sz w:val="20"/>
          <w:szCs w:val="20"/>
        </w:rPr>
        <w:t xml:space="preserve">Focal Loss + CutMix + MixUp </w:t>
      </w:r>
      <w:r>
        <w:rPr>
          <w:rFonts w:ascii="Arial" w:cs="Arial" w:eastAsia="Arial" w:hAnsi="Arial"/>
          <w:color w:val="1A1A2E"/>
          <w:sz w:val="20"/>
          <w:szCs w:val="20"/>
        </w:rPr>
        <w:t xml:space="preserve">(EfficientNetV2-S models) together address class imbalance and overfitting. WeightedRandomSampler (Swin V2) handles imbalance at the data level before any loss weighting.</w:t>
      </w:r>
    </w:p>
    <w:p>
      <w:pPr>
        <w:pStyle w:val="ListParagraph"/>
        <w:numPr>
          <w:ilvl w:val="0"/>
          <w:numId w:val="2"/>
        </w:numPr>
        <w:spacing w:after="40" w:before="40"/>
      </w:pPr>
      <w:r>
        <w:rPr>
          <w:rFonts w:ascii="Arial" w:cs="Arial" w:eastAsia="Arial" w:hAnsi="Arial"/>
          <w:b/>
          <w:bCs/>
          <w:color w:val="1A1A2E"/>
          <w:sz w:val="20"/>
          <w:szCs w:val="20"/>
        </w:rPr>
        <w:t xml:space="preserve">5-step TTA </w:t>
      </w:r>
      <w:r>
        <w:rPr>
          <w:rFonts w:ascii="Arial" w:cs="Arial" w:eastAsia="Arial" w:hAnsi="Arial"/>
          <w:color w:val="1A1A2E"/>
          <w:sz w:val="20"/>
          <w:szCs w:val="20"/>
        </w:rPr>
        <w:t xml:space="preserve">(EfficientNetV2-S models) aggregates predictions over horizontal flips, vertical flips, and 90°/270° rotations — all orientations that dermoscopic images legitimately appear in — yielding a consistent 0.5–2% AUC improvement over single-pass inference.</w:t>
      </w:r>
    </w:p>
    <w:p>
      <w:pPr>
        <w:pStyle w:val="ListParagraph"/>
        <w:numPr>
          <w:ilvl w:val="0"/>
          <w:numId w:val="2"/>
        </w:numPr>
        <w:spacing w:after="40" w:before="40"/>
      </w:pPr>
      <w:r>
        <w:rPr>
          <w:rFonts w:ascii="Arial" w:cs="Arial" w:eastAsia="Arial" w:hAnsi="Arial"/>
          <w:b/>
          <w:bCs/>
          <w:color w:val="1A1A2E"/>
          <w:sz w:val="20"/>
          <w:szCs w:val="20"/>
        </w:rPr>
        <w:t xml:space="preserve">EMA-tracked checkpointing </w:t>
      </w:r>
      <w:r>
        <w:rPr>
          <w:rFonts w:ascii="Arial" w:cs="Arial" w:eastAsia="Arial" w:hAnsi="Arial"/>
          <w:color w:val="1A1A2E"/>
          <w:sz w:val="20"/>
          <w:szCs w:val="20"/>
        </w:rPr>
        <w:t xml:space="preserve">selects the best epoch based on smoothed AUC rather than raw per-epoch performance, making saved weights more robust to training noise.</w:t>
      </w:r>
    </w:p>
    <w:p>
      <w:pPr>
        <w:spacing w:after="0" w:before="60"/>
      </w:pPr>
      <w:r>
        <w:t xml:space="preserve"/>
      </w:r>
    </w:p>
    <w:p>
      <w:pPr>
        <w:pStyle w:val="Heading1"/>
        <w:spacing w:after="80" w:before="180"/>
      </w:pPr>
      <w:r>
        <w:rPr>
          <w:rFonts w:ascii="Arial" w:cs="Arial" w:eastAsia="Arial" w:hAnsi="Arial"/>
          <w:b/>
          <w:bCs/>
          <w:color w:val="1F4E79"/>
          <w:sz w:val="26"/>
          <w:szCs w:val="26"/>
        </w:rPr>
        <w:t xml:space="preserve">6. Weaknesses &amp; What I Will Fix in Phase 2</w:t>
      </w:r>
    </w:p>
    <w:p>
      <w:pPr>
        <w:pStyle w:val="ListParagraph"/>
        <w:numPr>
          <w:ilvl w:val="0"/>
          <w:numId w:val="2"/>
        </w:numPr>
        <w:spacing w:after="40" w:before="40"/>
      </w:pPr>
      <w:r>
        <w:rPr>
          <w:rFonts w:ascii="Arial" w:cs="Arial" w:eastAsia="Arial" w:hAnsi="Arial"/>
          <w:b/>
          <w:bCs/>
          <w:color w:val="1A1A2E"/>
          <w:sz w:val="20"/>
          <w:szCs w:val="20"/>
        </w:rPr>
        <w:t xml:space="preserve">No held-out test set. </w:t>
      </w:r>
      <w:r>
        <w:rPr>
          <w:rFonts w:ascii="Arial" w:cs="Arial" w:eastAsia="Arial" w:hAnsi="Arial"/>
          <w:color w:val="1A1A2E"/>
          <w:sz w:val="20"/>
          <w:szCs w:val="20"/>
        </w:rPr>
        <w:t xml:space="preserve">All metrics come from the validation split used during training, which inflates reported performance. In Phase 2, I will carve out a fixed 15% hold-out set before any training and report all final numbers on it only.</w:t>
      </w:r>
    </w:p>
    <w:p>
      <w:pPr>
        <w:pStyle w:val="ListParagraph"/>
        <w:numPr>
          <w:ilvl w:val="0"/>
          <w:numId w:val="2"/>
        </w:numPr>
        <w:spacing w:after="40" w:before="40"/>
      </w:pPr>
      <w:r>
        <w:rPr>
          <w:rFonts w:ascii="Arial" w:cs="Arial" w:eastAsia="Arial" w:hAnsi="Arial"/>
          <w:b/>
          <w:bCs/>
          <w:color w:val="1A1A2E"/>
          <w:sz w:val="20"/>
          <w:szCs w:val="20"/>
        </w:rPr>
        <w:t xml:space="preserve">Inconsistent evaluation across models. </w:t>
      </w:r>
      <w:r>
        <w:rPr>
          <w:rFonts w:ascii="Arial" w:cs="Arial" w:eastAsia="Arial" w:hAnsi="Arial"/>
          <w:color w:val="1A1A2E"/>
          <w:sz w:val="20"/>
          <w:szCs w:val="20"/>
        </w:rPr>
        <w:t xml:space="preserve">The EfficientNetV2-S models report TTA AUC while Swin V2 reports standard AUC without TTA. I will unify evaluation on a common test split with TTA applied to all three models for a fair comparison.</w:t>
      </w:r>
    </w:p>
    <w:p>
      <w:pPr>
        <w:pStyle w:val="ListParagraph"/>
        <w:numPr>
          <w:ilvl w:val="0"/>
          <w:numId w:val="2"/>
        </w:numPr>
        <w:spacing w:after="40" w:before="40"/>
      </w:pPr>
      <w:r>
        <w:rPr>
          <w:rFonts w:ascii="Arial" w:cs="Arial" w:eastAsia="Arial" w:hAnsi="Arial"/>
          <w:b/>
          <w:bCs/>
          <w:color w:val="1A1A2E"/>
          <w:sz w:val="20"/>
          <w:szCs w:val="20"/>
        </w:rPr>
        <w:t xml:space="preserve">Swin V2 batch size of 8 </w:t>
      </w:r>
      <w:r>
        <w:rPr>
          <w:rFonts w:ascii="Arial" w:cs="Arial" w:eastAsia="Arial" w:hAnsi="Arial"/>
          <w:color w:val="1A1A2E"/>
          <w:sz w:val="20"/>
          <w:szCs w:val="20"/>
        </w:rPr>
        <w:t xml:space="preserve">produces noisier gradient estimates compared to 16 for the EfficientNetV2-S models. I will increase it via gradient accumulation to match the effective batch size.</w:t>
      </w:r>
    </w:p>
    <w:p>
      <w:pPr>
        <w:pStyle w:val="ListParagraph"/>
        <w:numPr>
          <w:ilvl w:val="0"/>
          <w:numId w:val="2"/>
        </w:numPr>
        <w:spacing w:after="40" w:before="40"/>
      </w:pPr>
      <w:r>
        <w:rPr>
          <w:rFonts w:ascii="Arial" w:cs="Arial" w:eastAsia="Arial" w:hAnsi="Arial"/>
          <w:b/>
          <w:bCs/>
          <w:color w:val="1A1A2E"/>
          <w:sz w:val="20"/>
          <w:szCs w:val="20"/>
        </w:rPr>
        <w:t xml:space="preserve">Swin V2 has no TTA. </w:t>
      </w:r>
      <w:r>
        <w:rPr>
          <w:rFonts w:ascii="Arial" w:cs="Arial" w:eastAsia="Arial" w:hAnsi="Arial"/>
          <w:color w:val="1A1A2E"/>
          <w:sz w:val="20"/>
          <w:szCs w:val="20"/>
        </w:rPr>
        <w:t xml:space="preserve">Adding the same 5-step TTA used for EfficientNetV2-S should improve Swin V2 AUC by a comparable margin.</w:t>
      </w:r>
    </w:p>
    <w:p>
      <w:pPr>
        <w:pStyle w:val="ListParagraph"/>
        <w:numPr>
          <w:ilvl w:val="0"/>
          <w:numId w:val="2"/>
        </w:numPr>
        <w:spacing w:after="40" w:before="40"/>
      </w:pPr>
      <w:r>
        <w:rPr>
          <w:rFonts w:ascii="Arial" w:cs="Arial" w:eastAsia="Arial" w:hAnsi="Arial"/>
          <w:b/>
          <w:bCs/>
          <w:color w:val="1A1A2E"/>
          <w:sz w:val="20"/>
          <w:szCs w:val="20"/>
        </w:rPr>
        <w:t xml:space="preserve">SHAP zero-image limitation. </w:t>
      </w:r>
      <w:r>
        <w:rPr>
          <w:rFonts w:ascii="Arial" w:cs="Arial" w:eastAsia="Arial" w:hAnsi="Arial"/>
          <w:color w:val="1A1A2E"/>
          <w:sz w:val="20"/>
          <w:szCs w:val="20"/>
        </w:rPr>
        <w:t xml:space="preserve">I will replace zero-image tensors with real image inputs and a proper multimodal perturbation wrapper so SHAP values reflect true joint image-metadata contributions.</w:t>
      </w:r>
    </w:p>
    <w:p>
      <w:pPr>
        <w:pStyle w:val="ListParagraph"/>
        <w:numPr>
          <w:ilvl w:val="0"/>
          <w:numId w:val="2"/>
        </w:numPr>
        <w:spacing w:after="40" w:before="40"/>
      </w:pPr>
      <w:r>
        <w:rPr>
          <w:rFonts w:ascii="Arial" w:cs="Arial" w:eastAsia="Arial" w:hAnsi="Arial"/>
          <w:b/>
          <w:bCs/>
          <w:color w:val="1A1A2E"/>
          <w:sz w:val="20"/>
          <w:szCs w:val="20"/>
        </w:rPr>
        <w:t xml:space="preserve">Grad-CAM++ on Swin V2 assumes a square spatial token layout. </w:t>
      </w:r>
      <w:r>
        <w:rPr>
          <w:rFonts w:ascii="Arial" w:cs="Arial" w:eastAsia="Arial" w:hAnsi="Arial"/>
          <w:color w:val="1A1A2E"/>
          <w:sz w:val="20"/>
          <w:szCs w:val="20"/>
        </w:rPr>
        <w:t xml:space="preserve">I will add a shape assertion and fallback reshape to prevent coordinate misalignment when the window configuration produces a non-square grid.</w:t>
      </w:r>
    </w:p>
    <w:p>
      <w:pPr>
        <w:pStyle w:val="ListParagraph"/>
        <w:numPr>
          <w:ilvl w:val="0"/>
          <w:numId w:val="2"/>
        </w:numPr>
        <w:spacing w:after="40" w:before="40"/>
      </w:pPr>
      <w:r>
        <w:rPr>
          <w:rFonts w:ascii="Arial" w:cs="Arial" w:eastAsia="Arial" w:hAnsi="Arial"/>
          <w:b/>
          <w:bCs/>
          <w:color w:val="1A1A2E"/>
          <w:sz w:val="20"/>
          <w:szCs w:val="20"/>
        </w:rPr>
        <w:t xml:space="preserve">Captum Integrated Gradients not yet applied to Swin V2. </w:t>
      </w:r>
      <w:r>
        <w:rPr>
          <w:rFonts w:ascii="Arial" w:cs="Arial" w:eastAsia="Arial" w:hAnsi="Arial"/>
          <w:color w:val="1A1A2E"/>
          <w:sz w:val="20"/>
          <w:szCs w:val="20"/>
        </w:rPr>
        <w:t xml:space="preserve">This is the highest-value XAI addition for the next phase — it gives principled pixel attributions for transformer models where Grad-CAM++ is an approximation.</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Mid-Progress Report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80"/>
      <w:outlineLvl w:val="0"/>
    </w:pPr>
    <w:rPr>
      <w:rFonts w:ascii="Arial" w:cs="Arial" w:eastAsia="Arial" w:hAnsi="Arial"/>
      <w:b/>
      <w:bCs/>
      <w:color w:val="1F4E79"/>
      <w:sz w:val="26"/>
      <w:szCs w:val="26"/>
    </w:rPr>
  </w:style>
  <w:style w:type="paragraph" w:styleId="Heading2">
    <w:name w:val="Heading 2"/>
    <w:basedOn w:val="Normal"/>
    <w:next w:val="Normal"/>
    <w:qFormat/>
    <w:pPr>
      <w:spacing w:after="60" w:before="14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2026-04-24T22:55:25.354Z</dcterms:created>
  <dcterms:modified xsi:type="dcterms:W3CDTF">2026-04-24T22:55:25.355Z</dcterms:modified>
</cp:coreProperties>
</file>

<file path=docProps/custom.xml><?xml version="1.0" encoding="utf-8"?>
<Properties xmlns="http://schemas.openxmlformats.org/officeDocument/2006/custom-properties" xmlns:vt="http://schemas.openxmlformats.org/officeDocument/2006/docPropsVTypes"/>
</file>