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b/>
          <w:bCs/>
          <w:color w:val="1F3864"/>
          <w:sz w:val="52"/>
          <w:szCs w:val="52"/>
        </w:rPr>
        <w:t xml:space="preserve">Marketing &amp; Product Performance Analytics</w:t>
      </w:r>
    </w:p>
    <w:p>
      <w:pPr>
        <w:spacing w:after="100"/>
        <w:jc w:val="center"/>
      </w:pPr>
      <w:r>
        <w:rPr>
          <w:color w:val="2A78D6"/>
          <w:sz w:val="30"/>
          <w:szCs w:val="30"/>
        </w:rPr>
        <w:t xml:space="preserve">Project Documentation</w:t>
      </w:r>
    </w:p>
    <w:p>
      <w:pPr>
        <w:spacing w:after="900"/>
        <w:jc w:val="center"/>
      </w:pPr>
      <w:r>
        <w:rPr>
          <w:i/>
          <w:iCs/>
          <w:color w:val="595959"/>
          <w:sz w:val="22"/>
          <w:szCs w:val="22"/>
        </w:rPr>
        <w:t xml:space="preserve">Data Model • Cleaning &amp; Quality • KPIs • Dashboards • Recommendations</w:t>
      </w:r>
    </w:p>
    <w:p>
      <w:pPr>
        <w:spacing w:after="60"/>
        <w:jc w:val="center"/>
      </w:pPr>
      <w:r>
        <w:rPr>
          <w:color w:val="595959"/>
          <w:sz w:val="20"/>
          <w:szCs w:val="20"/>
        </w:rPr>
        <w:t xml:space="preserve">Prepared by: Data Analytics Team</w:t>
      </w:r>
    </w:p>
    <w:p>
      <w:pPr>
        <w:jc w:val="center"/>
      </w:pPr>
      <w:r>
        <w:rPr>
          <w:color w:val="595959"/>
          <w:sz w:val="20"/>
          <w:szCs w:val="20"/>
        </w:rPr>
        <w:t xml:space="preserve">Source: marketing_and_product_performance_dirty.xlsx</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line="276"/>
      </w:pPr>
      <w:r>
        <w:rPr>
          <w:color w:val="262626"/>
          <w:sz w:val="22"/>
          <w:szCs w:val="22"/>
        </w:rPr>
        <w:t xml:space="preserve">This project delivers an end-to-end analytics solution built on the company's marketing, flash-sale, bundling, subscription, and post-refund satisfaction data. The work spanned four stages: preparing a raw, error-prone dataset into a trustworthy analytical asset; engineering business-ready KPIs and segments; modeling the data as a star schema inside Power BI; and translating the resulting analysis into a two-page executive dashboard with prioritized, evidence-based recommendations.</w:t>
      </w:r>
    </w:p>
    <w:p>
      <w:pPr>
        <w:spacing w:after="160" w:line="276"/>
      </w:pPr>
      <w:r>
        <w:rPr>
          <w:color w:val="262626"/>
          <w:sz w:val="22"/>
          <w:szCs w:val="22"/>
        </w:rPr>
        <w:t xml:space="preserve">The headline finding across the project is consistent: the classic marketing and pricing levers available in this dataset — campaign budget, discount depth, bundle price, and subscription tier — show little to no measurable relationship with revenue, ROI, units sold, or customer satisfaction. This is a genuine, decision-relevant insight and is treated as such throughout this documentation, with clear recommendations on how to validate and act on it.</w:t>
      </w:r>
    </w:p>
    <w:p>
      <w:pPr>
        <w:pStyle w:val="Heading2"/>
        <w:spacing w:after="120" w:before="280"/>
      </w:pPr>
      <w:r>
        <w:t xml:space="preserve">What this document covers</w:t>
      </w:r>
    </w:p>
    <w:p>
      <w:pPr>
        <w:pStyle w:val="ListParagraph"/>
        <w:numPr>
          <w:ilvl w:val="0"/>
          <w:numId w:val="1"/>
        </w:numPr>
        <w:spacing w:after="80"/>
      </w:pPr>
      <w:r>
        <w:rPr>
          <w:color w:val="262626"/>
          <w:sz w:val="22"/>
          <w:szCs w:val="22"/>
        </w:rPr>
        <w:t xml:space="preserve">Business context, objectives, and scope of the analysis</w:t>
      </w:r>
    </w:p>
    <w:p>
      <w:pPr>
        <w:pStyle w:val="ListParagraph"/>
        <w:numPr>
          <w:ilvl w:val="0"/>
          <w:numId w:val="1"/>
        </w:numPr>
        <w:spacing w:after="80"/>
      </w:pPr>
      <w:r>
        <w:rPr>
          <w:color w:val="262626"/>
          <w:sz w:val="22"/>
          <w:szCs w:val="22"/>
        </w:rPr>
        <w:t xml:space="preserve">Data sources and the full feature dictionary</w:t>
      </w:r>
    </w:p>
    <w:p>
      <w:pPr>
        <w:pStyle w:val="ListParagraph"/>
        <w:numPr>
          <w:ilvl w:val="0"/>
          <w:numId w:val="1"/>
        </w:numPr>
        <w:spacing w:after="80"/>
      </w:pPr>
      <w:r>
        <w:rPr>
          <w:color w:val="262626"/>
          <w:sz w:val="22"/>
          <w:szCs w:val="22"/>
        </w:rPr>
        <w:t xml:space="preserve">The data cleaning and quality-assurance process applied to the raw dataset</w:t>
      </w:r>
    </w:p>
    <w:p>
      <w:pPr>
        <w:pStyle w:val="ListParagraph"/>
        <w:numPr>
          <w:ilvl w:val="0"/>
          <w:numId w:val="1"/>
        </w:numPr>
        <w:spacing w:after="80"/>
      </w:pPr>
      <w:r>
        <w:rPr>
          <w:color w:val="262626"/>
          <w:sz w:val="22"/>
          <w:szCs w:val="22"/>
        </w:rPr>
        <w:t xml:space="preserve">Engineered features and business KPIs</w:t>
      </w:r>
    </w:p>
    <w:p>
      <w:pPr>
        <w:pStyle w:val="ListParagraph"/>
        <w:numPr>
          <w:ilvl w:val="0"/>
          <w:numId w:val="1"/>
        </w:numPr>
        <w:spacing w:after="80"/>
      </w:pPr>
      <w:r>
        <w:rPr>
          <w:color w:val="262626"/>
          <w:sz w:val="22"/>
          <w:szCs w:val="22"/>
        </w:rPr>
        <w:t xml:space="preserve">The Power BI star-schema data model (fact and dimension tables)</w:t>
      </w:r>
    </w:p>
    <w:p>
      <w:pPr>
        <w:pStyle w:val="ListParagraph"/>
        <w:numPr>
          <w:ilvl w:val="0"/>
          <w:numId w:val="1"/>
        </w:numPr>
        <w:spacing w:after="80"/>
      </w:pPr>
      <w:r>
        <w:rPr>
          <w:color w:val="262626"/>
          <w:sz w:val="22"/>
          <w:szCs w:val="22"/>
        </w:rPr>
        <w:t xml:space="preserve">The two-page executive dashboard: chart-by-chart insights</w:t>
      </w:r>
    </w:p>
    <w:p>
      <w:pPr>
        <w:pStyle w:val="ListParagraph"/>
        <w:numPr>
          <w:ilvl w:val="0"/>
          <w:numId w:val="1"/>
        </w:numPr>
        <w:spacing w:after="80"/>
      </w:pPr>
      <w:r>
        <w:rPr>
          <w:color w:val="262626"/>
          <w:sz w:val="22"/>
          <w:szCs w:val="22"/>
        </w:rPr>
        <w:t xml:space="preserve">Prioritized business recommendations</w:t>
      </w:r>
    </w:p>
    <w:p>
      <w:pPr>
        <w:pStyle w:val="ListParagraph"/>
        <w:numPr>
          <w:ilvl w:val="0"/>
          <w:numId w:val="1"/>
        </w:numPr>
        <w:spacing w:after="80"/>
      </w:pPr>
      <w:r>
        <w:rPr>
          <w:color w:val="262626"/>
          <w:sz w:val="22"/>
          <w:szCs w:val="22"/>
        </w:rPr>
        <w:t xml:space="preserve">Known limitations and recommended next steps</w:t>
      </w:r>
    </w:p>
    <w:p>
      <w:pPr>
        <w:pStyle w:val="Heading1"/>
        <w:spacing w:after="160" w:before="360"/>
      </w:pPr>
      <w:r>
        <w:t xml:space="preserve">2. Business Context &amp; Objectives</w:t>
      </w:r>
    </w:p>
    <w:p>
      <w:pPr>
        <w:pStyle w:val="Heading2"/>
        <w:spacing w:after="120" w:before="280"/>
      </w:pPr>
      <w:r>
        <w:t xml:space="preserve">2.1 Business Domain</w:t>
      </w:r>
    </w:p>
    <w:p>
      <w:pPr>
        <w:spacing w:after="160" w:line="276"/>
      </w:pPr>
      <w:r>
        <w:rPr>
          <w:color w:val="262626"/>
          <w:sz w:val="22"/>
          <w:szCs w:val="22"/>
        </w:rPr>
        <w:t xml:space="preserve">The dataset sits at the intersection of digital marketing analytics and e-commerce / subscription product performance. Each record combines five business activities that a mid-size online retailer or subscription commerce company tracks: marketing campaigns, customer subscriptions, flash sales, product bundling, and post-refund customer satisfaction.</w:t>
      </w:r>
    </w:p>
    <w:p>
      <w:pPr>
        <w:pStyle w:val="Heading2"/>
        <w:spacing w:after="120" w:before="280"/>
      </w:pPr>
      <w:r>
        <w:t xml:space="preserve">2.2 Business Problem</w:t>
      </w:r>
    </w:p>
    <w:p>
      <w:pPr>
        <w:spacing w:after="160" w:line="276"/>
      </w:pPr>
      <w:r>
        <w:rPr>
          <w:color w:val="262626"/>
          <w:sz w:val="22"/>
          <w:szCs w:val="22"/>
        </w:rPr>
        <w:t xml:space="preserve">Marketing and product teams spend budget on campaigns, discount products through flash sales, and bundle products together — but it has not been clear which of these levers actually drive revenue, protect margin, and keep customers satisfied. Leadership needed a data-driven view of where marketing spend is working, whether deeper discounts genuinely sell more, whether bundling and subscription tier correlate with higher-value customers, and whether discounting is affecting satisfaction.</w:t>
      </w:r>
    </w:p>
    <w:p>
      <w:pPr>
        <w:pStyle w:val="Heading2"/>
        <w:spacing w:after="120" w:before="280"/>
      </w:pPr>
      <w:r>
        <w:t xml:space="preserve">2.3 Project Objective</w:t>
      </w:r>
    </w:p>
    <w:p>
      <w:pPr>
        <w:spacing w:after="160" w:line="276"/>
      </w:pPr>
      <w:r>
        <w:rPr>
          <w:color w:val="262626"/>
          <w:sz w:val="22"/>
          <w:szCs w:val="22"/>
        </w:rPr>
        <w:t xml:space="preserve">Deliver a clean, trustworthy dataset and an evidence-based analysis that helps Marketing, Product, and Customer Experience leadership prioritize where to invest, where to cut, and where to investigate further.</w:t>
      </w:r>
    </w:p>
    <w:p>
      <w:pPr>
        <w:pStyle w:val="Heading2"/>
        <w:spacing w:after="120" w:before="280"/>
      </w:pPr>
      <w:r>
        <w:t xml:space="preserve">2.4 Analysis Scope</w:t>
      </w:r>
    </w:p>
    <w:p>
      <w:pPr>
        <w:spacing w:after="160" w:line="276"/>
      </w:pPr>
      <w:r>
        <w:rPr>
          <w:color w:val="262626"/>
          <w:sz w:val="22"/>
          <w:szCs w:val="22"/>
        </w:rPr>
        <w:t xml:space="preserve">In scope: descriptive and diagnostic analysis of campaign performance, flash-sale and discount behavior, bundling economics, subscription-tier patterns, and post-refund satisfaction, using the records provided in the source file.</w:t>
      </w:r>
    </w:p>
    <w:p>
      <w:pPr>
        <w:spacing w:after="160" w:line="276"/>
      </w:pPr>
      <w:r>
        <w:rPr>
          <w:color w:val="262626"/>
          <w:sz w:val="22"/>
          <w:szCs w:val="22"/>
        </w:rPr>
        <w:t xml:space="preserve">Out of scope: predictive modeling and forecasting, causal inference (this is observational data), and time-based trend analysis — the source data has no date or timestamp column, so trend-over-time analysis is not possible and is called out explicitly in the Limitations section.</w:t>
      </w:r>
    </w:p>
    <w:p>
      <w:pPr>
        <w:pStyle w:val="Heading1"/>
        <w:spacing w:after="160" w:before="360"/>
      </w:pPr>
      <w:r>
        <w:t xml:space="preserve">3. Data Source &amp; Feature Dictionary</w:t>
      </w:r>
    </w:p>
    <w:p>
      <w:pPr>
        <w:spacing w:after="160" w:line="276"/>
      </w:pPr>
      <w:r>
        <w:rPr>
          <w:color w:val="262626"/>
          <w:sz w:val="22"/>
          <w:szCs w:val="22"/>
        </w:rPr>
        <w:t xml:space="preserve">The analysis is built from a single source file, marketing_and_product_performance_dirty.xlsx (one worksheet), containing one row per marketing campaign with attached product, customer, flash-sale, bundle, and satisfaction attributes.</w:t>
      </w:r>
    </w:p>
    <w:p>
      <w:pPr>
        <w:pStyle w:val="Heading2"/>
        <w:spacing w:after="120" w:before="280"/>
      </w:pPr>
      <w:r>
        <w:t xml:space="preserve">3.1 Feature Dictionary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3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Column</w:t>
            </w:r>
          </w:p>
        </w:tc>
        <w:tc>
          <w:tcPr>
            <w:tcW w:type="dxa" w:w="1800"/>
            <w:shd w:fill="1F3864" w:val="clear"/>
            <w:tcMar>
              <w:top w:type="dxa" w:w="80"/>
              <w:left w:type="dxa" w:w="100"/>
              <w:bottom w:type="dxa" w:w="80"/>
              <w:right w:type="dxa" w:w="100"/>
            </w:tcMar>
          </w:tcPr>
          <w:p>
            <w:r>
              <w:rPr>
                <w:b/>
                <w:bCs/>
                <w:color w:val="FFFFFF"/>
                <w:sz w:val="20"/>
                <w:szCs w:val="20"/>
              </w:rPr>
              <w:t xml:space="preserve">Type</w:t>
            </w:r>
          </w:p>
        </w:tc>
        <w:tc>
          <w:tcPr>
            <w:tcW w:type="dxa" w:w="5300"/>
            <w:shd w:fill="1F3864" w:val="clear"/>
            <w:tcMar>
              <w:top w:type="dxa" w:w="80"/>
              <w:left w:type="dxa" w:w="100"/>
              <w:bottom w:type="dxa" w:w="80"/>
              <w:right w:type="dxa" w:w="100"/>
            </w:tcMar>
          </w:tcPr>
          <w:p>
            <w:r>
              <w:rPr>
                <w:b/>
                <w:bCs/>
                <w:color w:val="FFFFFF"/>
                <w:sz w:val="20"/>
                <w:szCs w:val="20"/>
              </w:rPr>
              <w:t xml:space="preserve">Business Meaning</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Campaign_ID</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ID</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Unique identifier for a marketing campaign</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Product_ID</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ID</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Unique identifier for the product being marketed</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Budget</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Numeric ($)</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Amount spent on the campaign — the marketing investment</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Clicks</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Numeric</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Number of ad clicks generated by the campaign</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Conversions</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Numeric</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Number of clicks that turned into a sale or signup</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Revenue_Generated</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Numeric ($)</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Revenue attributed to the campaign</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ROI</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Numeric (ratio)</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Return on investment for the campaign</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Customer_ID</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ID</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Unique identifier for the customer</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Subscription_Tier</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Categorical</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Customer's plan: Basic / Standard / Premium</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Subscription_Length</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Numeric (months)</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How long the customer has held their subscription</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Flash_Sale_ID</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ID</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Unique identifier for a flash-sale event</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Discount_Level</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Numeric (%)</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Discount percentage applied during the flash sale</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Units_Sold</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Numeric</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Units sold during the flash sale</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Bundle_ID</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ID</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Unique identifier for a product bundle</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Bundle_Price</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Numeric ($)</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Price of the bundle</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Customer_Satisfaction_Post_Refund</w:t>
            </w:r>
          </w:p>
        </w:tc>
        <w:tc>
          <w:tcPr>
            <w:tcW w:type="dxa" w:w="1800"/>
            <w:shd w:fill="EEF2F7" w:val="clear"/>
            <w:tcMar>
              <w:top w:type="dxa" w:w="80"/>
              <w:left w:type="dxa" w:w="100"/>
              <w:bottom w:type="dxa" w:w="80"/>
              <w:right w:type="dxa" w:w="100"/>
            </w:tcMar>
          </w:tcPr>
          <w:p>
            <w:r>
              <w:rPr>
                <w:b w:val="false"/>
                <w:bCs w:val="false"/>
                <w:color w:val="262626"/>
                <w:sz w:val="20"/>
                <w:szCs w:val="20"/>
              </w:rPr>
              <w:t xml:space="preserve">Numeric (1–4)</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Satisfaction score captured after a refund was processed</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Common_Keywords</w:t>
            </w:r>
          </w:p>
        </w:tc>
        <w:tc>
          <w:tcPr>
            <w:tcW w:type="dxa" w:w="1800"/>
            <w:shd w:fill="FFFFFF" w:val="clear"/>
            <w:tcMar>
              <w:top w:type="dxa" w:w="80"/>
              <w:left w:type="dxa" w:w="100"/>
              <w:bottom w:type="dxa" w:w="80"/>
              <w:right w:type="dxa" w:w="100"/>
            </w:tcMar>
          </w:tcPr>
          <w:p>
            <w:r>
              <w:rPr>
                <w:b w:val="false"/>
                <w:bCs w:val="false"/>
                <w:color w:val="262626"/>
                <w:sz w:val="20"/>
                <w:szCs w:val="20"/>
              </w:rPr>
              <w:t xml:space="preserve">Categorical</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Marketing keyword tag for the product</w:t>
            </w:r>
          </w:p>
        </w:tc>
      </w:tr>
    </w:tbl>
    <w:p>
      <w:pPr>
        <w:spacing w:after="200"/>
      </w:pPr>
    </w:p>
    <w:p>
      <w:pPr>
        <w:pStyle w:val="Heading2"/>
        <w:spacing w:after="120" w:before="280"/>
      </w:pPr>
      <w:r>
        <w:t xml:space="preserve">3.2 Candidate KPIs &amp; Business Questions</w:t>
      </w:r>
    </w:p>
    <w:p>
      <w:pPr>
        <w:spacing w:after="160" w:line="276"/>
      </w:pPr>
      <w:r>
        <w:rPr>
          <w:color w:val="262626"/>
          <w:sz w:val="22"/>
          <w:szCs w:val="22"/>
        </w:rPr>
        <w:t xml:space="preserve">The dictionary above translates into a small set of recurring business questions that structure the rest of this document: is budget converting into revenue and ROI; what share of campaigns are unprofitable; does discount depth move volume; is discounting linked to satisfaction; do subscription tiers differ in value; and which marketing keyword performs best.</w:t>
      </w:r>
    </w:p>
    <w:p>
      <w:pPr>
        <w:pStyle w:val="Heading1"/>
        <w:spacing w:after="160" w:before="360"/>
      </w:pPr>
      <w:r>
        <w:t xml:space="preserve">4. Data Cleaning &amp; Quality Assurance</w:t>
      </w:r>
    </w:p>
    <w:p>
      <w:pPr>
        <w:spacing w:after="160" w:line="276"/>
      </w:pPr>
      <w:r>
        <w:rPr>
          <w:color w:val="262626"/>
          <w:sz w:val="22"/>
          <w:szCs w:val="22"/>
        </w:rPr>
        <w:t xml:space="preserve">Before analysis, the raw dataset was profiled and systematically corrected. Every fix below was verified against the data rather than assumed, and is applied consistently across the pipeline that feeds both the Power BI model and the dashboard.</w:t>
      </w:r>
    </w:p>
    <w:p>
      <w:pPr>
        <w:pStyle w:val="Heading2"/>
        <w:spacing w:after="120" w:before="280"/>
      </w:pPr>
      <w:r>
        <w:t xml:space="preserve">4.1 Duplicate Records</w:t>
      </w:r>
    </w:p>
    <w:p>
      <w:pPr>
        <w:spacing w:after="160" w:line="276"/>
      </w:pPr>
      <w:r>
        <w:rPr>
          <w:color w:val="262626"/>
          <w:sz w:val="22"/>
          <w:szCs w:val="22"/>
        </w:rPr>
        <w:t xml:space="preserve">A batch of fully duplicated rows was identified and removed. A further set of records shared the same campaign business key with only a single corrupted field differing between the two copies — these were resolved by keeping one clean record per campaign key.</w:t>
      </w:r>
    </w:p>
    <w:p>
      <w:pPr>
        <w:pStyle w:val="Heading2"/>
        <w:spacing w:after="120" w:before="280"/>
      </w:pPr>
      <w:r>
        <w:t xml:space="preserve">4.2 Inconsistent Text</w:t>
      </w:r>
    </w:p>
    <w:p>
      <w:pPr>
        <w:spacing w:after="160" w:line="276"/>
      </w:pPr>
      <w:r>
        <w:rPr>
          <w:color w:val="262626"/>
          <w:sz w:val="22"/>
          <w:szCs w:val="22"/>
        </w:rPr>
        <w:t xml:space="preserve">Subscription_Tier and Common_Keywords contained the same real-world categories written inconsistently — mixed capitalization, stray whitespace, and typos (for example “Basci”, “Standrad”, “Durrable”, “Afordable”, “Stylsih”, “Inovative”). All variants were standardized to a clean, consistent set of category labels so that grouped KPIs are not silently fragmented.</w:t>
      </w:r>
    </w:p>
    <w:p>
      <w:pPr>
        <w:pStyle w:val="Heading2"/>
        <w:spacing w:after="120" w:before="280"/>
      </w:pPr>
      <w:r>
        <w:t xml:space="preserve">4.3 Invalid &amp; Impossible Values</w:t>
      </w:r>
    </w:p>
    <w:p>
      <w:pPr>
        <w:spacing w:after="160" w:line="276"/>
      </w:pPr>
      <w:r>
        <w:rPr>
          <w:color w:val="262626"/>
          <w:sz w:val="22"/>
          <w:szCs w:val="22"/>
        </w:rPr>
        <w:t xml:space="preserve">Three distinct, evidence-backed error patterns were diagnosed and corrected:</w:t>
      </w:r>
    </w:p>
    <w:p>
      <w:pPr>
        <w:pStyle w:val="ListParagraph"/>
        <w:numPr>
          <w:ilvl w:val="0"/>
          <w:numId w:val="1"/>
        </w:numPr>
        <w:spacing w:after="80"/>
      </w:pPr>
      <w:r>
        <w:rPr>
          <w:color w:val="262626"/>
          <w:sz w:val="22"/>
          <w:szCs w:val="22"/>
        </w:rPr>
        <w:t xml:space="preserve">Sign errors: Budget and Units_Sold contained negative values whose magnitude was otherwise entirely normal — corrected by taking the absolute value.</w:t>
      </w:r>
    </w:p>
    <w:p>
      <w:pPr>
        <w:pStyle w:val="ListParagraph"/>
        <w:numPr>
          <w:ilvl w:val="0"/>
          <w:numId w:val="1"/>
        </w:numPr>
        <w:spacing w:after="80"/>
      </w:pPr>
      <w:r>
        <w:rPr>
          <w:color w:val="262626"/>
          <w:sz w:val="22"/>
          <w:szCs w:val="22"/>
        </w:rPr>
        <w:t xml:space="preserve">Scale / decimal-point errors: a small number of extreme outlier values in Budget, Bundle_Price, Units_Sold, Revenue_Generated, Clicks, and ROI were shown — through testing — to fall neatly back into the normal range once divided by 100, consistent with a decimal-point or unit-entry error; these were corrected accordingly.</w:t>
      </w:r>
    </w:p>
    <w:p>
      <w:pPr>
        <w:pStyle w:val="ListParagraph"/>
        <w:numPr>
          <w:ilvl w:val="0"/>
          <w:numId w:val="1"/>
        </w:numPr>
        <w:spacing w:after="80"/>
      </w:pPr>
      <w:r>
        <w:rPr>
          <w:color w:val="262626"/>
          <w:sz w:val="22"/>
          <w:szCs w:val="22"/>
        </w:rPr>
        <w:t xml:space="preserve">Offset error: Discount_Level values above 100 clustered tightly around (normal maximum + 100); subtracting 100 brought every one of these values back into a plausible 0–100% range.</w:t>
      </w:r>
    </w:p>
    <w:p>
      <w:pPr>
        <w:pStyle w:val="ListParagraph"/>
        <w:numPr>
          <w:ilvl w:val="0"/>
          <w:numId w:val="1"/>
        </w:numPr>
        <w:spacing w:after="80"/>
      </w:pPr>
      <w:r>
        <w:rPr>
          <w:color w:val="262626"/>
          <w:sz w:val="22"/>
          <w:szCs w:val="22"/>
        </w:rPr>
        <w:t xml:space="preserve">Out-of-scale survey values: Customer_Satisfaction_Post_Refund is scored on a 1–4 scale; a small number of values fell outside that range and did not fit a verifiable arithmetic correction, so they were treated as invalid and excluded from scale-dependent calculations.</w:t>
      </w:r>
    </w:p>
    <w:p>
      <w:pPr>
        <w:pStyle w:val="Heading2"/>
        <w:spacing w:after="120" w:before="280"/>
      </w:pPr>
      <w:r>
        <w:t xml:space="preserve">4.4 Data Integrity Note: Conversions vs. Clicks</w:t>
      </w:r>
    </w:p>
    <w:p>
      <w:pPr>
        <w:spacing w:after="160" w:line="276"/>
      </w:pPr>
      <w:r>
        <w:rPr>
          <w:color w:val="262626"/>
          <w:sz w:val="22"/>
          <w:szCs w:val="22"/>
        </w:rPr>
        <w:t xml:space="preserve">In a subset of records, Conversions exceeds Clicks, which is not logically possible. No reliable arithmetic correction could be verified for this pattern, so it is retained as a documented data-integrity limitation: conversion-rate and click-through metrics derived from this dataset should be read as directional rather than exact, pending a fix to the underlying tracking pipeline (see Section 9).</w:t>
      </w:r>
    </w:p>
    <w:p>
      <w:pPr>
        <w:pStyle w:val="Heading2"/>
        <w:spacing w:after="120" w:before="280"/>
      </w:pPr>
      <w:r>
        <w:t xml:space="preserve">4.5 Data Types &amp; Skewed Distributions</w:t>
      </w:r>
    </w:p>
    <w:p>
      <w:pPr>
        <w:spacing w:after="160" w:line="276"/>
      </w:pPr>
      <w:r>
        <w:rPr>
          <w:color w:val="262626"/>
          <w:sz w:val="22"/>
          <w:szCs w:val="22"/>
        </w:rPr>
        <w:t xml:space="preserve">Category-type columns (Subscription_Tier, Common_Keywords) were set to the correct categorical data type. Discount_Level and Units_Sold were restored to whole-number types after their value corrections. Budget, Revenue_Generated, Bundle_Price, Clicks, and Units_Sold are right-skewed; log-transformed companion fields were added specifically for skew-sensitive analysis, while the original business values were preserved unchanged for all financial reporting.</w:t>
      </w:r>
    </w:p>
    <w:p>
      <w:pPr>
        <w:pStyle w:val="Heading2"/>
        <w:spacing w:after="120" w:before="280"/>
      </w:pPr>
      <w:r>
        <w:t xml:space="preserve">4.6 Cleaning Summary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3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Step</w:t>
            </w:r>
          </w:p>
        </w:tc>
        <w:tc>
          <w:tcPr>
            <w:tcW w:type="dxa" w:w="3000"/>
            <w:shd w:fill="1F3864" w:val="clear"/>
            <w:tcMar>
              <w:top w:type="dxa" w:w="80"/>
              <w:left w:type="dxa" w:w="100"/>
              <w:bottom w:type="dxa" w:w="80"/>
              <w:right w:type="dxa" w:w="100"/>
            </w:tcMar>
          </w:tcPr>
          <w:p>
            <w:r>
              <w:rPr>
                <w:b/>
                <w:bCs/>
                <w:color w:val="FFFFFF"/>
                <w:sz w:val="20"/>
                <w:szCs w:val="20"/>
              </w:rPr>
              <w:t xml:space="preserve">Scope</w:t>
            </w:r>
          </w:p>
        </w:tc>
        <w:tc>
          <w:tcPr>
            <w:tcW w:type="dxa" w:w="2300"/>
            <w:shd w:fill="1F3864" w:val="clear"/>
            <w:tcMar>
              <w:top w:type="dxa" w:w="80"/>
              <w:left w:type="dxa" w:w="100"/>
              <w:bottom w:type="dxa" w:w="80"/>
              <w:right w:type="dxa" w:w="100"/>
            </w:tcMar>
          </w:tcPr>
          <w:p>
            <w:r>
              <w:rPr>
                <w:b/>
                <w:bCs/>
                <w:color w:val="FFFFFF"/>
                <w:sz w:val="20"/>
                <w:szCs w:val="20"/>
              </w:rPr>
              <w:t xml:space="preserve">Action Taken</w:t>
            </w:r>
          </w:p>
        </w:tc>
      </w:tr>
      <w:tr>
        <w:tc>
          <w:tcPr>
            <w:tcW w:type="dxa" w:w="3400"/>
            <w:shd w:fill="FFFFFF" w:val="clear"/>
            <w:tcMar>
              <w:top w:type="dxa" w:w="80"/>
              <w:left w:type="dxa" w:w="100"/>
              <w:bottom w:type="dxa" w:w="80"/>
              <w:right w:type="dxa" w:w="100"/>
            </w:tcMar>
          </w:tcPr>
          <w:p>
            <w:r>
              <w:rPr>
                <w:b w:val="false"/>
                <w:bCs w:val="false"/>
                <w:color w:val="262626"/>
                <w:sz w:val="20"/>
                <w:szCs w:val="20"/>
              </w:rPr>
              <w:t xml:space="preserve">Fully duplicated rows</w:t>
            </w:r>
          </w:p>
        </w:tc>
        <w:tc>
          <w:tcPr>
            <w:tcW w:type="dxa" w:w="3000"/>
            <w:shd w:fill="FFFFFF" w:val="clear"/>
            <w:tcMar>
              <w:top w:type="dxa" w:w="80"/>
              <w:left w:type="dxa" w:w="100"/>
              <w:bottom w:type="dxa" w:w="80"/>
              <w:right w:type="dxa" w:w="100"/>
            </w:tcMar>
          </w:tcPr>
          <w:p>
            <w:r>
              <w:rPr>
                <w:b w:val="false"/>
                <w:bCs w:val="false"/>
                <w:color w:val="262626"/>
                <w:sz w:val="20"/>
                <w:szCs w:val="20"/>
              </w:rPr>
              <w:t xml:space="preserve">Whole table</w:t>
            </w:r>
          </w:p>
        </w:tc>
        <w:tc>
          <w:tcPr>
            <w:tcW w:type="dxa" w:w="2300"/>
            <w:shd w:fill="FFFFFF" w:val="clear"/>
            <w:tcMar>
              <w:top w:type="dxa" w:w="80"/>
              <w:left w:type="dxa" w:w="100"/>
              <w:bottom w:type="dxa" w:w="80"/>
              <w:right w:type="dxa" w:w="100"/>
            </w:tcMar>
          </w:tcPr>
          <w:p>
            <w:r>
              <w:rPr>
                <w:b w:val="false"/>
                <w:bCs w:val="false"/>
                <w:color w:val="262626"/>
                <w:sz w:val="20"/>
                <w:szCs w:val="20"/>
              </w:rPr>
              <w:t xml:space="preserve">Removed</w:t>
            </w:r>
          </w:p>
        </w:tc>
      </w:tr>
      <w:tr>
        <w:tc>
          <w:tcPr>
            <w:tcW w:type="dxa" w:w="3400"/>
            <w:shd w:fill="EEF2F7" w:val="clear"/>
            <w:tcMar>
              <w:top w:type="dxa" w:w="80"/>
              <w:left w:type="dxa" w:w="100"/>
              <w:bottom w:type="dxa" w:w="80"/>
              <w:right w:type="dxa" w:w="100"/>
            </w:tcMar>
          </w:tcPr>
          <w:p>
            <w:r>
              <w:rPr>
                <w:b w:val="false"/>
                <w:bCs w:val="false"/>
                <w:color w:val="262626"/>
                <w:sz w:val="20"/>
                <w:szCs w:val="20"/>
              </w:rPr>
              <w:t xml:space="preserve">Duplicated campaign-key records</w:t>
            </w:r>
          </w:p>
        </w:tc>
        <w:tc>
          <w:tcPr>
            <w:tcW w:type="dxa" w:w="3000"/>
            <w:shd w:fill="EEF2F7" w:val="clear"/>
            <w:tcMar>
              <w:top w:type="dxa" w:w="80"/>
              <w:left w:type="dxa" w:w="100"/>
              <w:bottom w:type="dxa" w:w="80"/>
              <w:right w:type="dxa" w:w="100"/>
            </w:tcMar>
          </w:tcPr>
          <w:p>
            <w:r>
              <w:rPr>
                <w:b w:val="false"/>
                <w:bCs w:val="false"/>
                <w:color w:val="262626"/>
                <w:sz w:val="20"/>
                <w:szCs w:val="20"/>
              </w:rPr>
              <w:t xml:space="preserve">Campaign_ID and related keys</w:t>
            </w:r>
          </w:p>
        </w:tc>
        <w:tc>
          <w:tcPr>
            <w:tcW w:type="dxa" w:w="2300"/>
            <w:shd w:fill="EEF2F7" w:val="clear"/>
            <w:tcMar>
              <w:top w:type="dxa" w:w="80"/>
              <w:left w:type="dxa" w:w="100"/>
              <w:bottom w:type="dxa" w:w="80"/>
              <w:right w:type="dxa" w:w="100"/>
            </w:tcMar>
          </w:tcPr>
          <w:p>
            <w:r>
              <w:rPr>
                <w:b w:val="false"/>
                <w:bCs w:val="false"/>
                <w:color w:val="262626"/>
                <w:sz w:val="20"/>
                <w:szCs w:val="20"/>
              </w:rPr>
              <w:t xml:space="preserve">Removed (kept first clean copy)</w:t>
            </w:r>
          </w:p>
        </w:tc>
      </w:tr>
      <w:tr>
        <w:tc>
          <w:tcPr>
            <w:tcW w:type="dxa" w:w="3400"/>
            <w:shd w:fill="FFFFFF" w:val="clear"/>
            <w:tcMar>
              <w:top w:type="dxa" w:w="80"/>
              <w:left w:type="dxa" w:w="100"/>
              <w:bottom w:type="dxa" w:w="80"/>
              <w:right w:type="dxa" w:w="100"/>
            </w:tcMar>
          </w:tcPr>
          <w:p>
            <w:r>
              <w:rPr>
                <w:b w:val="false"/>
                <w:bCs w:val="false"/>
                <w:color w:val="262626"/>
                <w:sz w:val="20"/>
                <w:szCs w:val="20"/>
              </w:rPr>
              <w:t xml:space="preserve">Inconsistent text</w:t>
            </w:r>
          </w:p>
        </w:tc>
        <w:tc>
          <w:tcPr>
            <w:tcW w:type="dxa" w:w="3000"/>
            <w:shd w:fill="FFFFFF" w:val="clear"/>
            <w:tcMar>
              <w:top w:type="dxa" w:w="80"/>
              <w:left w:type="dxa" w:w="100"/>
              <w:bottom w:type="dxa" w:w="80"/>
              <w:right w:type="dxa" w:w="100"/>
            </w:tcMar>
          </w:tcPr>
          <w:p>
            <w:r>
              <w:rPr>
                <w:b w:val="false"/>
                <w:bCs w:val="false"/>
                <w:color w:val="262626"/>
                <w:sz w:val="20"/>
                <w:szCs w:val="20"/>
              </w:rPr>
              <w:t xml:space="preserve">Subscription_Tier, Common_Keywords</w:t>
            </w:r>
          </w:p>
        </w:tc>
        <w:tc>
          <w:tcPr>
            <w:tcW w:type="dxa" w:w="2300"/>
            <w:shd w:fill="FFFFFF" w:val="clear"/>
            <w:tcMar>
              <w:top w:type="dxa" w:w="80"/>
              <w:left w:type="dxa" w:w="100"/>
              <w:bottom w:type="dxa" w:w="80"/>
              <w:right w:type="dxa" w:w="100"/>
            </w:tcMar>
          </w:tcPr>
          <w:p>
            <w:r>
              <w:rPr>
                <w:b w:val="false"/>
                <w:bCs w:val="false"/>
                <w:color w:val="262626"/>
                <w:sz w:val="20"/>
                <w:szCs w:val="20"/>
              </w:rPr>
              <w:t xml:space="preserve">Standardized to clean categories</w:t>
            </w:r>
          </w:p>
        </w:tc>
      </w:tr>
      <w:tr>
        <w:tc>
          <w:tcPr>
            <w:tcW w:type="dxa" w:w="3400"/>
            <w:shd w:fill="EEF2F7" w:val="clear"/>
            <w:tcMar>
              <w:top w:type="dxa" w:w="80"/>
              <w:left w:type="dxa" w:w="100"/>
              <w:bottom w:type="dxa" w:w="80"/>
              <w:right w:type="dxa" w:w="100"/>
            </w:tcMar>
          </w:tcPr>
          <w:p>
            <w:r>
              <w:rPr>
                <w:b w:val="false"/>
                <w:bCs w:val="false"/>
                <w:color w:val="262626"/>
                <w:sz w:val="20"/>
                <w:szCs w:val="20"/>
              </w:rPr>
              <w:t xml:space="preserve">Sign errors</w:t>
            </w:r>
          </w:p>
        </w:tc>
        <w:tc>
          <w:tcPr>
            <w:tcW w:type="dxa" w:w="3000"/>
            <w:shd w:fill="EEF2F7" w:val="clear"/>
            <w:tcMar>
              <w:top w:type="dxa" w:w="80"/>
              <w:left w:type="dxa" w:w="100"/>
              <w:bottom w:type="dxa" w:w="80"/>
              <w:right w:type="dxa" w:w="100"/>
            </w:tcMar>
          </w:tcPr>
          <w:p>
            <w:r>
              <w:rPr>
                <w:b w:val="false"/>
                <w:bCs w:val="false"/>
                <w:color w:val="262626"/>
                <w:sz w:val="20"/>
                <w:szCs w:val="20"/>
              </w:rPr>
              <w:t xml:space="preserve">Budget, Units_Sold</w:t>
            </w:r>
          </w:p>
        </w:tc>
        <w:tc>
          <w:tcPr>
            <w:tcW w:type="dxa" w:w="2300"/>
            <w:shd w:fill="EEF2F7" w:val="clear"/>
            <w:tcMar>
              <w:top w:type="dxa" w:w="80"/>
              <w:left w:type="dxa" w:w="100"/>
              <w:bottom w:type="dxa" w:w="80"/>
              <w:right w:type="dxa" w:w="100"/>
            </w:tcMar>
          </w:tcPr>
          <w:p>
            <w:r>
              <w:rPr>
                <w:b w:val="false"/>
                <w:bCs w:val="false"/>
                <w:color w:val="262626"/>
                <w:sz w:val="20"/>
                <w:szCs w:val="20"/>
              </w:rPr>
              <w:t xml:space="preserve">Corrected via absolute value</w:t>
            </w:r>
          </w:p>
        </w:tc>
      </w:tr>
      <w:tr>
        <w:tc>
          <w:tcPr>
            <w:tcW w:type="dxa" w:w="3400"/>
            <w:shd w:fill="FFFFFF" w:val="clear"/>
            <w:tcMar>
              <w:top w:type="dxa" w:w="80"/>
              <w:left w:type="dxa" w:w="100"/>
              <w:bottom w:type="dxa" w:w="80"/>
              <w:right w:type="dxa" w:w="100"/>
            </w:tcMar>
          </w:tcPr>
          <w:p>
            <w:r>
              <w:rPr>
                <w:b w:val="false"/>
                <w:bCs w:val="false"/>
                <w:color w:val="262626"/>
                <w:sz w:val="20"/>
                <w:szCs w:val="20"/>
              </w:rPr>
              <w:t xml:space="preserve">Scale errors</w:t>
            </w:r>
          </w:p>
        </w:tc>
        <w:tc>
          <w:tcPr>
            <w:tcW w:type="dxa" w:w="3000"/>
            <w:shd w:fill="FFFFFF" w:val="clear"/>
            <w:tcMar>
              <w:top w:type="dxa" w:w="80"/>
              <w:left w:type="dxa" w:w="100"/>
              <w:bottom w:type="dxa" w:w="80"/>
              <w:right w:type="dxa" w:w="100"/>
            </w:tcMar>
          </w:tcPr>
          <w:p>
            <w:r>
              <w:rPr>
                <w:b w:val="false"/>
                <w:bCs w:val="false"/>
                <w:color w:val="262626"/>
                <w:sz w:val="20"/>
                <w:szCs w:val="20"/>
              </w:rPr>
              <w:t xml:space="preserve">6 numeric columns</w:t>
            </w:r>
          </w:p>
        </w:tc>
        <w:tc>
          <w:tcPr>
            <w:tcW w:type="dxa" w:w="2300"/>
            <w:shd w:fill="FFFFFF" w:val="clear"/>
            <w:tcMar>
              <w:top w:type="dxa" w:w="80"/>
              <w:left w:type="dxa" w:w="100"/>
              <w:bottom w:type="dxa" w:w="80"/>
              <w:right w:type="dxa" w:w="100"/>
            </w:tcMar>
          </w:tcPr>
          <w:p>
            <w:r>
              <w:rPr>
                <w:b w:val="false"/>
                <w:bCs w:val="false"/>
                <w:color w:val="262626"/>
                <w:sz w:val="20"/>
                <w:szCs w:val="20"/>
              </w:rPr>
              <w:t xml:space="preserve">Corrected via ÷100, sign preserved</w:t>
            </w:r>
          </w:p>
        </w:tc>
      </w:tr>
      <w:tr>
        <w:tc>
          <w:tcPr>
            <w:tcW w:type="dxa" w:w="3400"/>
            <w:shd w:fill="EEF2F7" w:val="clear"/>
            <w:tcMar>
              <w:top w:type="dxa" w:w="80"/>
              <w:left w:type="dxa" w:w="100"/>
              <w:bottom w:type="dxa" w:w="80"/>
              <w:right w:type="dxa" w:w="100"/>
            </w:tcMar>
          </w:tcPr>
          <w:p>
            <w:r>
              <w:rPr>
                <w:b w:val="false"/>
                <w:bCs w:val="false"/>
                <w:color w:val="262626"/>
                <w:sz w:val="20"/>
                <w:szCs w:val="20"/>
              </w:rPr>
              <w:t xml:space="preserve">Offset error</w:t>
            </w:r>
          </w:p>
        </w:tc>
        <w:tc>
          <w:tcPr>
            <w:tcW w:type="dxa" w:w="3000"/>
            <w:shd w:fill="EEF2F7" w:val="clear"/>
            <w:tcMar>
              <w:top w:type="dxa" w:w="80"/>
              <w:left w:type="dxa" w:w="100"/>
              <w:bottom w:type="dxa" w:w="80"/>
              <w:right w:type="dxa" w:w="100"/>
            </w:tcMar>
          </w:tcPr>
          <w:p>
            <w:r>
              <w:rPr>
                <w:b w:val="false"/>
                <w:bCs w:val="false"/>
                <w:color w:val="262626"/>
                <w:sz w:val="20"/>
                <w:szCs w:val="20"/>
              </w:rPr>
              <w:t xml:space="preserve">Discount_Level</w:t>
            </w:r>
          </w:p>
        </w:tc>
        <w:tc>
          <w:tcPr>
            <w:tcW w:type="dxa" w:w="2300"/>
            <w:shd w:fill="EEF2F7" w:val="clear"/>
            <w:tcMar>
              <w:top w:type="dxa" w:w="80"/>
              <w:left w:type="dxa" w:w="100"/>
              <w:bottom w:type="dxa" w:w="80"/>
              <w:right w:type="dxa" w:w="100"/>
            </w:tcMar>
          </w:tcPr>
          <w:p>
            <w:r>
              <w:rPr>
                <w:b w:val="false"/>
                <w:bCs w:val="false"/>
                <w:color w:val="262626"/>
                <w:sz w:val="20"/>
                <w:szCs w:val="20"/>
              </w:rPr>
              <w:t xml:space="preserve">Corrected via −100</w:t>
            </w:r>
          </w:p>
        </w:tc>
      </w:tr>
      <w:tr>
        <w:tc>
          <w:tcPr>
            <w:tcW w:type="dxa" w:w="3400"/>
            <w:shd w:fill="FFFFFF" w:val="clear"/>
            <w:tcMar>
              <w:top w:type="dxa" w:w="80"/>
              <w:left w:type="dxa" w:w="100"/>
              <w:bottom w:type="dxa" w:w="80"/>
              <w:right w:type="dxa" w:w="100"/>
            </w:tcMar>
          </w:tcPr>
          <w:p>
            <w:r>
              <w:rPr>
                <w:b w:val="false"/>
                <w:bCs w:val="false"/>
                <w:color w:val="262626"/>
                <w:sz w:val="20"/>
                <w:szCs w:val="20"/>
              </w:rPr>
              <w:t xml:space="preserve">Out-of-scale satisfaction values</w:t>
            </w:r>
          </w:p>
        </w:tc>
        <w:tc>
          <w:tcPr>
            <w:tcW w:type="dxa" w:w="3000"/>
            <w:shd w:fill="FFFFFF" w:val="clear"/>
            <w:tcMar>
              <w:top w:type="dxa" w:w="80"/>
              <w:left w:type="dxa" w:w="100"/>
              <w:bottom w:type="dxa" w:w="80"/>
              <w:right w:type="dxa" w:w="100"/>
            </w:tcMar>
          </w:tcPr>
          <w:p>
            <w:r>
              <w:rPr>
                <w:b w:val="false"/>
                <w:bCs w:val="false"/>
                <w:color w:val="262626"/>
                <w:sz w:val="20"/>
                <w:szCs w:val="20"/>
              </w:rPr>
              <w:t xml:space="preserve">Customer_Satisfaction_Post_Refund</w:t>
            </w:r>
          </w:p>
        </w:tc>
        <w:tc>
          <w:tcPr>
            <w:tcW w:type="dxa" w:w="2300"/>
            <w:shd w:fill="FFFFFF" w:val="clear"/>
            <w:tcMar>
              <w:top w:type="dxa" w:w="80"/>
              <w:left w:type="dxa" w:w="100"/>
              <w:bottom w:type="dxa" w:w="80"/>
              <w:right w:type="dxa" w:w="100"/>
            </w:tcMar>
          </w:tcPr>
          <w:p>
            <w:r>
              <w:rPr>
                <w:b w:val="false"/>
                <w:bCs w:val="false"/>
                <w:color w:val="262626"/>
                <w:sz w:val="20"/>
                <w:szCs w:val="20"/>
              </w:rPr>
              <w:t xml:space="preserve">Excluded from scale-dependent analysis</w:t>
            </w:r>
          </w:p>
        </w:tc>
      </w:tr>
      <w:tr>
        <w:tc>
          <w:tcPr>
            <w:tcW w:type="dxa" w:w="3400"/>
            <w:shd w:fill="EEF2F7" w:val="clear"/>
            <w:tcMar>
              <w:top w:type="dxa" w:w="80"/>
              <w:left w:type="dxa" w:w="100"/>
              <w:bottom w:type="dxa" w:w="80"/>
              <w:right w:type="dxa" w:w="100"/>
            </w:tcMar>
          </w:tcPr>
          <w:p>
            <w:r>
              <w:rPr>
                <w:b w:val="false"/>
                <w:bCs w:val="false"/>
                <w:color w:val="262626"/>
                <w:sz w:val="20"/>
                <w:szCs w:val="20"/>
              </w:rPr>
              <w:t xml:space="preserve">Data types</w:t>
            </w:r>
          </w:p>
        </w:tc>
        <w:tc>
          <w:tcPr>
            <w:tcW w:type="dxa" w:w="3000"/>
            <w:shd w:fill="EEF2F7" w:val="clear"/>
            <w:tcMar>
              <w:top w:type="dxa" w:w="80"/>
              <w:left w:type="dxa" w:w="100"/>
              <w:bottom w:type="dxa" w:w="80"/>
              <w:right w:type="dxa" w:w="100"/>
            </w:tcMar>
          </w:tcPr>
          <w:p>
            <w:r>
              <w:rPr>
                <w:b w:val="false"/>
                <w:bCs w:val="false"/>
                <w:color w:val="262626"/>
                <w:sz w:val="20"/>
                <w:szCs w:val="20"/>
              </w:rPr>
              <w:t xml:space="preserve">4 columns</w:t>
            </w:r>
          </w:p>
        </w:tc>
        <w:tc>
          <w:tcPr>
            <w:tcW w:type="dxa" w:w="2300"/>
            <w:shd w:fill="EEF2F7" w:val="clear"/>
            <w:tcMar>
              <w:top w:type="dxa" w:w="80"/>
              <w:left w:type="dxa" w:w="100"/>
              <w:bottom w:type="dxa" w:w="80"/>
              <w:right w:type="dxa" w:w="100"/>
            </w:tcMar>
          </w:tcPr>
          <w:p>
            <w:r>
              <w:rPr>
                <w:b w:val="false"/>
                <w:bCs w:val="false"/>
                <w:color w:val="262626"/>
                <w:sz w:val="20"/>
                <w:szCs w:val="20"/>
              </w:rPr>
              <w:t xml:space="preserve">Corrected to category / integer</w:t>
            </w:r>
          </w:p>
        </w:tc>
      </w:tr>
      <w:tr>
        <w:tc>
          <w:tcPr>
            <w:tcW w:type="dxa" w:w="3400"/>
            <w:shd w:fill="FFFFFF" w:val="clear"/>
            <w:tcMar>
              <w:top w:type="dxa" w:w="80"/>
              <w:left w:type="dxa" w:w="100"/>
              <w:bottom w:type="dxa" w:w="80"/>
              <w:right w:type="dxa" w:w="100"/>
            </w:tcMar>
          </w:tcPr>
          <w:p>
            <w:r>
              <w:rPr>
                <w:b w:val="false"/>
                <w:bCs w:val="false"/>
                <w:color w:val="262626"/>
                <w:sz w:val="20"/>
                <w:szCs w:val="20"/>
              </w:rPr>
              <w:t xml:space="preserve">Skewed distributions</w:t>
            </w:r>
          </w:p>
        </w:tc>
        <w:tc>
          <w:tcPr>
            <w:tcW w:type="dxa" w:w="3000"/>
            <w:shd w:fill="FFFFFF" w:val="clear"/>
            <w:tcMar>
              <w:top w:type="dxa" w:w="80"/>
              <w:left w:type="dxa" w:w="100"/>
              <w:bottom w:type="dxa" w:w="80"/>
              <w:right w:type="dxa" w:w="100"/>
            </w:tcMar>
          </w:tcPr>
          <w:p>
            <w:r>
              <w:rPr>
                <w:b w:val="false"/>
                <w:bCs w:val="false"/>
                <w:color w:val="262626"/>
                <w:sz w:val="20"/>
                <w:szCs w:val="20"/>
              </w:rPr>
              <w:t xml:space="preserve">5 columns</w:t>
            </w:r>
          </w:p>
        </w:tc>
        <w:tc>
          <w:tcPr>
            <w:tcW w:type="dxa" w:w="2300"/>
            <w:shd w:fill="FFFFFF" w:val="clear"/>
            <w:tcMar>
              <w:top w:type="dxa" w:w="80"/>
              <w:left w:type="dxa" w:w="100"/>
              <w:bottom w:type="dxa" w:w="80"/>
              <w:right w:type="dxa" w:w="100"/>
            </w:tcMar>
          </w:tcPr>
          <w:p>
            <w:r>
              <w:rPr>
                <w:b w:val="false"/>
                <w:bCs w:val="false"/>
                <w:color w:val="262626"/>
                <w:sz w:val="20"/>
                <w:szCs w:val="20"/>
              </w:rPr>
              <w:t xml:space="preserve">Log-transformed companion fields added</w:t>
            </w:r>
          </w:p>
        </w:tc>
      </w:tr>
    </w:tbl>
    <w:p>
      <w:r>
        <w:br w:type="page"/>
      </w:r>
    </w:p>
    <w:p>
      <w:pPr>
        <w:pStyle w:val="Heading1"/>
        <w:spacing w:after="160" w:before="360"/>
      </w:pPr>
      <w:r>
        <w:t xml:space="preserve">5. Feature Engineering &amp; KPIs</w:t>
      </w:r>
    </w:p>
    <w:p>
      <w:pPr>
        <w:spacing w:after="160" w:line="276"/>
      </w:pPr>
      <w:r>
        <w:rPr>
          <w:color w:val="262626"/>
          <w:sz w:val="22"/>
          <w:szCs w:val="22"/>
        </w:rPr>
        <w:t xml:space="preserve">Twelve engineered features translate cleaned raw columns into the ratios and business segments that Marketing, Product, and CX teams actually use in reporting.</w:t>
      </w:r>
    </w:p>
    <w:p>
      <w:pPr>
        <w:pStyle w:val="Heading2"/>
        <w:spacing w:after="120" w:before="280"/>
      </w:pPr>
      <w:r>
        <w:t xml:space="preserve">5.1 Engineered Features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Feature</w:t>
            </w:r>
          </w:p>
        </w:tc>
        <w:tc>
          <w:tcPr>
            <w:tcW w:type="dxa" w:w="1500"/>
            <w:shd w:fill="1F3864" w:val="clear"/>
            <w:tcMar>
              <w:top w:type="dxa" w:w="80"/>
              <w:left w:type="dxa" w:w="100"/>
              <w:bottom w:type="dxa" w:w="80"/>
              <w:right w:type="dxa" w:w="100"/>
            </w:tcMar>
          </w:tcPr>
          <w:p>
            <w:r>
              <w:rPr>
                <w:b/>
                <w:bCs/>
                <w:color w:val="FFFFFF"/>
                <w:sz w:val="20"/>
                <w:szCs w:val="20"/>
              </w:rPr>
              <w:t xml:space="preserve">Type</w:t>
            </w:r>
          </w:p>
        </w:tc>
        <w:tc>
          <w:tcPr>
            <w:tcW w:type="dxa" w:w="5600"/>
            <w:shd w:fill="1F3864" w:val="clear"/>
            <w:tcMar>
              <w:top w:type="dxa" w:w="80"/>
              <w:left w:type="dxa" w:w="100"/>
              <w:bottom w:type="dxa" w:w="80"/>
              <w:right w:type="dxa" w:w="100"/>
            </w:tcMar>
          </w:tcPr>
          <w:p>
            <w:r>
              <w:rPr>
                <w:b/>
                <w:bCs/>
                <w:color w:val="FFFFFF"/>
                <w:sz w:val="20"/>
                <w:szCs w:val="20"/>
              </w:rPr>
              <w:t xml:space="preserve">Business Purpose</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Conversion_Rate</w:t>
            </w:r>
          </w:p>
        </w:tc>
        <w:tc>
          <w:tcPr>
            <w:tcW w:type="dxa" w:w="1500"/>
            <w:shd w:fill="FFFFFF" w:val="clear"/>
            <w:tcMar>
              <w:top w:type="dxa" w:w="80"/>
              <w:left w:type="dxa" w:w="100"/>
              <w:bottom w:type="dxa" w:w="80"/>
              <w:right w:type="dxa" w:w="100"/>
            </w:tcMar>
          </w:tcPr>
          <w:p>
            <w:r>
              <w:rPr>
                <w:b w:val="false"/>
                <w:bCs w:val="false"/>
                <w:color w:val="262626"/>
                <w:sz w:val="20"/>
                <w:szCs w:val="20"/>
              </w:rPr>
              <w:t xml:space="preserve">Ratio</w:t>
            </w:r>
          </w:p>
        </w:tc>
        <w:tc>
          <w:tcPr>
            <w:tcW w:type="dxa" w:w="5600"/>
            <w:shd w:fill="FFFFFF" w:val="clear"/>
            <w:tcMar>
              <w:top w:type="dxa" w:w="80"/>
              <w:left w:type="dxa" w:w="100"/>
              <w:bottom w:type="dxa" w:w="80"/>
              <w:right w:type="dxa" w:w="100"/>
            </w:tcMar>
          </w:tcPr>
          <w:p>
            <w:r>
              <w:rPr>
                <w:b w:val="false"/>
                <w:bCs w:val="false"/>
                <w:color w:val="262626"/>
                <w:sz w:val="20"/>
                <w:szCs w:val="20"/>
              </w:rPr>
              <w:t xml:space="preserve">Conversions per click — funnel efficiency</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Cost_per_Conversion</w:t>
            </w:r>
          </w:p>
        </w:tc>
        <w:tc>
          <w:tcPr>
            <w:tcW w:type="dxa" w:w="1500"/>
            <w:shd w:fill="EEF2F7" w:val="clear"/>
            <w:tcMar>
              <w:top w:type="dxa" w:w="80"/>
              <w:left w:type="dxa" w:w="100"/>
              <w:bottom w:type="dxa" w:w="80"/>
              <w:right w:type="dxa" w:w="100"/>
            </w:tcMar>
          </w:tcPr>
          <w:p>
            <w:r>
              <w:rPr>
                <w:b w:val="false"/>
                <w:bCs w:val="false"/>
                <w:color w:val="262626"/>
                <w:sz w:val="20"/>
                <w:szCs w:val="20"/>
              </w:rPr>
              <w:t xml:space="preserve">Ratio ($)</w:t>
            </w:r>
          </w:p>
        </w:tc>
        <w:tc>
          <w:tcPr>
            <w:tcW w:type="dxa" w:w="5600"/>
            <w:shd w:fill="EEF2F7" w:val="clear"/>
            <w:tcMar>
              <w:top w:type="dxa" w:w="80"/>
              <w:left w:type="dxa" w:w="100"/>
              <w:bottom w:type="dxa" w:w="80"/>
              <w:right w:type="dxa" w:w="100"/>
            </w:tcMar>
          </w:tcPr>
          <w:p>
            <w:r>
              <w:rPr>
                <w:b w:val="false"/>
                <w:bCs w:val="false"/>
                <w:color w:val="262626"/>
                <w:sz w:val="20"/>
                <w:szCs w:val="20"/>
              </w:rPr>
              <w:t xml:space="preserve">Spend efficiency per acquired conversion</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Revenue_per_Dollar_Spent</w:t>
            </w:r>
          </w:p>
        </w:tc>
        <w:tc>
          <w:tcPr>
            <w:tcW w:type="dxa" w:w="1500"/>
            <w:shd w:fill="FFFFFF" w:val="clear"/>
            <w:tcMar>
              <w:top w:type="dxa" w:w="80"/>
              <w:left w:type="dxa" w:w="100"/>
              <w:bottom w:type="dxa" w:w="80"/>
              <w:right w:type="dxa" w:w="100"/>
            </w:tcMar>
          </w:tcPr>
          <w:p>
            <w:r>
              <w:rPr>
                <w:b w:val="false"/>
                <w:bCs w:val="false"/>
                <w:color w:val="262626"/>
                <w:sz w:val="20"/>
                <w:szCs w:val="20"/>
              </w:rPr>
              <w:t xml:space="preserve">Ratio</w:t>
            </w:r>
          </w:p>
        </w:tc>
        <w:tc>
          <w:tcPr>
            <w:tcW w:type="dxa" w:w="5600"/>
            <w:shd w:fill="FFFFFF" w:val="clear"/>
            <w:tcMar>
              <w:top w:type="dxa" w:w="80"/>
              <w:left w:type="dxa" w:w="100"/>
              <w:bottom w:type="dxa" w:w="80"/>
              <w:right w:type="dxa" w:w="100"/>
            </w:tcMar>
          </w:tcPr>
          <w:p>
            <w:r>
              <w:rPr>
                <w:b w:val="false"/>
                <w:bCs w:val="false"/>
                <w:color w:val="262626"/>
                <w:sz w:val="20"/>
                <w:szCs w:val="20"/>
              </w:rPr>
              <w:t xml:space="preserve">Revenue return per marketing dollar</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Clicks_per_Dollar</w:t>
            </w:r>
          </w:p>
        </w:tc>
        <w:tc>
          <w:tcPr>
            <w:tcW w:type="dxa" w:w="1500"/>
            <w:shd w:fill="EEF2F7" w:val="clear"/>
            <w:tcMar>
              <w:top w:type="dxa" w:w="80"/>
              <w:left w:type="dxa" w:w="100"/>
              <w:bottom w:type="dxa" w:w="80"/>
              <w:right w:type="dxa" w:w="100"/>
            </w:tcMar>
          </w:tcPr>
          <w:p>
            <w:r>
              <w:rPr>
                <w:b w:val="false"/>
                <w:bCs w:val="false"/>
                <w:color w:val="262626"/>
                <w:sz w:val="20"/>
                <w:szCs w:val="20"/>
              </w:rPr>
              <w:t xml:space="preserve">Ratio</w:t>
            </w:r>
          </w:p>
        </w:tc>
        <w:tc>
          <w:tcPr>
            <w:tcW w:type="dxa" w:w="5600"/>
            <w:shd w:fill="EEF2F7" w:val="clear"/>
            <w:tcMar>
              <w:top w:type="dxa" w:w="80"/>
              <w:left w:type="dxa" w:w="100"/>
              <w:bottom w:type="dxa" w:w="80"/>
              <w:right w:type="dxa" w:w="100"/>
            </w:tcMar>
          </w:tcPr>
          <w:p>
            <w:r>
              <w:rPr>
                <w:b w:val="false"/>
                <w:bCs w:val="false"/>
                <w:color w:val="262626"/>
                <w:sz w:val="20"/>
                <w:szCs w:val="20"/>
              </w:rPr>
              <w:t xml:space="preserve">Traffic bought per marketing dollar</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Is_Profitable</w:t>
            </w:r>
          </w:p>
        </w:tc>
        <w:tc>
          <w:tcPr>
            <w:tcW w:type="dxa" w:w="1500"/>
            <w:shd w:fill="FFFFFF" w:val="clear"/>
            <w:tcMar>
              <w:top w:type="dxa" w:w="80"/>
              <w:left w:type="dxa" w:w="100"/>
              <w:bottom w:type="dxa" w:w="80"/>
              <w:right w:type="dxa" w:w="100"/>
            </w:tcMar>
          </w:tcPr>
          <w:p>
            <w:r>
              <w:rPr>
                <w:b w:val="false"/>
                <w:bCs w:val="false"/>
                <w:color w:val="262626"/>
                <w:sz w:val="20"/>
                <w:szCs w:val="20"/>
              </w:rPr>
              <w:t xml:space="preserve">Boolean</w:t>
            </w:r>
          </w:p>
        </w:tc>
        <w:tc>
          <w:tcPr>
            <w:tcW w:type="dxa" w:w="5600"/>
            <w:shd w:fill="FFFFFF" w:val="clear"/>
            <w:tcMar>
              <w:top w:type="dxa" w:w="80"/>
              <w:left w:type="dxa" w:w="100"/>
              <w:bottom w:type="dxa" w:w="80"/>
              <w:right w:type="dxa" w:w="100"/>
            </w:tcMar>
          </w:tcPr>
          <w:p>
            <w:r>
              <w:rPr>
                <w:b w:val="false"/>
                <w:bCs w:val="false"/>
                <w:color w:val="262626"/>
                <w:sz w:val="20"/>
                <w:szCs w:val="20"/>
              </w:rPr>
              <w:t xml:space="preserve">Quick profitability screen (ROI ≥ 1)</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ROI_Tier</w:t>
            </w:r>
          </w:p>
        </w:tc>
        <w:tc>
          <w:tcPr>
            <w:tcW w:type="dxa" w:w="1500"/>
            <w:shd w:fill="EEF2F7" w:val="clear"/>
            <w:tcMar>
              <w:top w:type="dxa" w:w="80"/>
              <w:left w:type="dxa" w:w="100"/>
              <w:bottom w:type="dxa" w:w="80"/>
              <w:right w:type="dxa" w:w="100"/>
            </w:tcMar>
          </w:tcPr>
          <w:p>
            <w:r>
              <w:rPr>
                <w:b w:val="false"/>
                <w:bCs w:val="false"/>
                <w:color w:val="262626"/>
                <w:sz w:val="20"/>
                <w:szCs w:val="20"/>
              </w:rPr>
              <w:t xml:space="preserve">Category</w:t>
            </w:r>
          </w:p>
        </w:tc>
        <w:tc>
          <w:tcPr>
            <w:tcW w:type="dxa" w:w="5600"/>
            <w:shd w:fill="EEF2F7" w:val="clear"/>
            <w:tcMar>
              <w:top w:type="dxa" w:w="80"/>
              <w:left w:type="dxa" w:w="100"/>
              <w:bottom w:type="dxa" w:w="80"/>
              <w:right w:type="dxa" w:w="100"/>
            </w:tcMar>
          </w:tcPr>
          <w:p>
            <w:r>
              <w:rPr>
                <w:b w:val="false"/>
                <w:bCs w:val="false"/>
                <w:color w:val="262626"/>
                <w:sz w:val="20"/>
                <w:szCs w:val="20"/>
              </w:rPr>
              <w:t xml:space="preserve">Loss-Making / Underperforming / Profitable / High-Performing</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Revenue_per_Unit</w:t>
            </w:r>
          </w:p>
        </w:tc>
        <w:tc>
          <w:tcPr>
            <w:tcW w:type="dxa" w:w="1500"/>
            <w:shd w:fill="FFFFFF" w:val="clear"/>
            <w:tcMar>
              <w:top w:type="dxa" w:w="80"/>
              <w:left w:type="dxa" w:w="100"/>
              <w:bottom w:type="dxa" w:w="80"/>
              <w:right w:type="dxa" w:w="100"/>
            </w:tcMar>
          </w:tcPr>
          <w:p>
            <w:r>
              <w:rPr>
                <w:b w:val="false"/>
                <w:bCs w:val="false"/>
                <w:color w:val="262626"/>
                <w:sz w:val="20"/>
                <w:szCs w:val="20"/>
              </w:rPr>
              <w:t xml:space="preserve">Ratio ($)</w:t>
            </w:r>
          </w:p>
        </w:tc>
        <w:tc>
          <w:tcPr>
            <w:tcW w:type="dxa" w:w="5600"/>
            <w:shd w:fill="FFFFFF" w:val="clear"/>
            <w:tcMar>
              <w:top w:type="dxa" w:w="80"/>
              <w:left w:type="dxa" w:w="100"/>
              <w:bottom w:type="dxa" w:w="80"/>
              <w:right w:type="dxa" w:w="100"/>
            </w:tcMar>
          </w:tcPr>
          <w:p>
            <w:r>
              <w:rPr>
                <w:b w:val="false"/>
                <w:bCs w:val="false"/>
                <w:color w:val="262626"/>
                <w:sz w:val="20"/>
                <w:szCs w:val="20"/>
              </w:rPr>
              <w:t xml:space="preserve">Flash-sale revenue efficiency per unit sold</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Discount_Bucket</w:t>
            </w:r>
          </w:p>
        </w:tc>
        <w:tc>
          <w:tcPr>
            <w:tcW w:type="dxa" w:w="1500"/>
            <w:shd w:fill="EEF2F7" w:val="clear"/>
            <w:tcMar>
              <w:top w:type="dxa" w:w="80"/>
              <w:left w:type="dxa" w:w="100"/>
              <w:bottom w:type="dxa" w:w="80"/>
              <w:right w:type="dxa" w:w="100"/>
            </w:tcMar>
          </w:tcPr>
          <w:p>
            <w:r>
              <w:rPr>
                <w:b w:val="false"/>
                <w:bCs w:val="false"/>
                <w:color w:val="262626"/>
                <w:sz w:val="20"/>
                <w:szCs w:val="20"/>
              </w:rPr>
              <w:t xml:space="preserve">Category</w:t>
            </w:r>
          </w:p>
        </w:tc>
        <w:tc>
          <w:tcPr>
            <w:tcW w:type="dxa" w:w="5600"/>
            <w:shd w:fill="EEF2F7" w:val="clear"/>
            <w:tcMar>
              <w:top w:type="dxa" w:w="80"/>
              <w:left w:type="dxa" w:w="100"/>
              <w:bottom w:type="dxa" w:w="80"/>
              <w:right w:type="dxa" w:w="100"/>
            </w:tcMar>
          </w:tcPr>
          <w:p>
            <w:r>
              <w:rPr>
                <w:b w:val="false"/>
                <w:bCs w:val="false"/>
                <w:color w:val="262626"/>
                <w:sz w:val="20"/>
                <w:szCs w:val="20"/>
              </w:rPr>
              <w:t xml:space="preserve">20-point discount bands for grouped analysis</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Subscription_Tenure_Group</w:t>
            </w:r>
          </w:p>
        </w:tc>
        <w:tc>
          <w:tcPr>
            <w:tcW w:type="dxa" w:w="1500"/>
            <w:shd w:fill="FFFFFF" w:val="clear"/>
            <w:tcMar>
              <w:top w:type="dxa" w:w="80"/>
              <w:left w:type="dxa" w:w="100"/>
              <w:bottom w:type="dxa" w:w="80"/>
              <w:right w:type="dxa" w:w="100"/>
            </w:tcMar>
          </w:tcPr>
          <w:p>
            <w:r>
              <w:rPr>
                <w:b w:val="false"/>
                <w:bCs w:val="false"/>
                <w:color w:val="262626"/>
                <w:sz w:val="20"/>
                <w:szCs w:val="20"/>
              </w:rPr>
              <w:t xml:space="preserve">Category</w:t>
            </w:r>
          </w:p>
        </w:tc>
        <w:tc>
          <w:tcPr>
            <w:tcW w:type="dxa" w:w="5600"/>
            <w:shd w:fill="FFFFFF" w:val="clear"/>
            <w:tcMar>
              <w:top w:type="dxa" w:w="80"/>
              <w:left w:type="dxa" w:w="100"/>
              <w:bottom w:type="dxa" w:w="80"/>
              <w:right w:type="dxa" w:w="100"/>
            </w:tcMar>
          </w:tcPr>
          <w:p>
            <w:r>
              <w:rPr>
                <w:b w:val="false"/>
                <w:bCs w:val="false"/>
                <w:color w:val="262626"/>
                <w:sz w:val="20"/>
                <w:szCs w:val="20"/>
              </w:rPr>
              <w:t xml:space="preserve">New / Established / Loyal lifecycle stage</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Satisfaction_Segment</w:t>
            </w:r>
          </w:p>
        </w:tc>
        <w:tc>
          <w:tcPr>
            <w:tcW w:type="dxa" w:w="1500"/>
            <w:shd w:fill="EEF2F7" w:val="clear"/>
            <w:tcMar>
              <w:top w:type="dxa" w:w="80"/>
              <w:left w:type="dxa" w:w="100"/>
              <w:bottom w:type="dxa" w:w="80"/>
              <w:right w:type="dxa" w:w="100"/>
            </w:tcMar>
          </w:tcPr>
          <w:p>
            <w:r>
              <w:rPr>
                <w:b w:val="false"/>
                <w:bCs w:val="false"/>
                <w:color w:val="262626"/>
                <w:sz w:val="20"/>
                <w:szCs w:val="20"/>
              </w:rPr>
              <w:t xml:space="preserve">Category</w:t>
            </w:r>
          </w:p>
        </w:tc>
        <w:tc>
          <w:tcPr>
            <w:tcW w:type="dxa" w:w="5600"/>
            <w:shd w:fill="EEF2F7" w:val="clear"/>
            <w:tcMar>
              <w:top w:type="dxa" w:w="80"/>
              <w:left w:type="dxa" w:w="100"/>
              <w:bottom w:type="dxa" w:w="80"/>
              <w:right w:type="dxa" w:w="100"/>
            </w:tcMar>
          </w:tcPr>
          <w:p>
            <w:r>
              <w:rPr>
                <w:b w:val="false"/>
                <w:bCs w:val="false"/>
                <w:color w:val="262626"/>
                <w:sz w:val="20"/>
                <w:szCs w:val="20"/>
              </w:rPr>
              <w:t xml:space="preserve">Detractor (1–2) vs. Promoter (3–4) post-refund</w:t>
            </w:r>
          </w:p>
        </w:tc>
      </w:tr>
      <w:tr>
        <w:tc>
          <w:tcPr>
            <w:tcW w:type="dxa" w:w="2600"/>
            <w:shd w:fill="FFFFFF" w:val="clear"/>
            <w:tcMar>
              <w:top w:type="dxa" w:w="80"/>
              <w:left w:type="dxa" w:w="100"/>
              <w:bottom w:type="dxa" w:w="80"/>
              <w:right w:type="dxa" w:w="100"/>
            </w:tcMar>
          </w:tcPr>
          <w:p>
            <w:r>
              <w:rPr>
                <w:b w:val="false"/>
                <w:bCs w:val="false"/>
                <w:color w:val="262626"/>
                <w:sz w:val="20"/>
                <w:szCs w:val="20"/>
              </w:rPr>
              <w:t xml:space="preserve">Budget_Tier</w:t>
            </w:r>
          </w:p>
        </w:tc>
        <w:tc>
          <w:tcPr>
            <w:tcW w:type="dxa" w:w="1500"/>
            <w:shd w:fill="FFFFFF" w:val="clear"/>
            <w:tcMar>
              <w:top w:type="dxa" w:w="80"/>
              <w:left w:type="dxa" w:w="100"/>
              <w:bottom w:type="dxa" w:w="80"/>
              <w:right w:type="dxa" w:w="100"/>
            </w:tcMar>
          </w:tcPr>
          <w:p>
            <w:r>
              <w:rPr>
                <w:b w:val="false"/>
                <w:bCs w:val="false"/>
                <w:color w:val="262626"/>
                <w:sz w:val="20"/>
                <w:szCs w:val="20"/>
              </w:rPr>
              <w:t xml:space="preserve">Category</w:t>
            </w:r>
          </w:p>
        </w:tc>
        <w:tc>
          <w:tcPr>
            <w:tcW w:type="dxa" w:w="5600"/>
            <w:shd w:fill="FFFFFF" w:val="clear"/>
            <w:tcMar>
              <w:top w:type="dxa" w:w="80"/>
              <w:left w:type="dxa" w:w="100"/>
              <w:bottom w:type="dxa" w:w="80"/>
              <w:right w:type="dxa" w:w="100"/>
            </w:tcMar>
          </w:tcPr>
          <w:p>
            <w:r>
              <w:rPr>
                <w:b w:val="false"/>
                <w:bCs w:val="false"/>
                <w:color w:val="262626"/>
                <w:sz w:val="20"/>
                <w:szCs w:val="20"/>
              </w:rPr>
              <w:t xml:space="preserve">Spend quartile (Q1–Q4)</w:t>
            </w:r>
          </w:p>
        </w:tc>
      </w:tr>
      <w:tr>
        <w:tc>
          <w:tcPr>
            <w:tcW w:type="dxa" w:w="2600"/>
            <w:shd w:fill="EEF2F7" w:val="clear"/>
            <w:tcMar>
              <w:top w:type="dxa" w:w="80"/>
              <w:left w:type="dxa" w:w="100"/>
              <w:bottom w:type="dxa" w:w="80"/>
              <w:right w:type="dxa" w:w="100"/>
            </w:tcMar>
          </w:tcPr>
          <w:p>
            <w:r>
              <w:rPr>
                <w:b w:val="false"/>
                <w:bCs w:val="false"/>
                <w:color w:val="262626"/>
                <w:sz w:val="20"/>
                <w:szCs w:val="20"/>
              </w:rPr>
              <w:t xml:space="preserve">High_Value_Campaign</w:t>
            </w:r>
          </w:p>
        </w:tc>
        <w:tc>
          <w:tcPr>
            <w:tcW w:type="dxa" w:w="1500"/>
            <w:shd w:fill="EEF2F7" w:val="clear"/>
            <w:tcMar>
              <w:top w:type="dxa" w:w="80"/>
              <w:left w:type="dxa" w:w="100"/>
              <w:bottom w:type="dxa" w:w="80"/>
              <w:right w:type="dxa" w:w="100"/>
            </w:tcMar>
          </w:tcPr>
          <w:p>
            <w:r>
              <w:rPr>
                <w:b w:val="false"/>
                <w:bCs w:val="false"/>
                <w:color w:val="262626"/>
                <w:sz w:val="20"/>
                <w:szCs w:val="20"/>
              </w:rPr>
              <w:t xml:space="preserve">Boolean</w:t>
            </w:r>
          </w:p>
        </w:tc>
        <w:tc>
          <w:tcPr>
            <w:tcW w:type="dxa" w:w="5600"/>
            <w:shd w:fill="EEF2F7" w:val="clear"/>
            <w:tcMar>
              <w:top w:type="dxa" w:w="80"/>
              <w:left w:type="dxa" w:w="100"/>
              <w:bottom w:type="dxa" w:w="80"/>
              <w:right w:type="dxa" w:w="100"/>
            </w:tcMar>
          </w:tcPr>
          <w:p>
            <w:r>
              <w:rPr>
                <w:b w:val="false"/>
                <w:bCs w:val="false"/>
                <w:color w:val="262626"/>
                <w:sz w:val="20"/>
                <w:szCs w:val="20"/>
              </w:rPr>
              <w:t xml:space="preserve">Top-quartile revenue AND profitable</w:t>
            </w:r>
          </w:p>
        </w:tc>
      </w:tr>
    </w:tbl>
    <w:p>
      <w:pPr>
        <w:spacing w:after="200"/>
      </w:pPr>
    </w:p>
    <w:p>
      <w:pPr>
        <w:pStyle w:val="Heading2"/>
        <w:spacing w:after="120" w:before="280"/>
      </w:pPr>
      <w:r>
        <w:t xml:space="preserve">5.2 KPI Measures (Power BI “KPIs” table)</w:t>
      </w:r>
    </w:p>
    <w:p>
      <w:pPr>
        <w:spacing w:after="160" w:line="276"/>
      </w:pPr>
      <w:r>
        <w:rPr>
          <w:color w:val="262626"/>
          <w:sz w:val="22"/>
          <w:szCs w:val="22"/>
        </w:rPr>
        <w:t xml:space="preserve">A dedicated KPIs measures table was built in the Power BI semantic model, with 24 DAX measures organized into four business-aligned folders.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Folder</w:t>
            </w:r>
          </w:p>
        </w:tc>
        <w:tc>
          <w:tcPr>
            <w:tcW w:type="dxa" w:w="7900"/>
            <w:shd w:fill="1F3864" w:val="clear"/>
            <w:tcMar>
              <w:top w:type="dxa" w:w="80"/>
              <w:left w:type="dxa" w:w="100"/>
              <w:bottom w:type="dxa" w:w="80"/>
              <w:right w:type="dxa" w:w="100"/>
            </w:tcMar>
          </w:tcPr>
          <w:p>
            <w:r>
              <w:rPr>
                <w:b/>
                <w:bCs/>
                <w:color w:val="FFFFFF"/>
                <w:sz w:val="20"/>
                <w:szCs w:val="20"/>
              </w:rPr>
              <w:t xml:space="preserve">Measures</w:t>
            </w:r>
          </w:p>
        </w:tc>
      </w:tr>
      <w:tr>
        <w:tc>
          <w:tcPr>
            <w:tcW w:type="dxa" w:w="1800"/>
            <w:shd w:fill="FFFFFF" w:val="clear"/>
            <w:tcMar>
              <w:top w:type="dxa" w:w="80"/>
              <w:left w:type="dxa" w:w="100"/>
              <w:bottom w:type="dxa" w:w="80"/>
              <w:right w:type="dxa" w:w="100"/>
            </w:tcMar>
          </w:tcPr>
          <w:p>
            <w:r>
              <w:rPr>
                <w:b w:val="false"/>
                <w:bCs w:val="false"/>
                <w:color w:val="262626"/>
                <w:sz w:val="20"/>
                <w:szCs w:val="20"/>
              </w:rPr>
              <w:t xml:space="preserve">Marketing</w:t>
            </w:r>
          </w:p>
        </w:tc>
        <w:tc>
          <w:tcPr>
            <w:tcW w:type="dxa" w:w="7900"/>
            <w:shd w:fill="FFFFFF" w:val="clear"/>
            <w:tcMar>
              <w:top w:type="dxa" w:w="80"/>
              <w:left w:type="dxa" w:w="100"/>
              <w:bottom w:type="dxa" w:w="80"/>
              <w:right w:type="dxa" w:w="100"/>
            </w:tcMar>
          </w:tcPr>
          <w:p>
            <w:r>
              <w:rPr>
                <w:b w:val="false"/>
                <w:bCs w:val="false"/>
                <w:color w:val="262626"/>
                <w:sz w:val="20"/>
                <w:szCs w:val="20"/>
              </w:rPr>
              <w:t xml:space="preserve">Total Budget, Total Revenue, Total Clicks, Total Conversions, Avg ROI, Revenue per Dollar Spent, Cost per Conversion, Conversion Rate, % Profitable Campaigns, % Loss-Making Campaigns, Avg Revenue per Campaign, Avg Budget per Campaign</w:t>
            </w:r>
          </w:p>
        </w:tc>
      </w:tr>
      <w:tr>
        <w:tc>
          <w:tcPr>
            <w:tcW w:type="dxa" w:w="1800"/>
            <w:shd w:fill="EEF2F7" w:val="clear"/>
            <w:tcMar>
              <w:top w:type="dxa" w:w="80"/>
              <w:left w:type="dxa" w:w="100"/>
              <w:bottom w:type="dxa" w:w="80"/>
              <w:right w:type="dxa" w:w="100"/>
            </w:tcMar>
          </w:tcPr>
          <w:p>
            <w:r>
              <w:rPr>
                <w:b w:val="false"/>
                <w:bCs w:val="false"/>
                <w:color w:val="262626"/>
                <w:sz w:val="20"/>
                <w:szCs w:val="20"/>
              </w:rPr>
              <w:t xml:space="preserve">Flash Sales</w:t>
            </w:r>
          </w:p>
        </w:tc>
        <w:tc>
          <w:tcPr>
            <w:tcW w:type="dxa" w:w="7900"/>
            <w:shd w:fill="EEF2F7" w:val="clear"/>
            <w:tcMar>
              <w:top w:type="dxa" w:w="80"/>
              <w:left w:type="dxa" w:w="100"/>
              <w:bottom w:type="dxa" w:w="80"/>
              <w:right w:type="dxa" w:w="100"/>
            </w:tcMar>
          </w:tcPr>
          <w:p>
            <w:r>
              <w:rPr>
                <w:b w:val="false"/>
                <w:bCs w:val="false"/>
                <w:color w:val="262626"/>
                <w:sz w:val="20"/>
                <w:szCs w:val="20"/>
              </w:rPr>
              <w:t xml:space="preserve">Total Units Sold, Avg Discount Level, Revenue per Unit, Avg Units Sold per Sale</w:t>
            </w:r>
          </w:p>
        </w:tc>
      </w:tr>
      <w:tr>
        <w:tc>
          <w:tcPr>
            <w:tcW w:type="dxa" w:w="1800"/>
            <w:shd w:fill="FFFFFF" w:val="clear"/>
            <w:tcMar>
              <w:top w:type="dxa" w:w="80"/>
              <w:left w:type="dxa" w:w="100"/>
              <w:bottom w:type="dxa" w:w="80"/>
              <w:right w:type="dxa" w:w="100"/>
            </w:tcMar>
          </w:tcPr>
          <w:p>
            <w:r>
              <w:rPr>
                <w:b w:val="false"/>
                <w:bCs w:val="false"/>
                <w:color w:val="262626"/>
                <w:sz w:val="20"/>
                <w:szCs w:val="20"/>
              </w:rPr>
              <w:t xml:space="preserve">Bundling</w:t>
            </w:r>
          </w:p>
        </w:tc>
        <w:tc>
          <w:tcPr>
            <w:tcW w:type="dxa" w:w="7900"/>
            <w:shd w:fill="FFFFFF" w:val="clear"/>
            <w:tcMar>
              <w:top w:type="dxa" w:w="80"/>
              <w:left w:type="dxa" w:w="100"/>
              <w:bottom w:type="dxa" w:w="80"/>
              <w:right w:type="dxa" w:w="100"/>
            </w:tcMar>
          </w:tcPr>
          <w:p>
            <w:r>
              <w:rPr>
                <w:b w:val="false"/>
                <w:bCs w:val="false"/>
                <w:color w:val="262626"/>
                <w:sz w:val="20"/>
                <w:szCs w:val="20"/>
              </w:rPr>
              <w:t xml:space="preserve">Avg Bundle Price</w:t>
            </w:r>
          </w:p>
        </w:tc>
      </w:tr>
      <w:tr>
        <w:tc>
          <w:tcPr>
            <w:tcW w:type="dxa" w:w="1800"/>
            <w:shd w:fill="EEF2F7" w:val="clear"/>
            <w:tcMar>
              <w:top w:type="dxa" w:w="80"/>
              <w:left w:type="dxa" w:w="100"/>
              <w:bottom w:type="dxa" w:w="80"/>
              <w:right w:type="dxa" w:w="100"/>
            </w:tcMar>
          </w:tcPr>
          <w:p>
            <w:r>
              <w:rPr>
                <w:b w:val="false"/>
                <w:bCs w:val="false"/>
                <w:color w:val="262626"/>
                <w:sz w:val="20"/>
                <w:szCs w:val="20"/>
              </w:rPr>
              <w:t xml:space="preserve">Customer</w:t>
            </w:r>
          </w:p>
        </w:tc>
        <w:tc>
          <w:tcPr>
            <w:tcW w:type="dxa" w:w="7900"/>
            <w:shd w:fill="EEF2F7" w:val="clear"/>
            <w:tcMar>
              <w:top w:type="dxa" w:w="80"/>
              <w:left w:type="dxa" w:w="100"/>
              <w:bottom w:type="dxa" w:w="80"/>
              <w:right w:type="dxa" w:w="100"/>
            </w:tcMar>
          </w:tcPr>
          <w:p>
            <w:r>
              <w:rPr>
                <w:b w:val="false"/>
                <w:bCs w:val="false"/>
                <w:color w:val="262626"/>
                <w:sz w:val="20"/>
                <w:szCs w:val="20"/>
              </w:rPr>
              <w:t xml:space="preserve">Avg Satisfaction Score, % Detractors (Post-Refund), Avg Subscription Length (Months), Distinct Customers</w:t>
            </w:r>
          </w:p>
        </w:tc>
      </w:tr>
      <w:tr>
        <w:tc>
          <w:tcPr>
            <w:tcW w:type="dxa" w:w="1800"/>
            <w:shd w:fill="FFFFFF" w:val="clear"/>
            <w:tcMar>
              <w:top w:type="dxa" w:w="80"/>
              <w:left w:type="dxa" w:w="100"/>
              <w:bottom w:type="dxa" w:w="80"/>
              <w:right w:type="dxa" w:w="100"/>
            </w:tcMar>
          </w:tcPr>
          <w:p>
            <w:r>
              <w:rPr>
                <w:b w:val="false"/>
                <w:bCs w:val="false"/>
                <w:color w:val="262626"/>
                <w:sz w:val="20"/>
                <w:szCs w:val="20"/>
              </w:rPr>
              <w:t xml:space="preserve">Volume</w:t>
            </w:r>
          </w:p>
        </w:tc>
        <w:tc>
          <w:tcPr>
            <w:tcW w:type="dxa" w:w="7900"/>
            <w:shd w:fill="FFFFFF" w:val="clear"/>
            <w:tcMar>
              <w:top w:type="dxa" w:w="80"/>
              <w:left w:type="dxa" w:w="100"/>
              <w:bottom w:type="dxa" w:w="80"/>
              <w:right w:type="dxa" w:w="100"/>
            </w:tcMar>
          </w:tcPr>
          <w:p>
            <w:r>
              <w:rPr>
                <w:b w:val="false"/>
                <w:bCs w:val="false"/>
                <w:color w:val="262626"/>
                <w:sz w:val="20"/>
                <w:szCs w:val="20"/>
              </w:rPr>
              <w:t xml:space="preserve">Total Campaigns, High Value Campaigns, % High Value Campaigns</w:t>
            </w:r>
          </w:p>
        </w:tc>
      </w:tr>
    </w:tbl>
    <w:p>
      <w:r>
        <w:br w:type="page"/>
      </w:r>
    </w:p>
    <w:p>
      <w:pPr>
        <w:pStyle w:val="Heading1"/>
        <w:spacing w:after="160" w:before="360"/>
      </w:pPr>
      <w:r>
        <w:t xml:space="preserve">6. Data Model — Power BI Star Schema</w:t>
      </w:r>
    </w:p>
    <w:p>
      <w:pPr>
        <w:spacing w:after="160" w:line="276"/>
      </w:pPr>
      <w:r>
        <w:rPr>
          <w:color w:val="262626"/>
          <w:sz w:val="22"/>
          <w:szCs w:val="22"/>
        </w:rPr>
        <w:t xml:space="preserve">The cleaned, feature-engineered dataset was normalized into a star schema inside Power BI Desktop: one fact table at campaign grain, and four dimension tables holding the reusable attributes of product, customer, flash sale, and bundle.</w:t>
      </w:r>
    </w:p>
    <w:p>
      <w:pPr>
        <w:pStyle w:val="Heading2"/>
        <w:spacing w:after="120" w:before="280"/>
      </w:pPr>
      <w:r>
        <w:t xml:space="preserve">6.1 Fact Table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9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Table</w:t>
            </w:r>
          </w:p>
        </w:tc>
        <w:tc>
          <w:tcPr>
            <w:tcW w:type="dxa" w:w="2600"/>
            <w:shd w:fill="1F3864" w:val="clear"/>
            <w:tcMar>
              <w:top w:type="dxa" w:w="80"/>
              <w:left w:type="dxa" w:w="100"/>
              <w:bottom w:type="dxa" w:w="80"/>
              <w:right w:type="dxa" w:w="100"/>
            </w:tcMar>
          </w:tcPr>
          <w:p>
            <w:r>
              <w:rPr>
                <w:b/>
                <w:bCs/>
                <w:color w:val="FFFFFF"/>
                <w:sz w:val="20"/>
                <w:szCs w:val="20"/>
              </w:rPr>
              <w:t xml:space="preserve">Grain</w:t>
            </w:r>
          </w:p>
        </w:tc>
        <w:tc>
          <w:tcPr>
            <w:tcW w:type="dxa" w:w="3900"/>
            <w:shd w:fill="1F3864" w:val="clear"/>
            <w:tcMar>
              <w:top w:type="dxa" w:w="80"/>
              <w:left w:type="dxa" w:w="100"/>
              <w:bottom w:type="dxa" w:w="80"/>
              <w:right w:type="dxa" w:w="100"/>
            </w:tcMar>
          </w:tcPr>
          <w:p>
            <w:r>
              <w:rPr>
                <w:b/>
                <w:bCs/>
                <w:color w:val="FFFFFF"/>
                <w:sz w:val="20"/>
                <w:szCs w:val="20"/>
              </w:rPr>
              <w:t xml:space="preserve">Contents</w:t>
            </w:r>
          </w:p>
        </w:tc>
      </w:tr>
      <w:tr>
        <w:tc>
          <w:tcPr>
            <w:tcW w:type="dxa" w:w="3200"/>
            <w:shd w:fill="FFFFFF" w:val="clear"/>
            <w:tcMar>
              <w:top w:type="dxa" w:w="80"/>
              <w:left w:type="dxa" w:w="100"/>
              <w:bottom w:type="dxa" w:w="80"/>
              <w:right w:type="dxa" w:w="100"/>
            </w:tcMar>
          </w:tcPr>
          <w:p>
            <w:r>
              <w:rPr>
                <w:b w:val="false"/>
                <w:bCs w:val="false"/>
                <w:color w:val="262626"/>
                <w:sz w:val="20"/>
                <w:szCs w:val="20"/>
              </w:rPr>
              <w:t xml:space="preserve">Fact_Campaign_Performance</w:t>
            </w:r>
          </w:p>
        </w:tc>
        <w:tc>
          <w:tcPr>
            <w:tcW w:type="dxa" w:w="2600"/>
            <w:shd w:fill="FFFFFF" w:val="clear"/>
            <w:tcMar>
              <w:top w:type="dxa" w:w="80"/>
              <w:left w:type="dxa" w:w="100"/>
              <w:bottom w:type="dxa" w:w="80"/>
              <w:right w:type="dxa" w:w="100"/>
            </w:tcMar>
          </w:tcPr>
          <w:p>
            <w:r>
              <w:rPr>
                <w:b w:val="false"/>
                <w:bCs w:val="false"/>
                <w:color w:val="262626"/>
                <w:sz w:val="20"/>
                <w:szCs w:val="20"/>
              </w:rPr>
              <w:t xml:space="preserve">One row per campaign</w:t>
            </w:r>
          </w:p>
        </w:tc>
        <w:tc>
          <w:tcPr>
            <w:tcW w:type="dxa" w:w="3900"/>
            <w:shd w:fill="FFFFFF" w:val="clear"/>
            <w:tcMar>
              <w:top w:type="dxa" w:w="80"/>
              <w:left w:type="dxa" w:w="100"/>
              <w:bottom w:type="dxa" w:w="80"/>
              <w:right w:type="dxa" w:w="100"/>
            </w:tcMar>
          </w:tcPr>
          <w:p>
            <w:r>
              <w:rPr>
                <w:b w:val="false"/>
                <w:bCs w:val="false"/>
                <w:color w:val="262626"/>
                <w:sz w:val="20"/>
                <w:szCs w:val="20"/>
              </w:rPr>
              <w:t xml:space="preserve">Budget, Clicks, Conversions, Revenue_Generated, ROI, Units_Sold, Customer_Satisfaction_Post_Refund, all engineered ratios and segments, and keys to each dimension table</w:t>
            </w:r>
          </w:p>
        </w:tc>
      </w:tr>
    </w:tbl>
    <w:p>
      <w:pPr>
        <w:spacing w:after="200"/>
      </w:pPr>
    </w:p>
    <w:p>
      <w:pPr>
        <w:pStyle w:val="Heading2"/>
        <w:spacing w:after="120" w:before="280"/>
      </w:pPr>
      <w:r>
        <w:t xml:space="preserve">6.2 Dimension Tables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Table</w:t>
            </w:r>
          </w:p>
        </w:tc>
        <w:tc>
          <w:tcPr>
            <w:tcW w:type="dxa" w:w="2000"/>
            <w:shd w:fill="1F3864" w:val="clear"/>
            <w:tcMar>
              <w:top w:type="dxa" w:w="80"/>
              <w:left w:type="dxa" w:w="100"/>
              <w:bottom w:type="dxa" w:w="80"/>
              <w:right w:type="dxa" w:w="100"/>
            </w:tcMar>
          </w:tcPr>
          <w:p>
            <w:r>
              <w:rPr>
                <w:b/>
                <w:bCs/>
                <w:color w:val="FFFFFF"/>
                <w:sz w:val="20"/>
                <w:szCs w:val="20"/>
              </w:rPr>
              <w:t xml:space="preserve">Key</w:t>
            </w:r>
          </w:p>
        </w:tc>
        <w:tc>
          <w:tcPr>
            <w:tcW w:type="dxa" w:w="5300"/>
            <w:shd w:fill="1F3864" w:val="clear"/>
            <w:tcMar>
              <w:top w:type="dxa" w:w="80"/>
              <w:left w:type="dxa" w:w="100"/>
              <w:bottom w:type="dxa" w:w="80"/>
              <w:right w:type="dxa" w:w="100"/>
            </w:tcMar>
          </w:tcPr>
          <w:p>
            <w:r>
              <w:rPr>
                <w:b/>
                <w:bCs/>
                <w:color w:val="FFFFFF"/>
                <w:sz w:val="20"/>
                <w:szCs w:val="20"/>
              </w:rPr>
              <w:t xml:space="preserve">Attributes</w:t>
            </w:r>
          </w:p>
        </w:tc>
      </w:tr>
      <w:tr>
        <w:tc>
          <w:tcPr>
            <w:tcW w:type="dxa" w:w="2400"/>
            <w:shd w:fill="FFFFFF" w:val="clear"/>
            <w:tcMar>
              <w:top w:type="dxa" w:w="80"/>
              <w:left w:type="dxa" w:w="100"/>
              <w:bottom w:type="dxa" w:w="80"/>
              <w:right w:type="dxa" w:w="100"/>
            </w:tcMar>
          </w:tcPr>
          <w:p>
            <w:r>
              <w:rPr>
                <w:b w:val="false"/>
                <w:bCs w:val="false"/>
                <w:color w:val="262626"/>
                <w:sz w:val="20"/>
                <w:szCs w:val="20"/>
              </w:rPr>
              <w:t xml:space="preserve">Dim_Product</w:t>
            </w:r>
          </w:p>
        </w:tc>
        <w:tc>
          <w:tcPr>
            <w:tcW w:type="dxa" w:w="2000"/>
            <w:shd w:fill="FFFFFF" w:val="clear"/>
            <w:tcMar>
              <w:top w:type="dxa" w:w="80"/>
              <w:left w:type="dxa" w:w="100"/>
              <w:bottom w:type="dxa" w:w="80"/>
              <w:right w:type="dxa" w:w="100"/>
            </w:tcMar>
          </w:tcPr>
          <w:p>
            <w:r>
              <w:rPr>
                <w:b w:val="false"/>
                <w:bCs w:val="false"/>
                <w:color w:val="262626"/>
                <w:sz w:val="20"/>
                <w:szCs w:val="20"/>
              </w:rPr>
              <w:t xml:space="preserve">Product_ID</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Common_Keywords</w:t>
            </w:r>
          </w:p>
        </w:tc>
      </w:tr>
      <w:tr>
        <w:tc>
          <w:tcPr>
            <w:tcW w:type="dxa" w:w="2400"/>
            <w:shd w:fill="EEF2F7" w:val="clear"/>
            <w:tcMar>
              <w:top w:type="dxa" w:w="80"/>
              <w:left w:type="dxa" w:w="100"/>
              <w:bottom w:type="dxa" w:w="80"/>
              <w:right w:type="dxa" w:w="100"/>
            </w:tcMar>
          </w:tcPr>
          <w:p>
            <w:r>
              <w:rPr>
                <w:b w:val="false"/>
                <w:bCs w:val="false"/>
                <w:color w:val="262626"/>
                <w:sz w:val="20"/>
                <w:szCs w:val="20"/>
              </w:rPr>
              <w:t xml:space="preserve">Dim_Customer</w:t>
            </w:r>
          </w:p>
        </w:tc>
        <w:tc>
          <w:tcPr>
            <w:tcW w:type="dxa" w:w="2000"/>
            <w:shd w:fill="EEF2F7" w:val="clear"/>
            <w:tcMar>
              <w:top w:type="dxa" w:w="80"/>
              <w:left w:type="dxa" w:w="100"/>
              <w:bottom w:type="dxa" w:w="80"/>
              <w:right w:type="dxa" w:w="100"/>
            </w:tcMar>
          </w:tcPr>
          <w:p>
            <w:r>
              <w:rPr>
                <w:b w:val="false"/>
                <w:bCs w:val="false"/>
                <w:color w:val="262626"/>
                <w:sz w:val="20"/>
                <w:szCs w:val="20"/>
              </w:rPr>
              <w:t xml:space="preserve">Customer_ID</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Subscription_Tier, Subscription_Length, Subscription_Tenure_Group</w:t>
            </w:r>
          </w:p>
        </w:tc>
      </w:tr>
      <w:tr>
        <w:tc>
          <w:tcPr>
            <w:tcW w:type="dxa" w:w="2400"/>
            <w:shd w:fill="FFFFFF" w:val="clear"/>
            <w:tcMar>
              <w:top w:type="dxa" w:w="80"/>
              <w:left w:type="dxa" w:w="100"/>
              <w:bottom w:type="dxa" w:w="80"/>
              <w:right w:type="dxa" w:w="100"/>
            </w:tcMar>
          </w:tcPr>
          <w:p>
            <w:r>
              <w:rPr>
                <w:b w:val="false"/>
                <w:bCs w:val="false"/>
                <w:color w:val="262626"/>
                <w:sz w:val="20"/>
                <w:szCs w:val="20"/>
              </w:rPr>
              <w:t xml:space="preserve">Dim_FlashSale</w:t>
            </w:r>
          </w:p>
        </w:tc>
        <w:tc>
          <w:tcPr>
            <w:tcW w:type="dxa" w:w="2000"/>
            <w:shd w:fill="FFFFFF" w:val="clear"/>
            <w:tcMar>
              <w:top w:type="dxa" w:w="80"/>
              <w:left w:type="dxa" w:w="100"/>
              <w:bottom w:type="dxa" w:w="80"/>
              <w:right w:type="dxa" w:w="100"/>
            </w:tcMar>
          </w:tcPr>
          <w:p>
            <w:r>
              <w:rPr>
                <w:b w:val="false"/>
                <w:bCs w:val="false"/>
                <w:color w:val="262626"/>
                <w:sz w:val="20"/>
                <w:szCs w:val="20"/>
              </w:rPr>
              <w:t xml:space="preserve">Flash_Sale_ID</w:t>
            </w:r>
          </w:p>
        </w:tc>
        <w:tc>
          <w:tcPr>
            <w:tcW w:type="dxa" w:w="5300"/>
            <w:shd w:fill="FFFFFF" w:val="clear"/>
            <w:tcMar>
              <w:top w:type="dxa" w:w="80"/>
              <w:left w:type="dxa" w:w="100"/>
              <w:bottom w:type="dxa" w:w="80"/>
              <w:right w:type="dxa" w:w="100"/>
            </w:tcMar>
          </w:tcPr>
          <w:p>
            <w:r>
              <w:rPr>
                <w:b w:val="false"/>
                <w:bCs w:val="false"/>
                <w:color w:val="262626"/>
                <w:sz w:val="20"/>
                <w:szCs w:val="20"/>
              </w:rPr>
              <w:t xml:space="preserve">Discount_Level, Discount_Bucket</w:t>
            </w:r>
          </w:p>
        </w:tc>
      </w:tr>
      <w:tr>
        <w:tc>
          <w:tcPr>
            <w:tcW w:type="dxa" w:w="2400"/>
            <w:shd w:fill="EEF2F7" w:val="clear"/>
            <w:tcMar>
              <w:top w:type="dxa" w:w="80"/>
              <w:left w:type="dxa" w:w="100"/>
              <w:bottom w:type="dxa" w:w="80"/>
              <w:right w:type="dxa" w:w="100"/>
            </w:tcMar>
          </w:tcPr>
          <w:p>
            <w:r>
              <w:rPr>
                <w:b w:val="false"/>
                <w:bCs w:val="false"/>
                <w:color w:val="262626"/>
                <w:sz w:val="20"/>
                <w:szCs w:val="20"/>
              </w:rPr>
              <w:t xml:space="preserve">Dim_Bundle</w:t>
            </w:r>
          </w:p>
        </w:tc>
        <w:tc>
          <w:tcPr>
            <w:tcW w:type="dxa" w:w="2000"/>
            <w:shd w:fill="EEF2F7" w:val="clear"/>
            <w:tcMar>
              <w:top w:type="dxa" w:w="80"/>
              <w:left w:type="dxa" w:w="100"/>
              <w:bottom w:type="dxa" w:w="80"/>
              <w:right w:type="dxa" w:w="100"/>
            </w:tcMar>
          </w:tcPr>
          <w:p>
            <w:r>
              <w:rPr>
                <w:b w:val="false"/>
                <w:bCs w:val="false"/>
                <w:color w:val="262626"/>
                <w:sz w:val="20"/>
                <w:szCs w:val="20"/>
              </w:rPr>
              <w:t xml:space="preserve">Bundle_ID</w:t>
            </w:r>
          </w:p>
        </w:tc>
        <w:tc>
          <w:tcPr>
            <w:tcW w:type="dxa" w:w="5300"/>
            <w:shd w:fill="EEF2F7" w:val="clear"/>
            <w:tcMar>
              <w:top w:type="dxa" w:w="80"/>
              <w:left w:type="dxa" w:w="100"/>
              <w:bottom w:type="dxa" w:w="80"/>
              <w:right w:type="dxa" w:w="100"/>
            </w:tcMar>
          </w:tcPr>
          <w:p>
            <w:r>
              <w:rPr>
                <w:b w:val="false"/>
                <w:bCs w:val="false"/>
                <w:color w:val="262626"/>
                <w:sz w:val="20"/>
                <w:szCs w:val="20"/>
              </w:rPr>
              <w:t xml:space="preserve">Bundle_Price</w:t>
            </w:r>
          </w:p>
        </w:tc>
      </w:tr>
    </w:tbl>
    <w:p>
      <w:pPr>
        <w:spacing w:after="200"/>
      </w:pPr>
    </w:p>
    <w:p>
      <w:pPr>
        <w:pStyle w:val="Heading2"/>
        <w:spacing w:after="120" w:before="280"/>
      </w:pPr>
      <w:r>
        <w:t xml:space="preserve">6.3 Relationships</w:t>
      </w:r>
    </w:p>
    <w:p>
      <w:pPr>
        <w:spacing w:after="160" w:line="276"/>
      </w:pPr>
      <w:r>
        <w:rPr>
          <w:color w:val="262626"/>
          <w:sz w:val="22"/>
          <w:szCs w:val="22"/>
        </w:rPr>
        <w:t xml:space="preserve">Each dimension table relates to Fact_Campaign_Performance through a single-direction, many-to-one relationship (fact to dimension), the standard star-schema pattern that lets any dimension attribute filter every KPI measure built on the fact table.</w:t>
      </w:r>
    </w:p>
    <w:p>
      <w:pPr>
        <w:pStyle w:val="Heading2"/>
        <w:spacing w:after="120" w:before="280"/>
      </w:pPr>
      <w:r>
        <w:t xml:space="preserve">6.4 Design Note</w:t>
      </w:r>
    </w:p>
    <w:p>
      <w:pPr>
        <w:spacing w:after="160" w:line="276"/>
      </w:pPr>
      <w:r>
        <w:rPr>
          <w:color w:val="262626"/>
          <w:sz w:val="22"/>
          <w:szCs w:val="22"/>
        </w:rPr>
        <w:t xml:space="preserve">The identifier columns in this dataset (Product_ID, Customer_ID, Flash_Sale_ID, Bundle_ID) are each close to unique per campaign record, so this normalization does not reduce row-level duplication the way it would in a typical one-to-many transactional dataset. Its value here is organizational: clean, reusable dimension attributes for filtering, browsing, and report design, with the KPIs measures table built directly on top of the resulting schema.</w:t>
      </w:r>
    </w:p>
    <w:p>
      <w:r>
        <w:br w:type="page"/>
      </w:r>
    </w:p>
    <w:p>
      <w:pPr>
        <w:pStyle w:val="Heading1"/>
        <w:spacing w:after="160" w:before="360"/>
      </w:pPr>
      <w:r>
        <w:t xml:space="preserve">7. Dashboards &amp; Key Insights</w:t>
      </w:r>
    </w:p>
    <w:p>
      <w:pPr>
        <w:spacing w:after="160" w:line="276"/>
      </w:pPr>
      <w:r>
        <w:rPr>
          <w:color w:val="262626"/>
          <w:sz w:val="22"/>
          <w:szCs w:val="22"/>
        </w:rPr>
        <w:t xml:space="preserve">Two dashboard pages were designed on top of the star-schema model, each with a question-form title so that every page opens with the business question it answers.</w:t>
      </w:r>
    </w:p>
    <w:p>
      <w:pPr>
        <w:pStyle w:val="Heading2"/>
        <w:spacing w:after="120" w:before="280"/>
      </w:pPr>
      <w:r>
        <w:t xml:space="preserve">7.1 Dashboard 1 — “Is Our Marketing Spend Actually Paying Off?”</w:t>
      </w:r>
    </w:p>
    <w:p>
      <w:pPr>
        <w:spacing w:after="160" w:line="276"/>
      </w:pPr>
      <w:r>
        <w:rPr>
          <w:color w:val="262626"/>
          <w:sz w:val="22"/>
          <w:szCs w:val="22"/>
        </w:rPr>
        <w:t xml:space="preserve">Focus: marketing and campaign performance. KPI strip: Total Budget, Total Revenue, Avg ROI, % Profitable Campaigns, % Loss-Making Campaigns, Cost per Conversion.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100"/>
        <w:gridCol w:w="3300"/>
      </w:tblGrid>
      <w:tr>
        <w:trPr>
          <w:tblHeader/>
        </w:trPr>
        <w:tc>
          <w:tcPr>
            <w:tcW w:type="dxa" w:w="400"/>
            <w:shd w:fill="1F3864" w:val="clear"/>
            <w:tcMar>
              <w:top w:type="dxa" w:w="80"/>
              <w:left w:type="dxa" w:w="100"/>
              <w:bottom w:type="dxa" w:w="80"/>
              <w:right w:type="dxa" w:w="100"/>
            </w:tcMar>
          </w:tcPr>
          <w:p>
            <w:r>
              <w:rPr>
                <w:b/>
                <w:bCs/>
                <w:color w:val="FFFFFF"/>
                <w:sz w:val="20"/>
                <w:szCs w:val="20"/>
              </w:rPr>
              <w:t xml:space="preserve">#</w:t>
            </w:r>
          </w:p>
        </w:tc>
        <w:tc>
          <w:tcPr>
            <w:tcW w:type="dxa" w:w="3600"/>
            <w:shd w:fill="1F3864" w:val="clear"/>
            <w:tcMar>
              <w:top w:type="dxa" w:w="80"/>
              <w:left w:type="dxa" w:w="100"/>
              <w:bottom w:type="dxa" w:w="80"/>
              <w:right w:type="dxa" w:w="100"/>
            </w:tcMar>
          </w:tcPr>
          <w:p>
            <w:r>
              <w:rPr>
                <w:b/>
                <w:bCs/>
                <w:color w:val="FFFFFF"/>
                <w:sz w:val="20"/>
                <w:szCs w:val="20"/>
              </w:rPr>
              <w:t xml:space="preserve">Chart Title (question form)</w:t>
            </w:r>
          </w:p>
        </w:tc>
        <w:tc>
          <w:tcPr>
            <w:tcW w:type="dxa" w:w="2100"/>
            <w:shd w:fill="1F3864" w:val="clear"/>
            <w:tcMar>
              <w:top w:type="dxa" w:w="80"/>
              <w:left w:type="dxa" w:w="100"/>
              <w:bottom w:type="dxa" w:w="80"/>
              <w:right w:type="dxa" w:w="100"/>
            </w:tcMar>
          </w:tcPr>
          <w:p>
            <w:r>
              <w:rPr>
                <w:b/>
                <w:bCs/>
                <w:color w:val="FFFFFF"/>
                <w:sz w:val="20"/>
                <w:szCs w:val="20"/>
              </w:rPr>
              <w:t xml:space="preserve">Chart Type</w:t>
            </w:r>
          </w:p>
        </w:tc>
        <w:tc>
          <w:tcPr>
            <w:tcW w:type="dxa" w:w="3300"/>
            <w:shd w:fill="1F3864" w:val="clear"/>
            <w:tcMar>
              <w:top w:type="dxa" w:w="80"/>
              <w:left w:type="dxa" w:w="100"/>
              <w:bottom w:type="dxa" w:w="80"/>
              <w:right w:type="dxa" w:w="100"/>
            </w:tcMar>
          </w:tcPr>
          <w:p>
            <w:r>
              <w:rPr>
                <w:b/>
                <w:bCs/>
                <w:color w:val="FFFFFF"/>
                <w:sz w:val="20"/>
                <w:szCs w:val="20"/>
              </w:rPr>
              <w:t xml:space="preserve">Key Insight</w:t>
            </w:r>
          </w:p>
        </w:tc>
      </w:tr>
      <w:tr>
        <w:tc>
          <w:tcPr>
            <w:tcW w:type="dxa" w:w="400"/>
            <w:shd w:fill="FFFFFF" w:val="clear"/>
            <w:tcMar>
              <w:top w:type="dxa" w:w="80"/>
              <w:left w:type="dxa" w:w="100"/>
              <w:bottom w:type="dxa" w:w="80"/>
              <w:right w:type="dxa" w:w="100"/>
            </w:tcMar>
          </w:tcPr>
          <w:p>
            <w:r>
              <w:rPr>
                <w:b w:val="false"/>
                <w:bCs w:val="false"/>
                <w:color w:val="262626"/>
                <w:sz w:val="20"/>
                <w:szCs w:val="20"/>
              </w:rPr>
              <w:t xml:space="preserve">1</w:t>
            </w:r>
          </w:p>
        </w:tc>
        <w:tc>
          <w:tcPr>
            <w:tcW w:type="dxa" w:w="3600"/>
            <w:shd w:fill="FFFFFF" w:val="clear"/>
            <w:tcMar>
              <w:top w:type="dxa" w:w="80"/>
              <w:left w:type="dxa" w:w="100"/>
              <w:bottom w:type="dxa" w:w="80"/>
              <w:right w:type="dxa" w:w="100"/>
            </w:tcMar>
          </w:tcPr>
          <w:p>
            <w:r>
              <w:rPr>
                <w:b w:val="false"/>
                <w:bCs w:val="false"/>
                <w:color w:val="262626"/>
                <w:sz w:val="20"/>
                <w:szCs w:val="20"/>
              </w:rPr>
              <w:t xml:space="preserve">Does a bigger budget actually buy more revenue?</w:t>
            </w:r>
          </w:p>
        </w:tc>
        <w:tc>
          <w:tcPr>
            <w:tcW w:type="dxa" w:w="2100"/>
            <w:shd w:fill="FFFFFF" w:val="clear"/>
            <w:tcMar>
              <w:top w:type="dxa" w:w="80"/>
              <w:left w:type="dxa" w:w="100"/>
              <w:bottom w:type="dxa" w:w="80"/>
              <w:right w:type="dxa" w:w="100"/>
            </w:tcMar>
          </w:tcPr>
          <w:p>
            <w:r>
              <w:rPr>
                <w:b w:val="false"/>
                <w:bCs w:val="false"/>
                <w:color w:val="262626"/>
                <w:sz w:val="20"/>
                <w:szCs w:val="20"/>
              </w:rPr>
              <w:t xml:space="preserve">Bar chart (by budget tier)</w:t>
            </w:r>
          </w:p>
        </w:tc>
        <w:tc>
          <w:tcPr>
            <w:tcW w:type="dxa" w:w="3300"/>
            <w:shd w:fill="FFFFFF" w:val="clear"/>
            <w:tcMar>
              <w:top w:type="dxa" w:w="80"/>
              <w:left w:type="dxa" w:w="100"/>
              <w:bottom w:type="dxa" w:w="80"/>
              <w:right w:type="dxa" w:w="100"/>
            </w:tcMar>
          </w:tcPr>
          <w:p>
            <w:r>
              <w:rPr>
                <w:b w:val="false"/>
                <w:bCs w:val="false"/>
                <w:color w:val="262626"/>
                <w:sz w:val="20"/>
                <w:szCs w:val="20"/>
              </w:rPr>
              <w:t xml:space="preserve">Average revenue per campaign is essentially flat across budget tiers — spend size is not buying more revenue.</w:t>
            </w:r>
          </w:p>
        </w:tc>
      </w:tr>
      <w:tr>
        <w:tc>
          <w:tcPr>
            <w:tcW w:type="dxa" w:w="400"/>
            <w:shd w:fill="EEF2F7" w:val="clear"/>
            <w:tcMar>
              <w:top w:type="dxa" w:w="80"/>
              <w:left w:type="dxa" w:w="100"/>
              <w:bottom w:type="dxa" w:w="80"/>
              <w:right w:type="dxa" w:w="100"/>
            </w:tcMar>
          </w:tcPr>
          <w:p>
            <w:r>
              <w:rPr>
                <w:b w:val="false"/>
                <w:bCs w:val="false"/>
                <w:color w:val="262626"/>
                <w:sz w:val="20"/>
                <w:szCs w:val="20"/>
              </w:rPr>
              <w:t xml:space="preserve">2</w:t>
            </w:r>
          </w:p>
        </w:tc>
        <w:tc>
          <w:tcPr>
            <w:tcW w:type="dxa" w:w="3600"/>
            <w:shd w:fill="EEF2F7" w:val="clear"/>
            <w:tcMar>
              <w:top w:type="dxa" w:w="80"/>
              <w:left w:type="dxa" w:w="100"/>
              <w:bottom w:type="dxa" w:w="80"/>
              <w:right w:type="dxa" w:w="100"/>
            </w:tcMar>
          </w:tcPr>
          <w:p>
            <w:r>
              <w:rPr>
                <w:b w:val="false"/>
                <w:bCs w:val="false"/>
                <w:color w:val="262626"/>
                <w:sz w:val="20"/>
                <w:szCs w:val="20"/>
              </w:rPr>
              <w:t xml:space="preserve">How many of our campaigns are actually profitable?</w:t>
            </w:r>
          </w:p>
        </w:tc>
        <w:tc>
          <w:tcPr>
            <w:tcW w:type="dxa" w:w="2100"/>
            <w:shd w:fill="EEF2F7" w:val="clear"/>
            <w:tcMar>
              <w:top w:type="dxa" w:w="80"/>
              <w:left w:type="dxa" w:w="100"/>
              <w:bottom w:type="dxa" w:w="80"/>
              <w:right w:type="dxa" w:w="100"/>
            </w:tcMar>
          </w:tcPr>
          <w:p>
            <w:r>
              <w:rPr>
                <w:b w:val="false"/>
                <w:bCs w:val="false"/>
                <w:color w:val="262626"/>
                <w:sz w:val="20"/>
                <w:szCs w:val="20"/>
              </w:rPr>
              <w:t xml:space="preserve">Donut chart</w:t>
            </w:r>
          </w:p>
        </w:tc>
        <w:tc>
          <w:tcPr>
            <w:tcW w:type="dxa" w:w="3300"/>
            <w:shd w:fill="EEF2F7" w:val="clear"/>
            <w:tcMar>
              <w:top w:type="dxa" w:w="80"/>
              <w:left w:type="dxa" w:w="100"/>
              <w:bottom w:type="dxa" w:w="80"/>
              <w:right w:type="dxa" w:w="100"/>
            </w:tcMar>
          </w:tcPr>
          <w:p>
            <w:r>
              <w:rPr>
                <w:b w:val="false"/>
                <w:bCs w:val="false"/>
                <w:color w:val="262626"/>
                <w:sz w:val="20"/>
                <w:szCs w:val="20"/>
              </w:rPr>
              <w:t xml:space="preserve">88.8% of campaigns are profitable (ROI ≥ 1); only a small share are outright loss-making.</w:t>
            </w:r>
          </w:p>
        </w:tc>
      </w:tr>
      <w:tr>
        <w:tc>
          <w:tcPr>
            <w:tcW w:type="dxa" w:w="400"/>
            <w:shd w:fill="FFFFFF" w:val="clear"/>
            <w:tcMar>
              <w:top w:type="dxa" w:w="80"/>
              <w:left w:type="dxa" w:w="100"/>
              <w:bottom w:type="dxa" w:w="80"/>
              <w:right w:type="dxa" w:w="100"/>
            </w:tcMar>
          </w:tcPr>
          <w:p>
            <w:r>
              <w:rPr>
                <w:b w:val="false"/>
                <w:bCs w:val="false"/>
                <w:color w:val="262626"/>
                <w:sz w:val="20"/>
                <w:szCs w:val="20"/>
              </w:rPr>
              <w:t xml:space="preserve">3</w:t>
            </w:r>
          </w:p>
        </w:tc>
        <w:tc>
          <w:tcPr>
            <w:tcW w:type="dxa" w:w="3600"/>
            <w:shd w:fill="FFFFFF" w:val="clear"/>
            <w:tcMar>
              <w:top w:type="dxa" w:w="80"/>
              <w:left w:type="dxa" w:w="100"/>
              <w:bottom w:type="dxa" w:w="80"/>
              <w:right w:type="dxa" w:w="100"/>
            </w:tcMar>
          </w:tcPr>
          <w:p>
            <w:r>
              <w:rPr>
                <w:b w:val="false"/>
                <w:bCs w:val="false"/>
                <w:color w:val="262626"/>
                <w:sz w:val="20"/>
                <w:szCs w:val="20"/>
              </w:rPr>
              <w:t xml:space="preserve">Do bigger budgets win a better ROI tier?</w:t>
            </w:r>
          </w:p>
        </w:tc>
        <w:tc>
          <w:tcPr>
            <w:tcW w:type="dxa" w:w="2100"/>
            <w:shd w:fill="FFFFFF" w:val="clear"/>
            <w:tcMar>
              <w:top w:type="dxa" w:w="80"/>
              <w:left w:type="dxa" w:w="100"/>
              <w:bottom w:type="dxa" w:w="80"/>
              <w:right w:type="dxa" w:w="100"/>
            </w:tcMar>
          </w:tcPr>
          <w:p>
            <w:r>
              <w:rPr>
                <w:b w:val="false"/>
                <w:bCs w:val="false"/>
                <w:color w:val="262626"/>
                <w:sz w:val="20"/>
                <w:szCs w:val="20"/>
              </w:rPr>
              <w:t xml:space="preserve">100% stacked bar</w:t>
            </w:r>
          </w:p>
        </w:tc>
        <w:tc>
          <w:tcPr>
            <w:tcW w:type="dxa" w:w="3300"/>
            <w:shd w:fill="FFFFFF" w:val="clear"/>
            <w:tcMar>
              <w:top w:type="dxa" w:w="80"/>
              <w:left w:type="dxa" w:w="100"/>
              <w:bottom w:type="dxa" w:w="80"/>
              <w:right w:type="dxa" w:w="100"/>
            </w:tcMar>
          </w:tcPr>
          <w:p>
            <w:r>
              <w:rPr>
                <w:b w:val="false"/>
                <w:bCs w:val="false"/>
                <w:color w:val="262626"/>
                <w:sz w:val="20"/>
                <w:szCs w:val="20"/>
              </w:rPr>
              <w:t xml:space="preserve">The mix of ROI outcomes is nearly identical across every budget tier, reinforcing chart 1.</w:t>
            </w:r>
          </w:p>
        </w:tc>
      </w:tr>
      <w:tr>
        <w:tc>
          <w:tcPr>
            <w:tcW w:type="dxa" w:w="400"/>
            <w:shd w:fill="EEF2F7" w:val="clear"/>
            <w:tcMar>
              <w:top w:type="dxa" w:w="80"/>
              <w:left w:type="dxa" w:w="100"/>
              <w:bottom w:type="dxa" w:w="80"/>
              <w:right w:type="dxa" w:w="100"/>
            </w:tcMar>
          </w:tcPr>
          <w:p>
            <w:r>
              <w:rPr>
                <w:b w:val="false"/>
                <w:bCs w:val="false"/>
                <w:color w:val="262626"/>
                <w:sz w:val="20"/>
                <w:szCs w:val="20"/>
              </w:rPr>
              <w:t xml:space="preserve">4</w:t>
            </w:r>
          </w:p>
        </w:tc>
        <w:tc>
          <w:tcPr>
            <w:tcW w:type="dxa" w:w="3600"/>
            <w:shd w:fill="EEF2F7" w:val="clear"/>
            <w:tcMar>
              <w:top w:type="dxa" w:w="80"/>
              <w:left w:type="dxa" w:w="100"/>
              <w:bottom w:type="dxa" w:w="80"/>
              <w:right w:type="dxa" w:w="100"/>
            </w:tcMar>
          </w:tcPr>
          <w:p>
            <w:r>
              <w:rPr>
                <w:b w:val="false"/>
                <w:bCs w:val="false"/>
                <w:color w:val="262626"/>
                <w:sz w:val="20"/>
                <w:szCs w:val="20"/>
              </w:rPr>
              <w:t xml:space="preserve">How much are we paying per conversion, by customer tier?</w:t>
            </w:r>
          </w:p>
        </w:tc>
        <w:tc>
          <w:tcPr>
            <w:tcW w:type="dxa" w:w="2100"/>
            <w:shd w:fill="EEF2F7" w:val="clear"/>
            <w:tcMar>
              <w:top w:type="dxa" w:w="80"/>
              <w:left w:type="dxa" w:w="100"/>
              <w:bottom w:type="dxa" w:w="80"/>
              <w:right w:type="dxa" w:w="100"/>
            </w:tcMar>
          </w:tcPr>
          <w:p>
            <w:r>
              <w:rPr>
                <w:b w:val="false"/>
                <w:bCs w:val="false"/>
                <w:color w:val="262626"/>
                <w:sz w:val="20"/>
                <w:szCs w:val="20"/>
              </w:rPr>
              <w:t xml:space="preserve">Bar chart</w:t>
            </w:r>
          </w:p>
        </w:tc>
        <w:tc>
          <w:tcPr>
            <w:tcW w:type="dxa" w:w="3300"/>
            <w:shd w:fill="EEF2F7" w:val="clear"/>
            <w:tcMar>
              <w:top w:type="dxa" w:w="80"/>
              <w:left w:type="dxa" w:w="100"/>
              <w:bottom w:type="dxa" w:w="80"/>
              <w:right w:type="dxa" w:w="100"/>
            </w:tcMar>
          </w:tcPr>
          <w:p>
            <w:r>
              <w:rPr>
                <w:b w:val="false"/>
                <w:bCs w:val="false"/>
                <w:color w:val="262626"/>
                <w:sz w:val="20"/>
                <w:szCs w:val="20"/>
              </w:rPr>
              <w:t xml:space="preserve">Cost per conversion is nearly identical across Basic, Standard, and Premium customers.</w:t>
            </w:r>
          </w:p>
        </w:tc>
      </w:tr>
      <w:tr>
        <w:tc>
          <w:tcPr>
            <w:tcW w:type="dxa" w:w="400"/>
            <w:shd w:fill="FFFFFF" w:val="clear"/>
            <w:tcMar>
              <w:top w:type="dxa" w:w="80"/>
              <w:left w:type="dxa" w:w="100"/>
              <w:bottom w:type="dxa" w:w="80"/>
              <w:right w:type="dxa" w:w="100"/>
            </w:tcMar>
          </w:tcPr>
          <w:p>
            <w:r>
              <w:rPr>
                <w:b w:val="false"/>
                <w:bCs w:val="false"/>
                <w:color w:val="262626"/>
                <w:sz w:val="20"/>
                <w:szCs w:val="20"/>
              </w:rPr>
              <w:t xml:space="preserve">5</w:t>
            </w:r>
          </w:p>
        </w:tc>
        <w:tc>
          <w:tcPr>
            <w:tcW w:type="dxa" w:w="3600"/>
            <w:shd w:fill="FFFFFF" w:val="clear"/>
            <w:tcMar>
              <w:top w:type="dxa" w:w="80"/>
              <w:left w:type="dxa" w:w="100"/>
              <w:bottom w:type="dxa" w:w="80"/>
              <w:right w:type="dxa" w:w="100"/>
            </w:tcMar>
          </w:tcPr>
          <w:p>
            <w:r>
              <w:rPr>
                <w:b w:val="false"/>
                <w:bCs w:val="false"/>
                <w:color w:val="262626"/>
                <w:sz w:val="20"/>
                <w:szCs w:val="20"/>
              </w:rPr>
              <w:t xml:space="preserve">Which campaigns are actually losing money?</w:t>
            </w:r>
          </w:p>
        </w:tc>
        <w:tc>
          <w:tcPr>
            <w:tcW w:type="dxa" w:w="2100"/>
            <w:shd w:fill="FFFFFF" w:val="clear"/>
            <w:tcMar>
              <w:top w:type="dxa" w:w="80"/>
              <w:left w:type="dxa" w:w="100"/>
              <w:bottom w:type="dxa" w:w="80"/>
              <w:right w:type="dxa" w:w="100"/>
            </w:tcMar>
          </w:tcPr>
          <w:p>
            <w:r>
              <w:rPr>
                <w:b w:val="false"/>
                <w:bCs w:val="false"/>
                <w:color w:val="262626"/>
                <w:sz w:val="20"/>
                <w:szCs w:val="20"/>
              </w:rPr>
              <w:t xml:space="preserve">Horizontal bar (worst performers)</w:t>
            </w:r>
          </w:p>
        </w:tc>
        <w:tc>
          <w:tcPr>
            <w:tcW w:type="dxa" w:w="3300"/>
            <w:shd w:fill="FFFFFF" w:val="clear"/>
            <w:tcMar>
              <w:top w:type="dxa" w:w="80"/>
              <w:left w:type="dxa" w:w="100"/>
              <w:bottom w:type="dxa" w:w="80"/>
              <w:right w:type="dxa" w:w="100"/>
            </w:tcMar>
          </w:tcPr>
          <w:p>
            <w:r>
              <w:rPr>
                <w:b w:val="false"/>
                <w:bCs w:val="false"/>
                <w:color w:val="262626"/>
                <w:sz w:val="20"/>
                <w:szCs w:val="20"/>
              </w:rPr>
              <w:t xml:space="preserve">A small, identifiable set of campaigns account for the loss-making tail and are candidates for immediate review.</w:t>
            </w:r>
          </w:p>
        </w:tc>
      </w:tr>
    </w:tbl>
    <w:p>
      <w:pPr>
        <w:spacing w:after="200"/>
      </w:pPr>
    </w:p>
    <w:p>
      <w:pPr>
        <w:pStyle w:val="Heading2"/>
        <w:spacing w:after="120" w:before="280"/>
      </w:pPr>
      <w:r>
        <w:t xml:space="preserve">7.2 Dashboard 2 — “Are Discounts, Bundles, and Subscriptions Actually Working for Customers?”</w:t>
      </w:r>
    </w:p>
    <w:p>
      <w:pPr>
        <w:spacing w:after="160" w:line="276"/>
      </w:pPr>
      <w:r>
        <w:rPr>
          <w:color w:val="262626"/>
          <w:sz w:val="22"/>
          <w:szCs w:val="22"/>
        </w:rPr>
        <w:t xml:space="preserve">Focus: flash sales, bundling, and customer health. KPI strip: Total Units Sold, Avg Discount Level, Avg Bundle Price, Avg Satisfaction Score, % Detractors, Distinct Customers.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100"/>
        <w:gridCol w:w="3300"/>
      </w:tblGrid>
      <w:tr>
        <w:trPr>
          <w:tblHeader/>
        </w:trPr>
        <w:tc>
          <w:tcPr>
            <w:tcW w:type="dxa" w:w="400"/>
            <w:shd w:fill="1F3864" w:val="clear"/>
            <w:tcMar>
              <w:top w:type="dxa" w:w="80"/>
              <w:left w:type="dxa" w:w="100"/>
              <w:bottom w:type="dxa" w:w="80"/>
              <w:right w:type="dxa" w:w="100"/>
            </w:tcMar>
          </w:tcPr>
          <w:p>
            <w:r>
              <w:rPr>
                <w:b/>
                <w:bCs/>
                <w:color w:val="FFFFFF"/>
                <w:sz w:val="20"/>
                <w:szCs w:val="20"/>
              </w:rPr>
              <w:t xml:space="preserve">#</w:t>
            </w:r>
          </w:p>
        </w:tc>
        <w:tc>
          <w:tcPr>
            <w:tcW w:type="dxa" w:w="3600"/>
            <w:shd w:fill="1F3864" w:val="clear"/>
            <w:tcMar>
              <w:top w:type="dxa" w:w="80"/>
              <w:left w:type="dxa" w:w="100"/>
              <w:bottom w:type="dxa" w:w="80"/>
              <w:right w:type="dxa" w:w="100"/>
            </w:tcMar>
          </w:tcPr>
          <w:p>
            <w:r>
              <w:rPr>
                <w:b/>
                <w:bCs/>
                <w:color w:val="FFFFFF"/>
                <w:sz w:val="20"/>
                <w:szCs w:val="20"/>
              </w:rPr>
              <w:t xml:space="preserve">Chart Title (question form)</w:t>
            </w:r>
          </w:p>
        </w:tc>
        <w:tc>
          <w:tcPr>
            <w:tcW w:type="dxa" w:w="2100"/>
            <w:shd w:fill="1F3864" w:val="clear"/>
            <w:tcMar>
              <w:top w:type="dxa" w:w="80"/>
              <w:left w:type="dxa" w:w="100"/>
              <w:bottom w:type="dxa" w:w="80"/>
              <w:right w:type="dxa" w:w="100"/>
            </w:tcMar>
          </w:tcPr>
          <w:p>
            <w:r>
              <w:rPr>
                <w:b/>
                <w:bCs/>
                <w:color w:val="FFFFFF"/>
                <w:sz w:val="20"/>
                <w:szCs w:val="20"/>
              </w:rPr>
              <w:t xml:space="preserve">Chart Type</w:t>
            </w:r>
          </w:p>
        </w:tc>
        <w:tc>
          <w:tcPr>
            <w:tcW w:type="dxa" w:w="3300"/>
            <w:shd w:fill="1F3864" w:val="clear"/>
            <w:tcMar>
              <w:top w:type="dxa" w:w="80"/>
              <w:left w:type="dxa" w:w="100"/>
              <w:bottom w:type="dxa" w:w="80"/>
              <w:right w:type="dxa" w:w="100"/>
            </w:tcMar>
          </w:tcPr>
          <w:p>
            <w:r>
              <w:rPr>
                <w:b/>
                <w:bCs/>
                <w:color w:val="FFFFFF"/>
                <w:sz w:val="20"/>
                <w:szCs w:val="20"/>
              </w:rPr>
              <w:t xml:space="preserve">Key Insight</w:t>
            </w:r>
          </w:p>
        </w:tc>
      </w:tr>
      <w:tr>
        <w:tc>
          <w:tcPr>
            <w:tcW w:type="dxa" w:w="400"/>
            <w:shd w:fill="FFFFFF" w:val="clear"/>
            <w:tcMar>
              <w:top w:type="dxa" w:w="80"/>
              <w:left w:type="dxa" w:w="100"/>
              <w:bottom w:type="dxa" w:w="80"/>
              <w:right w:type="dxa" w:w="100"/>
            </w:tcMar>
          </w:tcPr>
          <w:p>
            <w:r>
              <w:rPr>
                <w:b w:val="false"/>
                <w:bCs w:val="false"/>
                <w:color w:val="262626"/>
                <w:sz w:val="20"/>
                <w:szCs w:val="20"/>
              </w:rPr>
              <w:t xml:space="preserve">1</w:t>
            </w:r>
          </w:p>
        </w:tc>
        <w:tc>
          <w:tcPr>
            <w:tcW w:type="dxa" w:w="3600"/>
            <w:shd w:fill="FFFFFF" w:val="clear"/>
            <w:tcMar>
              <w:top w:type="dxa" w:w="80"/>
              <w:left w:type="dxa" w:w="100"/>
              <w:bottom w:type="dxa" w:w="80"/>
              <w:right w:type="dxa" w:w="100"/>
            </w:tcMar>
          </w:tcPr>
          <w:p>
            <w:r>
              <w:rPr>
                <w:b w:val="false"/>
                <w:bCs w:val="false"/>
                <w:color w:val="262626"/>
                <w:sz w:val="20"/>
                <w:szCs w:val="20"/>
              </w:rPr>
              <w:t xml:space="preserve">Does a deeper discount actually sell more units?</w:t>
            </w:r>
          </w:p>
        </w:tc>
        <w:tc>
          <w:tcPr>
            <w:tcW w:type="dxa" w:w="2100"/>
            <w:shd w:fill="FFFFFF" w:val="clear"/>
            <w:tcMar>
              <w:top w:type="dxa" w:w="80"/>
              <w:left w:type="dxa" w:w="100"/>
              <w:bottom w:type="dxa" w:w="80"/>
              <w:right w:type="dxa" w:w="100"/>
            </w:tcMar>
          </w:tcPr>
          <w:p>
            <w:r>
              <w:rPr>
                <w:b w:val="false"/>
                <w:bCs w:val="false"/>
                <w:color w:val="262626"/>
                <w:sz w:val="20"/>
                <w:szCs w:val="20"/>
              </w:rPr>
              <w:t xml:space="preserve">Bar chart (by discount band)</w:t>
            </w:r>
          </w:p>
        </w:tc>
        <w:tc>
          <w:tcPr>
            <w:tcW w:type="dxa" w:w="3300"/>
            <w:shd w:fill="FFFFFF" w:val="clear"/>
            <w:tcMar>
              <w:top w:type="dxa" w:w="80"/>
              <w:left w:type="dxa" w:w="100"/>
              <w:bottom w:type="dxa" w:w="80"/>
              <w:right w:type="dxa" w:w="100"/>
            </w:tcMar>
          </w:tcPr>
          <w:p>
            <w:r>
              <w:rPr>
                <w:b w:val="false"/>
                <w:bCs w:val="false"/>
                <w:color w:val="262626"/>
                <w:sz w:val="20"/>
                <w:szCs w:val="20"/>
              </w:rPr>
              <w:t xml:space="preserve">Units sold is essentially flat from a 0–20% discount through a 60–80% discount.</w:t>
            </w:r>
          </w:p>
        </w:tc>
      </w:tr>
      <w:tr>
        <w:tc>
          <w:tcPr>
            <w:tcW w:type="dxa" w:w="400"/>
            <w:shd w:fill="EEF2F7" w:val="clear"/>
            <w:tcMar>
              <w:top w:type="dxa" w:w="80"/>
              <w:left w:type="dxa" w:w="100"/>
              <w:bottom w:type="dxa" w:w="80"/>
              <w:right w:type="dxa" w:w="100"/>
            </w:tcMar>
          </w:tcPr>
          <w:p>
            <w:r>
              <w:rPr>
                <w:b w:val="false"/>
                <w:bCs w:val="false"/>
                <w:color w:val="262626"/>
                <w:sz w:val="20"/>
                <w:szCs w:val="20"/>
              </w:rPr>
              <w:t xml:space="preserve">2</w:t>
            </w:r>
          </w:p>
        </w:tc>
        <w:tc>
          <w:tcPr>
            <w:tcW w:type="dxa" w:w="3600"/>
            <w:shd w:fill="EEF2F7" w:val="clear"/>
            <w:tcMar>
              <w:top w:type="dxa" w:w="80"/>
              <w:left w:type="dxa" w:w="100"/>
              <w:bottom w:type="dxa" w:w="80"/>
              <w:right w:type="dxa" w:w="100"/>
            </w:tcMar>
          </w:tcPr>
          <w:p>
            <w:r>
              <w:rPr>
                <w:b w:val="false"/>
                <w:bCs w:val="false"/>
                <w:color w:val="262626"/>
                <w:sz w:val="20"/>
                <w:szCs w:val="20"/>
              </w:rPr>
              <w:t xml:space="preserve">Is discounting hurting how customers feel afterward?</w:t>
            </w:r>
          </w:p>
        </w:tc>
        <w:tc>
          <w:tcPr>
            <w:tcW w:type="dxa" w:w="2100"/>
            <w:shd w:fill="EEF2F7" w:val="clear"/>
            <w:tcMar>
              <w:top w:type="dxa" w:w="80"/>
              <w:left w:type="dxa" w:w="100"/>
              <w:bottom w:type="dxa" w:w="80"/>
              <w:right w:type="dxa" w:w="100"/>
            </w:tcMar>
          </w:tcPr>
          <w:p>
            <w:r>
              <w:rPr>
                <w:b w:val="false"/>
                <w:bCs w:val="false"/>
                <w:color w:val="262626"/>
                <w:sz w:val="20"/>
                <w:szCs w:val="20"/>
              </w:rPr>
              <w:t xml:space="preserve">Bar chart (by discount band)</w:t>
            </w:r>
          </w:p>
        </w:tc>
        <w:tc>
          <w:tcPr>
            <w:tcW w:type="dxa" w:w="3300"/>
            <w:shd w:fill="EEF2F7" w:val="clear"/>
            <w:tcMar>
              <w:top w:type="dxa" w:w="80"/>
              <w:left w:type="dxa" w:w="100"/>
              <w:bottom w:type="dxa" w:w="80"/>
              <w:right w:type="dxa" w:w="100"/>
            </w:tcMar>
          </w:tcPr>
          <w:p>
            <w:r>
              <w:rPr>
                <w:b w:val="false"/>
                <w:bCs w:val="false"/>
                <w:color w:val="262626"/>
                <w:sz w:val="20"/>
                <w:szCs w:val="20"/>
              </w:rPr>
              <w:t xml:space="preserve">Satisfaction is flat across most discount depths, with no evidence that deeper discounts improve the post-refund experience.</w:t>
            </w:r>
          </w:p>
        </w:tc>
      </w:tr>
      <w:tr>
        <w:tc>
          <w:tcPr>
            <w:tcW w:type="dxa" w:w="400"/>
            <w:shd w:fill="FFFFFF" w:val="clear"/>
            <w:tcMar>
              <w:top w:type="dxa" w:w="80"/>
              <w:left w:type="dxa" w:w="100"/>
              <w:bottom w:type="dxa" w:w="80"/>
              <w:right w:type="dxa" w:w="100"/>
            </w:tcMar>
          </w:tcPr>
          <w:p>
            <w:r>
              <w:rPr>
                <w:b w:val="false"/>
                <w:bCs w:val="false"/>
                <w:color w:val="262626"/>
                <w:sz w:val="20"/>
                <w:szCs w:val="20"/>
              </w:rPr>
              <w:t xml:space="preserve">3</w:t>
            </w:r>
          </w:p>
        </w:tc>
        <w:tc>
          <w:tcPr>
            <w:tcW w:type="dxa" w:w="3600"/>
            <w:shd w:fill="FFFFFF" w:val="clear"/>
            <w:tcMar>
              <w:top w:type="dxa" w:w="80"/>
              <w:left w:type="dxa" w:w="100"/>
              <w:bottom w:type="dxa" w:w="80"/>
              <w:right w:type="dxa" w:w="100"/>
            </w:tcMar>
          </w:tcPr>
          <w:p>
            <w:r>
              <w:rPr>
                <w:b w:val="false"/>
                <w:bCs w:val="false"/>
                <w:color w:val="262626"/>
                <w:sz w:val="20"/>
                <w:szCs w:val="20"/>
              </w:rPr>
              <w:t xml:space="preserve">Does a higher subscription tier mean a more valuable, happier customer?</w:t>
            </w:r>
          </w:p>
        </w:tc>
        <w:tc>
          <w:tcPr>
            <w:tcW w:type="dxa" w:w="2100"/>
            <w:shd w:fill="FFFFFF" w:val="clear"/>
            <w:tcMar>
              <w:top w:type="dxa" w:w="80"/>
              <w:left w:type="dxa" w:w="100"/>
              <w:bottom w:type="dxa" w:w="80"/>
              <w:right w:type="dxa" w:w="100"/>
            </w:tcMar>
          </w:tcPr>
          <w:p>
            <w:r>
              <w:rPr>
                <w:b w:val="false"/>
                <w:bCs w:val="false"/>
                <w:color w:val="262626"/>
                <w:sz w:val="20"/>
                <w:szCs w:val="20"/>
              </w:rPr>
              <w:t xml:space="preserve">Bar charts (revenue and satisfaction by tier)</w:t>
            </w:r>
          </w:p>
        </w:tc>
        <w:tc>
          <w:tcPr>
            <w:tcW w:type="dxa" w:w="3300"/>
            <w:shd w:fill="FFFFFF" w:val="clear"/>
            <w:tcMar>
              <w:top w:type="dxa" w:w="80"/>
              <w:left w:type="dxa" w:w="100"/>
              <w:bottom w:type="dxa" w:w="80"/>
              <w:right w:type="dxa" w:w="100"/>
            </w:tcMar>
          </w:tcPr>
          <w:p>
            <w:r>
              <w:rPr>
                <w:b w:val="false"/>
                <w:bCs w:val="false"/>
                <w:color w:val="262626"/>
                <w:sz w:val="20"/>
                <w:szCs w:val="20"/>
              </w:rPr>
              <w:t xml:space="preserve">Premium customers do not show materially higher revenue or satisfaction than Basic customers.</w:t>
            </w:r>
          </w:p>
        </w:tc>
      </w:tr>
      <w:tr>
        <w:tc>
          <w:tcPr>
            <w:tcW w:type="dxa" w:w="400"/>
            <w:shd w:fill="EEF2F7" w:val="clear"/>
            <w:tcMar>
              <w:top w:type="dxa" w:w="80"/>
              <w:left w:type="dxa" w:w="100"/>
              <w:bottom w:type="dxa" w:w="80"/>
              <w:right w:type="dxa" w:w="100"/>
            </w:tcMar>
          </w:tcPr>
          <w:p>
            <w:r>
              <w:rPr>
                <w:b w:val="false"/>
                <w:bCs w:val="false"/>
                <w:color w:val="262626"/>
                <w:sz w:val="20"/>
                <w:szCs w:val="20"/>
              </w:rPr>
              <w:t xml:space="preserve">4</w:t>
            </w:r>
          </w:p>
        </w:tc>
        <w:tc>
          <w:tcPr>
            <w:tcW w:type="dxa" w:w="3600"/>
            <w:shd w:fill="EEF2F7" w:val="clear"/>
            <w:tcMar>
              <w:top w:type="dxa" w:w="80"/>
              <w:left w:type="dxa" w:w="100"/>
              <w:bottom w:type="dxa" w:w="80"/>
              <w:right w:type="dxa" w:w="100"/>
            </w:tcMar>
          </w:tcPr>
          <w:p>
            <w:r>
              <w:rPr>
                <w:b w:val="false"/>
                <w:bCs w:val="false"/>
                <w:color w:val="262626"/>
                <w:sz w:val="20"/>
                <w:szCs w:val="20"/>
              </w:rPr>
              <w:t xml:space="preserve">Which marketing keyword actually drives revenue?</w:t>
            </w:r>
          </w:p>
        </w:tc>
        <w:tc>
          <w:tcPr>
            <w:tcW w:type="dxa" w:w="2100"/>
            <w:shd w:fill="EEF2F7" w:val="clear"/>
            <w:tcMar>
              <w:top w:type="dxa" w:w="80"/>
              <w:left w:type="dxa" w:w="100"/>
              <w:bottom w:type="dxa" w:w="80"/>
              <w:right w:type="dxa" w:w="100"/>
            </w:tcMar>
          </w:tcPr>
          <w:p>
            <w:r>
              <w:rPr>
                <w:b w:val="false"/>
                <w:bCs w:val="false"/>
                <w:color w:val="262626"/>
                <w:sz w:val="20"/>
                <w:szCs w:val="20"/>
              </w:rPr>
              <w:t xml:space="preserve">Bar chart</w:t>
            </w:r>
          </w:p>
        </w:tc>
        <w:tc>
          <w:tcPr>
            <w:tcW w:type="dxa" w:w="3300"/>
            <w:shd w:fill="EEF2F7" w:val="clear"/>
            <w:tcMar>
              <w:top w:type="dxa" w:w="80"/>
              <w:left w:type="dxa" w:w="100"/>
              <w:bottom w:type="dxa" w:w="80"/>
              <w:right w:type="dxa" w:w="100"/>
            </w:tcMar>
          </w:tcPr>
          <w:p>
            <w:r>
              <w:rPr>
                <w:b w:val="false"/>
                <w:bCs w:val="false"/>
                <w:color w:val="262626"/>
                <w:sz w:val="20"/>
                <w:szCs w:val="20"/>
              </w:rPr>
              <w:t xml:space="preserve">“Affordable” and “Innovative” lead narrowly; differences between all four keywords are modest.</w:t>
            </w:r>
          </w:p>
        </w:tc>
      </w:tr>
      <w:tr>
        <w:tc>
          <w:tcPr>
            <w:tcW w:type="dxa" w:w="400"/>
            <w:shd w:fill="FFFFFF" w:val="clear"/>
            <w:tcMar>
              <w:top w:type="dxa" w:w="80"/>
              <w:left w:type="dxa" w:w="100"/>
              <w:bottom w:type="dxa" w:w="80"/>
              <w:right w:type="dxa" w:w="100"/>
            </w:tcMar>
          </w:tcPr>
          <w:p>
            <w:r>
              <w:rPr>
                <w:b w:val="false"/>
                <w:bCs w:val="false"/>
                <w:color w:val="262626"/>
                <w:sz w:val="20"/>
                <w:szCs w:val="20"/>
              </w:rPr>
              <w:t xml:space="preserve">5</w:t>
            </w:r>
          </w:p>
        </w:tc>
        <w:tc>
          <w:tcPr>
            <w:tcW w:type="dxa" w:w="3600"/>
            <w:shd w:fill="FFFFFF" w:val="clear"/>
            <w:tcMar>
              <w:top w:type="dxa" w:w="80"/>
              <w:left w:type="dxa" w:w="100"/>
              <w:bottom w:type="dxa" w:w="80"/>
              <w:right w:type="dxa" w:w="100"/>
            </w:tcMar>
          </w:tcPr>
          <w:p>
            <w:r>
              <w:rPr>
                <w:b w:val="false"/>
                <w:bCs w:val="false"/>
                <w:color w:val="262626"/>
                <w:sz w:val="20"/>
                <w:szCs w:val="20"/>
              </w:rPr>
              <w:t xml:space="preserve">How many post-refund customers are unhappy?</w:t>
            </w:r>
          </w:p>
        </w:tc>
        <w:tc>
          <w:tcPr>
            <w:tcW w:type="dxa" w:w="2100"/>
            <w:shd w:fill="FFFFFF" w:val="clear"/>
            <w:tcMar>
              <w:top w:type="dxa" w:w="80"/>
              <w:left w:type="dxa" w:w="100"/>
              <w:bottom w:type="dxa" w:w="80"/>
              <w:right w:type="dxa" w:w="100"/>
            </w:tcMar>
          </w:tcPr>
          <w:p>
            <w:r>
              <w:rPr>
                <w:b w:val="false"/>
                <w:bCs w:val="false"/>
                <w:color w:val="262626"/>
                <w:sz w:val="20"/>
                <w:szCs w:val="20"/>
              </w:rPr>
              <w:t xml:space="preserve">Donut chart</w:t>
            </w:r>
          </w:p>
        </w:tc>
        <w:tc>
          <w:tcPr>
            <w:tcW w:type="dxa" w:w="3300"/>
            <w:shd w:fill="FFFFFF" w:val="clear"/>
            <w:tcMar>
              <w:top w:type="dxa" w:w="80"/>
              <w:left w:type="dxa" w:w="100"/>
              <w:bottom w:type="dxa" w:w="80"/>
              <w:right w:type="dxa" w:w="100"/>
            </w:tcMar>
          </w:tcPr>
          <w:p>
            <w:r>
              <w:rPr>
                <w:b w:val="false"/>
                <w:bCs w:val="false"/>
                <w:color w:val="262626"/>
                <w:sz w:val="20"/>
                <w:szCs w:val="20"/>
              </w:rPr>
              <w:t xml:space="preserve">Just over half of post-refund customers are Detractors, the single clearest opportunity area in the dataset.</w:t>
            </w:r>
          </w:p>
        </w:tc>
      </w:tr>
    </w:tbl>
    <w:p>
      <w:r>
        <w:br w:type="page"/>
      </w:r>
    </w:p>
    <w:p>
      <w:pPr>
        <w:pStyle w:val="Heading1"/>
        <w:spacing w:after="160" w:before="360"/>
      </w:pPr>
      <w:r>
        <w:t xml:space="preserve">8. Business Recommendations</w:t>
      </w:r>
    </w:p>
    <w:p>
      <w:pPr>
        <w:spacing w:after="160" w:line="276"/>
      </w:pPr>
      <w:r>
        <w:rPr>
          <w:color w:val="262626"/>
          <w:sz w:val="22"/>
          <w:szCs w:val="22"/>
        </w:rPr>
        <w:t xml:space="preserve">Each recommendation below is grounded in a specific, verified finding from the dashboards, ranked by estimated business impact.</w:t>
      </w:r>
    </w:p>
    <w:p>
      <w:pPr>
        <w:pStyle w:val="Heading2"/>
        <w:spacing w:after="120" w:before="280"/>
      </w:pPr>
      <w:r>
        <w:t xml:space="preserve">Priority 1 (High Impact) — Marketing spend is not reliably driving revenue or ROI</w:t>
      </w:r>
    </w:p>
    <w:p>
      <w:pPr>
        <w:spacing w:after="160" w:line="276"/>
      </w:pPr>
      <w:r>
        <w:rPr>
          <w:color w:val="262626"/>
          <w:sz w:val="22"/>
          <w:szCs w:val="22"/>
        </w:rPr>
        <w:t xml:space="preserve">Evidence: budget size shows no relationship with revenue or ROI tier; roughly one in nine campaigns is unprofitable.</w:t>
      </w:r>
    </w:p>
    <w:p>
      <w:pPr>
        <w:pStyle w:val="ListParagraph"/>
        <w:numPr>
          <w:ilvl w:val="0"/>
          <w:numId w:val="1"/>
        </w:numPr>
        <w:spacing w:after="80"/>
      </w:pPr>
      <w:r>
        <w:rPr>
          <w:color w:val="262626"/>
          <w:sz w:val="22"/>
          <w:szCs w:val="22"/>
        </w:rPr>
        <w:t xml:space="preserve">Move budget allocation toward a test-and-learn framework: smaller, controlled increments per channel, measuring marginal ROI before scaling.</w:t>
      </w:r>
    </w:p>
    <w:p>
      <w:pPr>
        <w:pStyle w:val="ListParagraph"/>
        <w:numPr>
          <w:ilvl w:val="0"/>
          <w:numId w:val="1"/>
        </w:numPr>
        <w:spacing w:after="80"/>
      </w:pPr>
      <w:r>
        <w:rPr>
          <w:color w:val="262626"/>
          <w:sz w:val="22"/>
          <w:szCs w:val="22"/>
        </w:rPr>
        <w:t xml:space="preserve">Audit and pause the bottom-ROI decile of campaigns and reallocate that spend to the top-ROI quartile.</w:t>
      </w:r>
    </w:p>
    <w:p>
      <w:pPr>
        <w:pStyle w:val="ListParagraph"/>
        <w:numPr>
          <w:ilvl w:val="0"/>
          <w:numId w:val="1"/>
        </w:numPr>
        <w:spacing w:after="80"/>
      </w:pPr>
      <w:r>
        <w:rPr>
          <w:color w:val="262626"/>
          <w:sz w:val="22"/>
          <w:szCs w:val="22"/>
        </w:rPr>
        <w:t xml:space="preserve">Fix underlying tracking (Priority 3) before drawing further conclusions, since broken measurement can itself produce a flat relationship.</w:t>
      </w:r>
    </w:p>
    <w:p>
      <w:pPr>
        <w:pStyle w:val="Heading2"/>
        <w:spacing w:after="120" w:before="280"/>
      </w:pPr>
      <w:r>
        <w:t xml:space="preserve">Priority 2 (High Impact) — Discounting is not clearly earning incremental volume or satisfaction</w:t>
      </w:r>
    </w:p>
    <w:p>
      <w:pPr>
        <w:spacing w:after="160" w:line="276"/>
      </w:pPr>
      <w:r>
        <w:rPr>
          <w:color w:val="262626"/>
          <w:sz w:val="22"/>
          <w:szCs w:val="22"/>
        </w:rPr>
        <w:t xml:space="preserve">Evidence: discount depth shows no meaningful relationship with units sold or with post-refund satisfaction.</w:t>
      </w:r>
    </w:p>
    <w:p>
      <w:pPr>
        <w:pStyle w:val="ListParagraph"/>
        <w:numPr>
          <w:ilvl w:val="0"/>
          <w:numId w:val="1"/>
        </w:numPr>
        <w:spacing w:after="80"/>
      </w:pPr>
      <w:r>
        <w:rPr>
          <w:color w:val="262626"/>
          <w:sz w:val="22"/>
          <w:szCs w:val="22"/>
        </w:rPr>
        <w:t xml:space="preserve">Run a controlled discount-depth test (for example 10% vs. 30% vs. 50% on matched products) to establish a true causal relationship.</w:t>
      </w:r>
    </w:p>
    <w:p>
      <w:pPr>
        <w:pStyle w:val="ListParagraph"/>
        <w:numPr>
          <w:ilvl w:val="0"/>
          <w:numId w:val="1"/>
        </w:numPr>
        <w:spacing w:after="80"/>
      </w:pPr>
      <w:r>
        <w:rPr>
          <w:color w:val="262626"/>
          <w:sz w:val="22"/>
          <w:szCs w:val="22"/>
        </w:rPr>
        <w:t xml:space="preserve">Until that test is run, default flash-sale discounts to a moderate band rather than defaulting to deep discounts, to protect margin.</w:t>
      </w:r>
    </w:p>
    <w:p>
      <w:pPr>
        <w:pStyle w:val="Heading2"/>
        <w:spacing w:after="120" w:before="280"/>
      </w:pPr>
      <w:r>
        <w:t xml:space="preserve">Priority 3 (Medium–High Impact) — Marketing measurement and tracking integrity needs an audit</w:t>
      </w:r>
    </w:p>
    <w:p>
      <w:pPr>
        <w:spacing w:after="160" w:line="276"/>
      </w:pPr>
      <w:r>
        <w:rPr>
          <w:color w:val="262626"/>
          <w:sz w:val="22"/>
          <w:szCs w:val="22"/>
        </w:rPr>
        <w:t xml:space="preserve">Evidence: Conversions exceeds Clicks in a meaningful share of records, and several columns required verified sign/scale/offset corrections before analysis.</w:t>
      </w:r>
    </w:p>
    <w:p>
      <w:pPr>
        <w:pStyle w:val="ListParagraph"/>
        <w:numPr>
          <w:ilvl w:val="0"/>
          <w:numId w:val="1"/>
        </w:numPr>
        <w:spacing w:after="80"/>
      </w:pPr>
      <w:r>
        <w:rPr>
          <w:color w:val="262626"/>
          <w:sz w:val="22"/>
          <w:szCs w:val="22"/>
        </w:rPr>
        <w:t xml:space="preserve">Audit the campaign-tracking pipeline for the source of the click/conversion mismatch.</w:t>
      </w:r>
    </w:p>
    <w:p>
      <w:pPr>
        <w:pStyle w:val="ListParagraph"/>
        <w:numPr>
          <w:ilvl w:val="0"/>
          <w:numId w:val="1"/>
        </w:numPr>
        <w:spacing w:after="80"/>
      </w:pPr>
      <w:r>
        <w:rPr>
          <w:color w:val="262626"/>
          <w:sz w:val="22"/>
          <w:szCs w:val="22"/>
        </w:rPr>
        <w:t xml:space="preserve">Add automated range and logic validation at the point of ingestion (for example, Conversions ≤ Clicks, Discount_Level between 0 and 100).</w:t>
      </w:r>
    </w:p>
    <w:p>
      <w:pPr>
        <w:pStyle w:val="Heading2"/>
        <w:spacing w:after="120" w:before="280"/>
      </w:pPr>
      <w:r>
        <w:t xml:space="preserve">Priority 4 (Medium Impact) — Premium subscribers are not outperforming lower tiers</w:t>
      </w:r>
    </w:p>
    <w:p>
      <w:pPr>
        <w:spacing w:after="160" w:line="276"/>
      </w:pPr>
      <w:r>
        <w:rPr>
          <w:color w:val="262626"/>
          <w:sz w:val="22"/>
          <w:szCs w:val="22"/>
        </w:rPr>
        <w:t xml:space="preserve">Evidence: revenue, ROI, and satisfaction are nearly flat across Basic, Standard, and Premium tiers.</w:t>
      </w:r>
    </w:p>
    <w:p>
      <w:pPr>
        <w:pStyle w:val="ListParagraph"/>
        <w:numPr>
          <w:ilvl w:val="0"/>
          <w:numId w:val="1"/>
        </w:numPr>
        <w:spacing w:after="80"/>
      </w:pPr>
      <w:r>
        <w:rPr>
          <w:color w:val="262626"/>
          <w:sz w:val="22"/>
          <w:szCs w:val="22"/>
        </w:rPr>
        <w:t xml:space="preserve">Review what incremental benefits Premium actually delivers versus Basic, and reassess pricing or packaging if the differentiation is not translating into outcomes.</w:t>
      </w:r>
    </w:p>
    <w:p>
      <w:pPr>
        <w:pStyle w:val="ListParagraph"/>
        <w:numPr>
          <w:ilvl w:val="0"/>
          <w:numId w:val="1"/>
        </w:numPr>
        <w:spacing w:after="80"/>
      </w:pPr>
      <w:r>
        <w:rPr>
          <w:color w:val="262626"/>
          <w:sz w:val="22"/>
          <w:szCs w:val="22"/>
        </w:rPr>
        <w:t xml:space="preserve">Segment Premium customers further (tenure, product category) to check whether a stronger-performing sub-segment is hidden inside a flat tier-level average.</w:t>
      </w:r>
    </w:p>
    <w:p>
      <w:pPr>
        <w:pStyle w:val="Heading2"/>
        <w:spacing w:after="120" w:before="280"/>
      </w:pPr>
      <w:r>
        <w:t xml:space="preserve">Priority 5 (Medium Impact) — Post-refund satisfaction skews low for a meaningful share of customers</w:t>
      </w:r>
    </w:p>
    <w:p>
      <w:pPr>
        <w:spacing w:after="160" w:line="276"/>
      </w:pPr>
      <w:r>
        <w:rPr>
          <w:color w:val="262626"/>
          <w:sz w:val="22"/>
          <w:szCs w:val="22"/>
        </w:rPr>
        <w:t xml:space="preserve">Evidence: roughly half of post-refund satisfaction scores fall in the bottom half of the scale, regardless of tier, discount, or keyword.</w:t>
      </w:r>
    </w:p>
    <w:p>
      <w:pPr>
        <w:pStyle w:val="ListParagraph"/>
        <w:numPr>
          <w:ilvl w:val="0"/>
          <w:numId w:val="1"/>
        </w:numPr>
        <w:spacing w:after="80"/>
      </w:pPr>
      <w:r>
        <w:rPr>
          <w:color w:val="262626"/>
          <w:sz w:val="22"/>
          <w:szCs w:val="22"/>
        </w:rPr>
        <w:t xml:space="preserve">Treat the refund moment as a service-recovery opportunity: review turnaround time, communication, and friction immediately after a refund is processed.</w:t>
      </w:r>
    </w:p>
    <w:p>
      <w:pPr>
        <w:pStyle w:val="ListParagraph"/>
        <w:numPr>
          <w:ilvl w:val="0"/>
          <w:numId w:val="1"/>
        </w:numPr>
        <w:spacing w:after="80"/>
      </w:pPr>
      <w:r>
        <w:rPr>
          <w:color w:val="262626"/>
          <w:sz w:val="22"/>
          <w:szCs w:val="22"/>
        </w:rPr>
        <w:t xml:space="preserve">Set up closed-loop follow-up for customers who score in the bottom half post-refund, since they are already an elevated churn risk.</w:t>
      </w:r>
    </w:p>
    <w:p>
      <w:r>
        <w:br w:type="page"/>
      </w:r>
    </w:p>
    <w:p>
      <w:pPr>
        <w:pStyle w:val="Heading1"/>
        <w:spacing w:after="160" w:before="360"/>
      </w:pPr>
      <w:r>
        <w:t xml:space="preserve">9. Limitations &amp; Next Steps</w:t>
      </w:r>
    </w:p>
    <w:p>
      <w:pPr>
        <w:pStyle w:val="Heading2"/>
        <w:spacing w:after="120" w:before="280"/>
      </w:pPr>
      <w:r>
        <w:t xml:space="preserve">9.1 Limitations</w:t>
      </w:r>
    </w:p>
    <w:p>
      <w:pPr>
        <w:pStyle w:val="ListParagraph"/>
        <w:numPr>
          <w:ilvl w:val="0"/>
          <w:numId w:val="1"/>
        </w:numPr>
        <w:spacing w:after="80"/>
      </w:pPr>
      <w:r>
        <w:rPr>
          <w:color w:val="262626"/>
          <w:sz w:val="22"/>
          <w:szCs w:val="22"/>
        </w:rPr>
        <w:t xml:space="preserve">No time or date dimension: trend, seasonality, and before/after analysis are not possible with the current data.</w:t>
      </w:r>
    </w:p>
    <w:p>
      <w:pPr>
        <w:pStyle w:val="ListParagraph"/>
        <w:numPr>
          <w:ilvl w:val="0"/>
          <w:numId w:val="1"/>
        </w:numPr>
        <w:spacing w:after="80"/>
      </w:pPr>
      <w:r>
        <w:rPr>
          <w:color w:val="262626"/>
          <w:sz w:val="22"/>
          <w:szCs w:val="22"/>
        </w:rPr>
        <w:t xml:space="preserve">No causal design: all relationships reported are correlational. The consistently flat relationships found across budget, discount, tier, and satisfaction are a genuine finding, but cannot on their own prove that these levers have no effect — only that no linear association is present in this observational sample.</w:t>
      </w:r>
    </w:p>
    <w:p>
      <w:pPr>
        <w:pStyle w:val="ListParagraph"/>
        <w:numPr>
          <w:ilvl w:val="0"/>
          <w:numId w:val="1"/>
        </w:numPr>
        <w:spacing w:after="80"/>
      </w:pPr>
      <w:r>
        <w:rPr>
          <w:color w:val="262626"/>
          <w:sz w:val="22"/>
          <w:szCs w:val="22"/>
        </w:rPr>
        <w:t xml:space="preserve">The Conversions-vs-Clicks data-integrity issue (Section 4.4) means marketing-efficiency ratios should be read as directional until the underlying tracking is fixed.</w:t>
      </w:r>
    </w:p>
    <w:p>
      <w:pPr>
        <w:pStyle w:val="ListParagraph"/>
        <w:numPr>
          <w:ilvl w:val="0"/>
          <w:numId w:val="1"/>
        </w:numPr>
        <w:spacing w:after="80"/>
      </w:pPr>
      <w:r>
        <w:rPr>
          <w:color w:val="262626"/>
          <w:sz w:val="22"/>
          <w:szCs w:val="22"/>
        </w:rPr>
        <w:t xml:space="preserve">Small sub-segments (for example the very top discount band, which has a handful of records) should not be treated as statistically reliable on their own.</w:t>
      </w:r>
    </w:p>
    <w:p>
      <w:pPr>
        <w:pStyle w:val="ListParagraph"/>
        <w:numPr>
          <w:ilvl w:val="0"/>
          <w:numId w:val="1"/>
        </w:numPr>
        <w:spacing w:after="80"/>
      </w:pPr>
      <w:r>
        <w:rPr>
          <w:color w:val="262626"/>
          <w:sz w:val="22"/>
          <w:szCs w:val="22"/>
        </w:rPr>
        <w:t xml:space="preserve">Because campaign, subscription, flash-sale, bundle, and satisfaction data are combined into a single row per campaign, the identifier columns used to build the star schema are close to unique per record — a genuinely relational source system would allow more precise, multi-event customer and product analysis.</w:t>
      </w:r>
    </w:p>
    <w:p>
      <w:pPr>
        <w:pStyle w:val="Heading2"/>
        <w:spacing w:after="120" w:before="280"/>
      </w:pPr>
      <w:r>
        <w:t xml:space="preserve">9.2 Recommended Next Steps</w:t>
      </w:r>
    </w:p>
    <w:p>
      <w:pPr>
        <w:pStyle w:val="ListParagraph"/>
        <w:numPr>
          <w:ilvl w:val="0"/>
          <w:numId w:val="1"/>
        </w:numPr>
        <w:spacing w:after="80"/>
      </w:pPr>
      <w:r>
        <w:rPr>
          <w:color w:val="262626"/>
          <w:sz w:val="22"/>
          <w:szCs w:val="22"/>
        </w:rPr>
        <w:t xml:space="preserve">Add timestamps to every campaign, flash sale, and refund event, to enable trend and cohort analysis.</w:t>
      </w:r>
    </w:p>
    <w:p>
      <w:pPr>
        <w:pStyle w:val="ListParagraph"/>
        <w:numPr>
          <w:ilvl w:val="0"/>
          <w:numId w:val="1"/>
        </w:numPr>
        <w:spacing w:after="80"/>
      </w:pPr>
      <w:r>
        <w:rPr>
          <w:color w:val="262626"/>
          <w:sz w:val="22"/>
          <w:szCs w:val="22"/>
        </w:rPr>
        <w:t xml:space="preserve">Capture a clean, event-level click and conversion log (rather than pre-aggregated totals) to resolve the tracking-integrity issue and support precise funnel metrics.</w:t>
      </w:r>
    </w:p>
    <w:p>
      <w:pPr>
        <w:pStyle w:val="ListParagraph"/>
        <w:numPr>
          <w:ilvl w:val="0"/>
          <w:numId w:val="1"/>
        </w:numPr>
        <w:spacing w:after="80"/>
      </w:pPr>
      <w:r>
        <w:rPr>
          <w:color w:val="262626"/>
          <w:sz w:val="22"/>
          <w:szCs w:val="22"/>
        </w:rPr>
        <w:t xml:space="preserve">Capture customer-level history across multiple campaigns and purchases over time, to distinguish one-time performance from durable segment differences.</w:t>
      </w:r>
    </w:p>
    <w:p>
      <w:pPr>
        <w:pStyle w:val="ListParagraph"/>
        <w:numPr>
          <w:ilvl w:val="0"/>
          <w:numId w:val="1"/>
        </w:numPr>
        <w:spacing w:after="80"/>
      </w:pPr>
      <w:r>
        <w:rPr>
          <w:color w:val="262626"/>
          <w:sz w:val="22"/>
          <w:szCs w:val="22"/>
        </w:rPr>
        <w:t xml:space="preserve">Run controlled discount-depth and budget experiments to convert the correlational findings in this project into causal, decision-grade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A78D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&amp; Product Performance Analytics - Project Documentation</dc:title>
  <dc:creator>Data Analytics Team</dc:creator>
  <cp:lastModifiedBy>Un-named</cp:lastModifiedBy>
  <cp:revision>1</cp:revision>
  <dcterms:created xsi:type="dcterms:W3CDTF">2026-07-30T06:11:16.367Z</dcterms:created>
  <dcterms:modified xsi:type="dcterms:W3CDTF">2026-07-30T06:11:16.380Z</dcterms:modified>
</cp:coreProperties>
</file>

<file path=docProps/custom.xml><?xml version="1.0" encoding="utf-8"?>
<Properties xmlns="http://schemas.openxmlformats.org/officeDocument/2006/custom-properties" xmlns:vt="http://schemas.openxmlformats.org/officeDocument/2006/docPropsVTypes"/>
</file>