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sz w:val="36"/>
          <w:szCs w:val="36"/>
          <w:rtl w:val="0"/>
        </w:rPr>
        <w:t xml:space="preserve">Project Proposal</w:t>
      </w:r>
      <w:r w:rsidDel="00000000" w:rsidR="00000000" w:rsidRPr="00000000">
        <w:rPr>
          <w:rtl w:val="0"/>
        </w:rPr>
      </w:r>
    </w:p>
    <w:p w:rsidR="00000000" w:rsidDel="00000000" w:rsidP="00000000" w:rsidRDefault="00000000" w:rsidRPr="00000000" w14:paraId="00000002">
      <w:pPr>
        <w:spacing w:after="320" w:lineRule="auto"/>
        <w:jc w:val="center"/>
        <w:rPr>
          <w:color w:val="555555"/>
        </w:rPr>
      </w:pPr>
      <w:r w:rsidDel="00000000" w:rsidR="00000000" w:rsidRPr="00000000">
        <w:rPr>
          <w:color w:val="555555"/>
          <w:rtl w:val="0"/>
        </w:rPr>
        <w:t xml:space="preserve">Data Mining and Machine Learning Course • M.Sc. in Artificial Intelligence and Data Engineering</w:t>
      </w:r>
    </w:p>
    <w:p w:rsidR="00000000" w:rsidDel="00000000" w:rsidP="00000000" w:rsidRDefault="00000000" w:rsidRPr="00000000" w14:paraId="00000003">
      <w:pPr>
        <w:pBdr>
          <w:bottom w:color="2e5fa3" w:space="1" w:sz="6" w:val="single"/>
        </w:pBdr>
        <w:spacing w:after="240" w:lineRule="auto"/>
        <w:rPr/>
      </w:pPr>
      <w:r w:rsidDel="00000000" w:rsidR="00000000" w:rsidRPr="00000000">
        <w:rPr>
          <w:rtl w:val="0"/>
        </w:rPr>
      </w:r>
    </w:p>
    <w:tbl>
      <w:tblPr>
        <w:tblStyle w:val="Table1"/>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3"/>
        <w:gridCol w:w="3544"/>
        <w:gridCol w:w="1136"/>
        <w:gridCol w:w="3951"/>
        <w:tblGridChange w:id="0">
          <w:tblGrid>
            <w:gridCol w:w="1273"/>
            <w:gridCol w:w="3544"/>
            <w:gridCol w:w="1136"/>
            <w:gridCol w:w="395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sz w:val="20"/>
                <w:szCs w:val="20"/>
                <w:rtl w:val="0"/>
              </w:rPr>
              <w:t xml:space="preserve">Student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t xml:space="preserve">Mohammed Ragab Elsinousi, Abdalhady, 722876</w:t>
            </w:r>
          </w:p>
        </w:tc>
        <w:tc>
          <w:tcPr>
            <w:tcBorders>
              <w:top w:color="aaaaaa" w:space="0" w:sz="4" w:val="single"/>
              <w:left w:color="aaaaaa" w:space="0" w:sz="4" w:val="single"/>
              <w:bottom w:color="aaaaaa" w:space="0" w:sz="4" w:val="single"/>
              <w:right w:color="aaaaaa" w:space="0" w:sz="4" w:val="single"/>
            </w:tcBorders>
            <w:shd w:fill="eef2f7" w:val="clear"/>
          </w:tcPr>
          <w:p w:rsidR="00000000" w:rsidDel="00000000" w:rsidP="00000000" w:rsidRDefault="00000000" w:rsidRPr="00000000" w14:paraId="00000006">
            <w:pPr>
              <w:rPr>
                <w:color w:val="999999"/>
                <w:sz w:val="20"/>
                <w:szCs w:val="20"/>
              </w:rPr>
            </w:pPr>
            <w:r w:rsidDel="00000000" w:rsidR="00000000" w:rsidRPr="00000000">
              <w:rPr>
                <w:b w:val="1"/>
                <w:bCs w:val="1"/>
                <w:sz w:val="20"/>
                <w:szCs w:val="20"/>
                <w:rtl w:val="0"/>
              </w:rPr>
              <w:t xml:space="preserve">Student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07">
            <w:pPr>
              <w:rPr>
                <w:color w:val="999999"/>
              </w:rPr>
            </w:pPr>
            <w:r w:rsidDel="00000000" w:rsidR="00000000" w:rsidRPr="00000000">
              <w:rPr>
                <w:color w:val="000000"/>
                <w:rtl w:val="0"/>
              </w:rPr>
              <w:t xml:space="preserve">Ahmed, Zarrad, 722204</w:t>
            </w:r>
            <w:r w:rsidDel="00000000" w:rsidR="00000000" w:rsidRPr="00000000">
              <w:rPr>
                <w:rtl w:val="0"/>
              </w:rPr>
            </w:r>
          </w:p>
        </w:tc>
      </w:tr>
    </w:tbl>
    <w:p w:rsidR="00000000" w:rsidDel="00000000" w:rsidP="00000000" w:rsidRDefault="00000000" w:rsidRPr="00000000" w14:paraId="00000008">
      <w:pPr>
        <w:spacing w:after="80" w:before="200" w:lineRule="auto"/>
        <w:rPr/>
      </w:pPr>
      <w:r w:rsidDel="00000000" w:rsidR="00000000" w:rsidRPr="00000000">
        <w:rPr>
          <w:b w:val="1"/>
          <w:bCs w:val="1"/>
          <w:color w:val="2e5fa3"/>
          <w:sz w:val="24"/>
          <w:szCs w:val="24"/>
          <w:rtl w:val="0"/>
        </w:rPr>
        <w:t xml:space="preserve">1. Domain and Core Idea</w:t>
      </w:r>
      <w:r w:rsidDel="00000000" w:rsidR="00000000" w:rsidRPr="00000000">
        <w:rPr>
          <w:rtl w:val="0"/>
        </w:rPr>
      </w:r>
    </w:p>
    <w:tbl>
      <w:tblPr>
        <w:tblStyle w:val="Table2"/>
        <w:tblW w:w="99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8"/>
        <w:tblGridChange w:id="0">
          <w:tblGrid>
            <w:gridCol w:w="9938"/>
          </w:tblGrid>
        </w:tblGridChange>
      </w:tblGrid>
      <w:tr>
        <w:trPr>
          <w:cantSplit w:val="0"/>
          <w:trHeight w:val="226"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600.0" w:type="dxa"/>
              <w:right w:w="120.0" w:type="dxa"/>
            </w:tcMar>
          </w:tcPr>
          <w:p w:rsidR="00000000" w:rsidDel="00000000" w:rsidP="00000000" w:rsidRDefault="00000000" w:rsidRPr="00000000" w14:paraId="00000009">
            <w:pPr>
              <w:rPr/>
            </w:pPr>
            <w:r w:rsidDel="00000000" w:rsidR="00000000" w:rsidRPr="00000000">
              <w:rPr>
                <w:color w:val="000000"/>
                <w:sz w:val="20"/>
                <w:szCs w:val="20"/>
                <w:rtl w:val="0"/>
              </w:rPr>
              <w:t xml:space="preserve">This project focuses on the healthcare domain, specifically on the early detection of heart disease. The core idea is to develop a classification model that predicts whether a patient is likely to have heart disease based on clinical and demographic features. In addition to achieving high predictive accuracy, the project emphasizes model interpretability by applying Explainable AI techniques. This allows the model’s decisions to be transparent and understandable, which is essential in critical domains such as healthcare.</w:t>
            </w:r>
            <w:r w:rsidDel="00000000" w:rsidR="00000000" w:rsidRPr="00000000">
              <w:rPr>
                <w:rtl w:val="0"/>
              </w:rPr>
            </w:r>
          </w:p>
        </w:tc>
      </w:tr>
    </w:tbl>
    <w:p w:rsidR="00000000" w:rsidDel="00000000" w:rsidP="00000000" w:rsidRDefault="00000000" w:rsidRPr="00000000" w14:paraId="0000000A">
      <w:pPr>
        <w:spacing w:after="80" w:before="200" w:lineRule="auto"/>
        <w:rPr/>
      </w:pPr>
      <w:r w:rsidDel="00000000" w:rsidR="00000000" w:rsidRPr="00000000">
        <w:rPr>
          <w:b w:val="1"/>
          <w:bCs w:val="1"/>
          <w:color w:val="2e5fa3"/>
          <w:sz w:val="24"/>
          <w:szCs w:val="24"/>
          <w:rtl w:val="0"/>
        </w:rPr>
        <w:t xml:space="preserve">2. Dataset</w:t>
      </w:r>
      <w:r w:rsidDel="00000000" w:rsidR="00000000" w:rsidRPr="00000000">
        <w:rPr>
          <w:rtl w:val="0"/>
        </w:rPr>
      </w:r>
    </w:p>
    <w:tbl>
      <w:tblPr>
        <w:tblStyle w:val="Table3"/>
        <w:tblW w:w="9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7612"/>
        <w:tblGridChange w:id="0">
          <w:tblGrid>
            <w:gridCol w:w="2338"/>
            <w:gridCol w:w="7612"/>
          </w:tblGrid>
        </w:tblGridChange>
      </w:tblGrid>
      <w:tr>
        <w:trPr>
          <w:cantSplit w:val="0"/>
          <w:trHeight w:val="228" w:hRule="atLeast"/>
          <w:tblHeader w:val="0"/>
        </w:trPr>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C">
            <w:pPr>
              <w:rPr>
                <w:color w:val="000000"/>
              </w:rPr>
            </w:pPr>
            <w:r w:rsidDel="00000000" w:rsidR="00000000" w:rsidRPr="00000000">
              <w:rPr>
                <w:sz w:val="20"/>
                <w:szCs w:val="20"/>
                <w:rtl w:val="0"/>
              </w:rPr>
              <w:t xml:space="preserve">Heart Failure Prediction Dataset </w:t>
            </w:r>
            <w:r w:rsidDel="00000000" w:rsidR="00000000" w:rsidRPr="00000000">
              <w:rPr>
                <w:rtl w:val="0"/>
              </w:rPr>
            </w:r>
          </w:p>
        </w:tc>
      </w:tr>
      <w:tr>
        <w:trPr>
          <w:cantSplit w:val="0"/>
          <w:trHeight w:val="228" w:hRule="atLeast"/>
          <w:tblHeader w:val="0"/>
        </w:trPr>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sz w:val="20"/>
                <w:szCs w:val="20"/>
                <w:rtl w:val="0"/>
              </w:rPr>
              <w:t xml:space="preserve">Source / 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E">
            <w:pPr>
              <w:rPr>
                <w:color w:val="000000"/>
              </w:rPr>
            </w:pPr>
            <w:hyperlink r:id="rId7">
              <w:r w:rsidDel="00000000" w:rsidR="00000000" w:rsidRPr="00000000">
                <w:rPr>
                  <w:color w:val="1155cc"/>
                  <w:u w:val="single"/>
                  <w:rtl w:val="0"/>
                </w:rPr>
                <w:t xml:space="preserve">https://www.kaggle.com/datasets/fedesoriano/heart-failure-prediction</w:t>
              </w:r>
            </w:hyperlink>
            <w:r w:rsidDel="00000000" w:rsidR="00000000" w:rsidRPr="00000000">
              <w:rPr>
                <w:rtl w:val="0"/>
              </w:rPr>
              <w:t xml:space="preserve"> </w:t>
            </w:r>
            <w:r w:rsidDel="00000000" w:rsidR="00000000" w:rsidRPr="00000000">
              <w:rPr>
                <w:rtl w:val="0"/>
              </w:rPr>
            </w:r>
          </w:p>
        </w:tc>
      </w:tr>
      <w:tr>
        <w:trPr>
          <w:cantSplit w:val="0"/>
          <w:trHeight w:val="1764.84375" w:hRule="atLeast"/>
          <w:tblHeader w:val="0"/>
        </w:trPr>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0">
            <w:pPr>
              <w:rPr>
                <w:color w:val="000000"/>
              </w:rPr>
            </w:pPr>
            <w:r w:rsidDel="00000000" w:rsidR="00000000" w:rsidRPr="00000000">
              <w:rPr>
                <w:sz w:val="20"/>
                <w:szCs w:val="20"/>
                <w:rtl w:val="0"/>
              </w:rPr>
              <w:t xml:space="preserve">This dataset combines five different cardiovascular datasets (Cleveland, Hungarian, Switzerland, Long Beach VA, and Stalog). It contains 918 patient observations and 12 clinical features (such as age, sex, resting blood pressure, cholesterol, and maximum heart rate). The target variable is binary, indicating the presence (1) or absence (0) of heart disease. </w:t>
            </w:r>
            <w:r w:rsidDel="00000000" w:rsidR="00000000" w:rsidRPr="00000000">
              <w:rPr>
                <w:rtl w:val="0"/>
              </w:rPr>
            </w:r>
          </w:p>
        </w:tc>
      </w:tr>
    </w:tbl>
    <w:p w:rsidR="00000000" w:rsidDel="00000000" w:rsidP="00000000" w:rsidRDefault="00000000" w:rsidRPr="00000000" w14:paraId="00000011">
      <w:pPr>
        <w:spacing w:after="80" w:before="200" w:lineRule="auto"/>
        <w:rPr/>
      </w:pPr>
      <w:r w:rsidDel="00000000" w:rsidR="00000000" w:rsidRPr="00000000">
        <w:rPr>
          <w:b w:val="1"/>
          <w:bCs w:val="1"/>
          <w:color w:val="2e5fa3"/>
          <w:sz w:val="24"/>
          <w:szCs w:val="24"/>
          <w:rtl w:val="0"/>
        </w:rPr>
        <w:t xml:space="preserve">3. ML Tasks</w:t>
      </w:r>
      <w:r w:rsidDel="00000000" w:rsidR="00000000" w:rsidRPr="00000000">
        <w:rPr>
          <w:rtl w:val="0"/>
        </w:rPr>
      </w:r>
    </w:p>
    <w:tbl>
      <w:tblPr>
        <w:tblStyle w:val="Table4"/>
        <w:tblW w:w="9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50"/>
        <w:tblGridChange w:id="0">
          <w:tblGrid>
            <w:gridCol w:w="9950"/>
          </w:tblGrid>
        </w:tblGridChange>
      </w:tblGrid>
      <w:tr>
        <w:trPr>
          <w:cantSplit w:val="0"/>
          <w:trHeight w:val="46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400.0" w:type="dxa"/>
              <w:right w:w="120.0" w:type="dxa"/>
            </w:tcMar>
          </w:tcPr>
          <w:p w:rsidR="00000000" w:rsidDel="00000000" w:rsidP="00000000" w:rsidRDefault="00000000" w:rsidRPr="00000000" w14:paraId="00000012">
            <w:pPr>
              <w:rPr>
                <w:color w:val="000000"/>
                <w:sz w:val="20"/>
                <w:szCs w:val="20"/>
              </w:rPr>
            </w:pPr>
            <w:r w:rsidDel="00000000" w:rsidR="00000000" w:rsidRPr="00000000">
              <w:rPr>
                <w:sz w:val="20"/>
                <w:szCs w:val="20"/>
                <w:rtl w:val="0"/>
              </w:rPr>
              <w:t xml:space="preserve">Data preprocessing, Classification, Comparative analysis, Explainable AI.</w:t>
            </w:r>
            <w:r w:rsidDel="00000000" w:rsidR="00000000" w:rsidRPr="00000000">
              <w:rPr>
                <w:rtl w:val="0"/>
              </w:rPr>
            </w:r>
          </w:p>
        </w:tc>
      </w:tr>
    </w:tbl>
    <w:p w:rsidR="00000000" w:rsidDel="00000000" w:rsidP="00000000" w:rsidRDefault="00000000" w:rsidRPr="00000000" w14:paraId="00000013">
      <w:pPr>
        <w:spacing w:after="80" w:before="200" w:lineRule="auto"/>
        <w:rPr/>
      </w:pPr>
      <w:r w:rsidDel="00000000" w:rsidR="00000000" w:rsidRPr="00000000">
        <w:rPr>
          <w:b w:val="1"/>
          <w:bCs w:val="1"/>
          <w:color w:val="2e5fa3"/>
          <w:sz w:val="24"/>
          <w:szCs w:val="24"/>
          <w:rtl w:val="0"/>
        </w:rPr>
        <w:t xml:space="preserve">4. Motivation</w:t>
      </w:r>
      <w:r w:rsidDel="00000000" w:rsidR="00000000" w:rsidRPr="00000000">
        <w:rPr>
          <w:rtl w:val="0"/>
        </w:rPr>
      </w:r>
    </w:p>
    <w:tbl>
      <w:tblPr>
        <w:tblStyle w:val="Table5"/>
        <w:tblW w:w="99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3"/>
        <w:tblGridChange w:id="0">
          <w:tblGrid>
            <w:gridCol w:w="9973"/>
          </w:tblGrid>
        </w:tblGridChange>
      </w:tblGrid>
      <w:tr>
        <w:trPr>
          <w:cantSplit w:val="0"/>
          <w:trHeight w:val="522"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600.0" w:type="dxa"/>
              <w:right w:w="120.0" w:type="dxa"/>
            </w:tcMar>
          </w:tcPr>
          <w:p w:rsidR="00000000" w:rsidDel="00000000" w:rsidP="00000000" w:rsidRDefault="00000000" w:rsidRPr="00000000" w14:paraId="00000014">
            <w:pPr>
              <w:spacing w:after="240" w:lineRule="auto"/>
              <w:rPr>
                <w:sz w:val="20"/>
                <w:szCs w:val="20"/>
              </w:rPr>
            </w:pPr>
            <w:r w:rsidDel="00000000" w:rsidR="00000000" w:rsidRPr="00000000">
              <w:rPr>
                <w:sz w:val="20"/>
                <w:szCs w:val="20"/>
                <w:rtl w:val="0"/>
              </w:rPr>
              <w:t xml:space="preserve">Cardiovascular diseases remain one of the leading causes of death globally, making accurate and early diagnosis highly important. This combined dataset provides a robust and practical benchmark for applying machine learning in a real-world medical context.</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The main goal of this project is not only to build an accurate predictive model but also to ensure that the model is interpretable and trustworthy. In healthcare applications, understanding why a model makes a certain prediction is as important as the prediction itself. Therefore, Explainable AI techniques such as SHAP will be used within a web interface to provide doctors with visual insights into feature importance and individual predictions.</w:t>
            </w:r>
          </w:p>
          <w:p w:rsidR="00000000" w:rsidDel="00000000" w:rsidP="00000000" w:rsidRDefault="00000000" w:rsidRPr="00000000" w14:paraId="00000016">
            <w:pPr>
              <w:spacing w:after="240" w:before="240" w:lineRule="auto"/>
              <w:rPr>
                <w:color w:val="999999"/>
                <w:sz w:val="20"/>
                <w:szCs w:val="20"/>
              </w:rPr>
            </w:pPr>
            <w:r w:rsidDel="00000000" w:rsidR="00000000" w:rsidRPr="00000000">
              <w:rPr>
                <w:sz w:val="20"/>
                <w:szCs w:val="20"/>
                <w:rtl w:val="0"/>
              </w:rPr>
              <w:t xml:space="preserve">Previous research on similar data has reported classification accuracies typically ranging between 80% and 90%. In this project, we aim to achieve highly reliable performance by applying rigorous K-Fold Cross-Validation, thorough data preprocessing, and hyperparameter tuning. Instead of just replicating existing pipelines, we will focus on combining performance optimization with a usable, interpretable application, providing a practical solution for medical decision support</w:t>
            </w:r>
            <w:r w:rsidDel="00000000" w:rsidR="00000000" w:rsidRPr="00000000">
              <w:rPr>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17">
      <w:pPr>
        <w:pBdr>
          <w:top w:color="aaaaaa" w:space="1" w:sz="4" w:val="single"/>
        </w:pBdr>
        <w:spacing w:before="240" w:lineRule="auto"/>
        <w:jc w:val="center"/>
        <w:rPr>
          <w:b w:val="1"/>
          <w:bCs w:val="1"/>
        </w:rPr>
      </w:pPr>
      <w:r w:rsidDel="00000000" w:rsidR="00000000" w:rsidRPr="00000000">
        <w:rPr>
          <w:b w:val="1"/>
          <w:bCs w:val="1"/>
          <w:color w:val="888888"/>
          <w:sz w:val="16"/>
          <w:szCs w:val="16"/>
          <w:rtl w:val="0"/>
        </w:rPr>
        <w:t xml:space="preserve">This proposal must not exceed one page. Do not modify font size and page margins. Submit via the course Elearn page.</w:t>
      </w:r>
      <w:r w:rsidDel="00000000" w:rsidR="00000000" w:rsidRPr="00000000">
        <w:rPr>
          <w:rtl w:val="0"/>
        </w:rPr>
      </w:r>
    </w:p>
    <w:sectPr>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fedesoriano/heart-failure-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nSNEMuBMEzVui31bd+DLvId8A==">CgMxLjA4AHIhMXVmS3QzTmE5Nmt0WGtIVVdiUG96ZjdvTFFzT2Q5RUNW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