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43BD" w14:textId="77777777" w:rsidR="000F01AE" w:rsidRDefault="000F01AE" w:rsidP="000F01AE">
      <w:pPr>
        <w:pStyle w:val="Heading2"/>
      </w:pPr>
      <w:r>
        <w:rPr>
          <w:rtl/>
        </w:rPr>
        <w:t>اسم المشروع</w:t>
      </w:r>
    </w:p>
    <w:p w14:paraId="240BA160" w14:textId="77777777" w:rsidR="000F01AE" w:rsidRPr="000F01AE" w:rsidRDefault="000F01AE" w:rsidP="000F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تحليل أداء المبيعات والمخزون لقطاع التجزئة</w:t>
      </w:r>
    </w:p>
    <w:p w14:paraId="6D3AAD20" w14:textId="77777777" w:rsidR="000F01AE" w:rsidRPr="000F01AE" w:rsidRDefault="000F01AE" w:rsidP="000F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</w:rPr>
        <w:pict w14:anchorId="3CDE70E0">
          <v:rect id="_x0000_i1025" style="width:0;height:1.5pt" o:hralign="center" o:hrstd="t" o:hr="t" fillcolor="#a0a0a0" stroked="f"/>
        </w:pict>
      </w:r>
    </w:p>
    <w:p w14:paraId="7F1088E0" w14:textId="77777777" w:rsidR="000F01AE" w:rsidRPr="000F01AE" w:rsidRDefault="000F01AE" w:rsidP="000F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1A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هدف المشروع</w:t>
      </w:r>
    </w:p>
    <w:p w14:paraId="385FFB14" w14:textId="77777777" w:rsidR="000F01AE" w:rsidRPr="000F01AE" w:rsidRDefault="000F01AE" w:rsidP="000F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يهدف هذا المشروع إلى تقديم رؤية تنفيذية شاملة عن أداء المبيعات، الربحية، الفئات المختلفة، ومخاطر المخزون، وذلك لدعم متخذي القرار في تحسين التخطيط التشغيلي، إدارة المخزون، وتعظيم الربحية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2FF1ED" w14:textId="77777777" w:rsidR="000F01AE" w:rsidRPr="000F01AE" w:rsidRDefault="000F01AE" w:rsidP="000F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</w:rPr>
        <w:pict w14:anchorId="3C9D13B9">
          <v:rect id="_x0000_i1026" style="width:0;height:1.5pt" o:hralign="center" o:hrstd="t" o:hr="t" fillcolor="#a0a0a0" stroked="f"/>
        </w:pict>
      </w:r>
    </w:p>
    <w:p w14:paraId="2B60EBC3" w14:textId="77777777" w:rsidR="000F01AE" w:rsidRPr="000F01AE" w:rsidRDefault="000F01AE" w:rsidP="000F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1A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نطاق البيانات</w:t>
      </w:r>
    </w:p>
    <w:p w14:paraId="40416970" w14:textId="77777777" w:rsidR="000F01AE" w:rsidRPr="000F01AE" w:rsidRDefault="000F01AE" w:rsidP="000F0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يعتمد التحليل على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76C01C" w14:textId="77777777" w:rsidR="000F01AE" w:rsidRPr="000F01AE" w:rsidRDefault="000F01AE" w:rsidP="000F0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معاملات المبيعات اليومية</w:t>
      </w:r>
    </w:p>
    <w:p w14:paraId="6EB4C484" w14:textId="77777777" w:rsidR="000F01AE" w:rsidRPr="000F01AE" w:rsidRDefault="000F01AE" w:rsidP="000F0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بيانات المنتجات والفئات</w:t>
      </w:r>
    </w:p>
    <w:p w14:paraId="27E3EDB2" w14:textId="77777777" w:rsidR="000F01AE" w:rsidRPr="000F01AE" w:rsidRDefault="000F01AE" w:rsidP="000F0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بيانات المتاجر والمدن</w:t>
      </w:r>
    </w:p>
    <w:p w14:paraId="6E22954F" w14:textId="77777777" w:rsidR="000F01AE" w:rsidRPr="000F01AE" w:rsidRDefault="000F01AE" w:rsidP="000F0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لقطات المخزون الدورية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 xml:space="preserve"> (Inventory Snapshots)</w:t>
      </w:r>
    </w:p>
    <w:p w14:paraId="3FC6FB20" w14:textId="77777777" w:rsidR="000F01AE" w:rsidRPr="000F01AE" w:rsidRDefault="000F01AE" w:rsidP="000F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</w:rPr>
        <w:pict w14:anchorId="710A6B95">
          <v:rect id="_x0000_i1027" style="width:0;height:1.5pt" o:hralign="center" o:hrstd="t" o:hr="t" fillcolor="#a0a0a0" stroked="f"/>
        </w:pict>
      </w:r>
    </w:p>
    <w:p w14:paraId="4F9CC52E" w14:textId="77777777" w:rsidR="000F01AE" w:rsidRPr="000F01AE" w:rsidRDefault="000F01AE" w:rsidP="000F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1A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 النتائج</w:t>
      </w:r>
      <w:r w:rsidRPr="000F01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(Key Insights)</w:t>
      </w:r>
    </w:p>
    <w:p w14:paraId="4C454549" w14:textId="77777777" w:rsidR="000F01AE" w:rsidRPr="000F01AE" w:rsidRDefault="000F01AE" w:rsidP="000F0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أظهر الأداء المالي نموًا قويًا مع تجاوز الإيرادات وهوامش الربح للأهداف المحددة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7FD79D" w14:textId="77777777" w:rsidR="000F01AE" w:rsidRPr="000F01AE" w:rsidRDefault="000F01AE" w:rsidP="000F0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عدد المعاملات أقل من المستهدف رغم الأداء المالي الإيجابي، مما يشير إلى فرصة لتحسين التسعير أو استراتيجيات الجذب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7F708F" w14:textId="77777777" w:rsidR="000F01AE" w:rsidRPr="000F01AE" w:rsidRDefault="000F01AE" w:rsidP="000F0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يوجد تفاوت واضح بين الفئات من حيث الإيرادات والربحية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0E0593" w14:textId="77777777" w:rsidR="000F01AE" w:rsidRPr="000F01AE" w:rsidRDefault="000F01AE" w:rsidP="000F0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مخاطر المخزون مركزة في فئات ومنتجات محددة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F8BA56" w14:textId="77777777" w:rsidR="000F01AE" w:rsidRPr="000F01AE" w:rsidRDefault="000F01AE" w:rsidP="000F0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معدلات نفاد المخزون منخفضة حاليًا، لكنها تتطلب متابعة استباقية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11383B" w14:textId="77777777" w:rsidR="000F01AE" w:rsidRPr="000F01AE" w:rsidRDefault="000F01AE" w:rsidP="000F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</w:rPr>
        <w:pict w14:anchorId="37CE28FE">
          <v:rect id="_x0000_i1028" style="width:0;height:1.5pt" o:hralign="center" o:hrstd="t" o:hr="t" fillcolor="#a0a0a0" stroked="f"/>
        </w:pict>
      </w:r>
    </w:p>
    <w:p w14:paraId="2FA6F1BF" w14:textId="77777777" w:rsidR="000F01AE" w:rsidRPr="000F01AE" w:rsidRDefault="000F01AE" w:rsidP="000F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1A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نقاط القوة</w:t>
      </w:r>
    </w:p>
    <w:p w14:paraId="3294FCB6" w14:textId="77777777" w:rsidR="000F01AE" w:rsidRPr="000F01AE" w:rsidRDefault="000F01AE" w:rsidP="000F0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نمو قوي في الإيرادات والربحية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AFAECE" w14:textId="77777777" w:rsidR="000F01AE" w:rsidRPr="000F01AE" w:rsidRDefault="000F01AE" w:rsidP="000F0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رؤية واضحة لأداء الفئات والمنتجات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D1E2C3" w14:textId="77777777" w:rsidR="000F01AE" w:rsidRPr="000F01AE" w:rsidRDefault="000F01AE" w:rsidP="000F0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انخفاض معدل نفاد المخزون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F52915" w14:textId="77777777" w:rsidR="000F01AE" w:rsidRPr="000F01AE" w:rsidRDefault="000F01AE" w:rsidP="000F0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مؤشرات أداء رئيسية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 xml:space="preserve"> (KPIs) </w:t>
      </w: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مرتبطة مباشرة بالأهداف التجارية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35E717" w14:textId="77777777" w:rsidR="000F01AE" w:rsidRPr="000F01AE" w:rsidRDefault="000F01AE" w:rsidP="000F0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وجود مؤشرات واضحة لمخاطر المخزون تساعد على اتخاذ قرارات سريعة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EF3CBD" w14:textId="77777777" w:rsidR="000F01AE" w:rsidRPr="000F01AE" w:rsidRDefault="000F01AE" w:rsidP="000F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</w:rPr>
        <w:pict w14:anchorId="7B076778">
          <v:rect id="_x0000_i1029" style="width:0;height:1.5pt" o:hralign="center" o:hrstd="t" o:hr="t" fillcolor="#a0a0a0" stroked="f"/>
        </w:pict>
      </w:r>
    </w:p>
    <w:p w14:paraId="0EFA0145" w14:textId="77777777" w:rsidR="000F01AE" w:rsidRPr="000F01AE" w:rsidRDefault="000F01AE" w:rsidP="000F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1A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نقاط الضعف / المخاطر</w:t>
      </w:r>
    </w:p>
    <w:p w14:paraId="280F690B" w14:textId="77777777" w:rsidR="000F01AE" w:rsidRPr="000F01AE" w:rsidRDefault="000F01AE" w:rsidP="000F0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انخفاض عدد المعاملات عن المستوى المستهدف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3D8E94" w14:textId="77777777" w:rsidR="000F01AE" w:rsidRPr="000F01AE" w:rsidRDefault="000F01AE" w:rsidP="000F0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تركّز مخاطر المخزون في منتجات محددة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93BDD3" w14:textId="77777777" w:rsidR="000F01AE" w:rsidRPr="000F01AE" w:rsidRDefault="000F01AE" w:rsidP="000F0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اعتماد نسبي على الفئات الأعلى أداءً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E61D72" w14:textId="77777777" w:rsidR="000F01AE" w:rsidRPr="000F01AE" w:rsidRDefault="000F01AE" w:rsidP="000F0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الحاجة إلى مراجعة نقاط إعادة الطلب لبعض المنتجات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04776E" w14:textId="77777777" w:rsidR="000F01AE" w:rsidRPr="000F01AE" w:rsidRDefault="000F01AE" w:rsidP="000F0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</w:rPr>
        <w:pict w14:anchorId="66196692">
          <v:rect id="_x0000_i1030" style="width:0;height:1.5pt" o:hralign="center" o:hrstd="t" o:hr="t" fillcolor="#a0a0a0" stroked="f"/>
        </w:pict>
      </w:r>
    </w:p>
    <w:p w14:paraId="056688B6" w14:textId="77777777" w:rsidR="000F01AE" w:rsidRPr="000F01AE" w:rsidRDefault="000F01AE" w:rsidP="000F0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1A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التوصيات</w:t>
      </w:r>
    </w:p>
    <w:p w14:paraId="4997681D" w14:textId="77777777" w:rsidR="000F01AE" w:rsidRPr="000F01AE" w:rsidRDefault="000F01AE" w:rsidP="000F0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تحسين استراتيجيات التسعير والعروض الترويجية لزيادة عدد المعاملات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81EAA3" w14:textId="77777777" w:rsidR="000F01AE" w:rsidRPr="000F01AE" w:rsidRDefault="000F01AE" w:rsidP="000F0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إعطاء أولوية فورية لإعادة الطلب للمنتجات المصنفة عالية المخاطر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1361B5" w14:textId="77777777" w:rsidR="000F01AE" w:rsidRPr="000F01AE" w:rsidRDefault="000F01AE" w:rsidP="000F0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إعادة ضبط نقاط إعادة الطلب بناءً على سرعة دوران المنتجات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982536" w14:textId="77777777" w:rsidR="000F01AE" w:rsidRPr="000F01AE" w:rsidRDefault="000F01AE" w:rsidP="000F0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زيادة الاستثمار في الفئات ذات الهوامش الربحية المرتفعة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D854E6" w14:textId="77777777" w:rsidR="000F01AE" w:rsidRPr="000F01AE" w:rsidRDefault="000F01AE" w:rsidP="000F0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1AE">
        <w:rPr>
          <w:rFonts w:ascii="Times New Roman" w:eastAsia="Times New Roman" w:hAnsi="Times New Roman" w:cs="Times New Roman"/>
          <w:sz w:val="24"/>
          <w:szCs w:val="24"/>
          <w:rtl/>
        </w:rPr>
        <w:t>التحول من المتابعة التفاعلية إلى الإدارة الاستباقية لمخاطر المخزون</w:t>
      </w:r>
      <w:r w:rsidRPr="000F01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30AAEB" w14:textId="77777777" w:rsidR="008131F5" w:rsidRDefault="008131F5"/>
    <w:sectPr w:rsidR="008131F5" w:rsidSect="000F01AE">
      <w:pgSz w:w="12240" w:h="15840" w:code="1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3FCA"/>
    <w:multiLevelType w:val="multilevel"/>
    <w:tmpl w:val="EC3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23593"/>
    <w:multiLevelType w:val="multilevel"/>
    <w:tmpl w:val="F3B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67C0C"/>
    <w:multiLevelType w:val="multilevel"/>
    <w:tmpl w:val="7BD4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04283"/>
    <w:multiLevelType w:val="multilevel"/>
    <w:tmpl w:val="A44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40179"/>
    <w:multiLevelType w:val="multilevel"/>
    <w:tmpl w:val="6F8A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1E"/>
    <w:rsid w:val="000F01AE"/>
    <w:rsid w:val="0018131E"/>
    <w:rsid w:val="00490C8E"/>
    <w:rsid w:val="007A06AE"/>
    <w:rsid w:val="0081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0E6D7"/>
  <w15:chartTrackingRefBased/>
  <w15:docId w15:val="{D1F36E19-FF89-4D3A-A739-67560827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01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01A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F0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01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4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Zayed</dc:creator>
  <cp:keywords/>
  <dc:description/>
  <cp:lastModifiedBy>Ahmed Zayed</cp:lastModifiedBy>
  <cp:revision>3</cp:revision>
  <dcterms:created xsi:type="dcterms:W3CDTF">2025-12-28T11:40:00Z</dcterms:created>
  <dcterms:modified xsi:type="dcterms:W3CDTF">2025-12-28T11:42:00Z</dcterms:modified>
</cp:coreProperties>
</file>