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A7C74" w14:textId="77777777" w:rsidR="00630DC2" w:rsidRPr="00630DC2" w:rsidRDefault="00630DC2" w:rsidP="00630DC2">
      <w:pPr>
        <w:rPr>
          <w:b/>
          <w:bCs/>
        </w:rPr>
      </w:pPr>
      <w:r w:rsidRPr="00630DC2">
        <w:rPr>
          <w:b/>
          <w:bCs/>
        </w:rPr>
        <w:t>Financial Analysis Report: Apple Inc. (2021-2025)</w:t>
      </w:r>
    </w:p>
    <w:p w14:paraId="022544C3" w14:textId="77777777" w:rsidR="00630DC2" w:rsidRPr="00630DC2" w:rsidRDefault="00630DC2" w:rsidP="00630DC2">
      <w:pPr>
        <w:rPr>
          <w:b/>
          <w:bCs/>
        </w:rPr>
      </w:pPr>
      <w:r w:rsidRPr="00630DC2">
        <w:rPr>
          <w:b/>
          <w:bCs/>
        </w:rPr>
        <w:t>1. Executive Summary</w:t>
      </w:r>
    </w:p>
    <w:p w14:paraId="6ACB9F6A" w14:textId="77777777" w:rsidR="00630DC2" w:rsidRPr="00630DC2" w:rsidRDefault="00630DC2" w:rsidP="00630DC2">
      <w:r w:rsidRPr="00630DC2">
        <w:t>Apple Inc. continues to demonstrate exceptional financial strength, characterized by industry-leading profitability margins and highly efficient capital allocation. Despite global economic fluctuations, Apple maintains its status as a premier "cash-generating machine," driven by its powerful ecosystem and premium brand positioning.</w:t>
      </w:r>
    </w:p>
    <w:p w14:paraId="20AF96A7" w14:textId="77777777" w:rsidR="00630DC2" w:rsidRPr="00630DC2" w:rsidRDefault="00630DC2" w:rsidP="00630DC2">
      <w:pPr>
        <w:rPr>
          <w:b/>
          <w:bCs/>
        </w:rPr>
      </w:pPr>
      <w:r w:rsidRPr="00630DC2">
        <w:rPr>
          <w:b/>
          <w:bCs/>
        </w:rPr>
        <w:t>2. Deep Dive Analysis: Apple Inc.</w:t>
      </w:r>
    </w:p>
    <w:p w14:paraId="0B3359DD" w14:textId="0D0B5F0D" w:rsidR="00630DC2" w:rsidRPr="00630DC2" w:rsidRDefault="00630DC2" w:rsidP="00630DC2">
      <w:r>
        <w:rPr>
          <w:rFonts w:hint="cs"/>
          <w:b/>
          <w:bCs/>
          <w:rtl/>
        </w:rPr>
        <w:t>3</w:t>
      </w:r>
      <w:r w:rsidRPr="00630DC2">
        <w:rPr>
          <w:b/>
          <w:bCs/>
        </w:rPr>
        <w:t>. Profitability &amp; Growth</w:t>
      </w:r>
      <w:r w:rsidRPr="00630DC2">
        <w:t xml:space="preserve"> Apple showcases superior financial health, boasting a significant </w:t>
      </w:r>
      <w:r w:rsidRPr="00630DC2">
        <w:rPr>
          <w:b/>
          <w:bCs/>
        </w:rPr>
        <w:t>Net Profit Margin of 25.49%</w:t>
      </w:r>
      <w:r w:rsidRPr="00630DC2">
        <w:t xml:space="preserve">. This metric far outpaces the broader tech sector, highlighting Apple’s pricing power and the high-margin nature of its services division (App Store, iCloud, Music). Furthermore, the </w:t>
      </w:r>
      <w:r w:rsidRPr="00630DC2">
        <w:rPr>
          <w:b/>
          <w:bCs/>
        </w:rPr>
        <w:t>Return on Assets (ROA) at 27.93%</w:t>
      </w:r>
      <w:r w:rsidRPr="00630DC2">
        <w:t xml:space="preserve"> underscores the management's remarkable efficiency in generating profit from its total asset base.</w:t>
      </w:r>
    </w:p>
    <w:p w14:paraId="4C0B3AEB" w14:textId="20605819" w:rsidR="00630DC2" w:rsidRPr="00630DC2" w:rsidRDefault="00630DC2" w:rsidP="00630DC2">
      <w:r>
        <w:rPr>
          <w:rFonts w:hint="cs"/>
          <w:b/>
          <w:bCs/>
          <w:rtl/>
        </w:rPr>
        <w:t>4</w:t>
      </w:r>
      <w:r w:rsidRPr="00630DC2">
        <w:rPr>
          <w:b/>
          <w:bCs/>
        </w:rPr>
        <w:t>. Liquidity &amp; Risk Management</w:t>
      </w:r>
      <w:r w:rsidRPr="00630DC2">
        <w:t xml:space="preserve"> Apple maintains a </w:t>
      </w:r>
      <w:r w:rsidRPr="00630DC2">
        <w:rPr>
          <w:b/>
          <w:bCs/>
        </w:rPr>
        <w:t>Current Ratio of approximately 93.21%</w:t>
      </w:r>
      <w:r w:rsidRPr="00630DC2">
        <w:t>. While this ratio appears slightly below the traditional 100% threshold, it does not signal financial distress for a company of Apple's stature. Instead, it reflects an intentional financial policy: Apple consistently utilizes excess cash for shareholder-friendly activities—such as aggressive stock buybacks and dividend distributions—rather than holding onto stagnant liquidity. The firm’s ability to generate immense daily operational cash flow makes this lean liquidity strategy a calculated and safe risk management approach.</w:t>
      </w:r>
    </w:p>
    <w:p w14:paraId="65E015B9" w14:textId="18006677" w:rsidR="00630DC2" w:rsidRPr="00630DC2" w:rsidRDefault="00630DC2" w:rsidP="00630DC2">
      <w:r>
        <w:rPr>
          <w:rFonts w:hint="cs"/>
          <w:b/>
          <w:bCs/>
          <w:rtl/>
        </w:rPr>
        <w:t>5</w:t>
      </w:r>
      <w:r w:rsidRPr="00630DC2">
        <w:rPr>
          <w:b/>
          <w:bCs/>
        </w:rPr>
        <w:t>. Asset Efficiency</w:t>
      </w:r>
      <w:r w:rsidRPr="00630DC2">
        <w:t xml:space="preserve"> Apple’s asset efficiency analysis reveals a model that achieves massive net income relative to its asset base. By maintaining a strong balance between </w:t>
      </w:r>
      <w:r w:rsidRPr="00630DC2">
        <w:rPr>
          <w:b/>
          <w:bCs/>
        </w:rPr>
        <w:t>Current Assets (715bn)</w:t>
      </w:r>
      <w:r w:rsidRPr="00630DC2">
        <w:t xml:space="preserve"> and </w:t>
      </w:r>
      <w:r w:rsidRPr="00630DC2">
        <w:rPr>
          <w:b/>
          <w:bCs/>
        </w:rPr>
        <w:t>Current Liabilities (767bn)</w:t>
      </w:r>
      <w:r w:rsidRPr="00630DC2">
        <w:t>, Apple exhibits a sophisticated ability to manage short-term obligations while investing heavily in long-term R&amp;D and supply chain optimization. This balance is key to sustaining the company’s innovation cycle.</w:t>
      </w:r>
    </w:p>
    <w:p w14:paraId="12E84A4B" w14:textId="77777777" w:rsidR="00DD1F5D" w:rsidRDefault="00DD1F5D"/>
    <w:sectPr w:rsidR="00DD1F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DC2"/>
    <w:rsid w:val="004B25C8"/>
    <w:rsid w:val="00630DC2"/>
    <w:rsid w:val="009A7CD6"/>
    <w:rsid w:val="00DD1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C9E97"/>
  <w15:chartTrackingRefBased/>
  <w15:docId w15:val="{2D882B95-011B-4CFA-82EA-6F9385955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D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D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D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D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D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D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D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D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D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D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D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D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D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D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D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D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D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37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4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288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waleed</dc:creator>
  <cp:keywords/>
  <dc:description/>
  <cp:lastModifiedBy>Ahmed waleed</cp:lastModifiedBy>
  <cp:revision>1</cp:revision>
  <dcterms:created xsi:type="dcterms:W3CDTF">2026-06-07T19:24:00Z</dcterms:created>
  <dcterms:modified xsi:type="dcterms:W3CDTF">2026-06-07T19:26:00Z</dcterms:modified>
</cp:coreProperties>
</file>