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39721" w14:textId="77777777" w:rsidR="00271DC0" w:rsidRPr="00271DC0" w:rsidRDefault="00271DC0" w:rsidP="00271DC0">
      <w:pPr>
        <w:rPr>
          <w:b/>
          <w:bCs/>
        </w:rPr>
      </w:pPr>
      <w:r w:rsidRPr="00271DC0">
        <w:rPr>
          <w:b/>
          <w:bCs/>
        </w:rPr>
        <w:t>Financial Analysis Report: Meta Platforms, Inc. (2021-2025)</w:t>
      </w:r>
    </w:p>
    <w:p w14:paraId="12E98B2F" w14:textId="77777777" w:rsidR="00271DC0" w:rsidRPr="00271DC0" w:rsidRDefault="00271DC0" w:rsidP="00271DC0">
      <w:pPr>
        <w:rPr>
          <w:b/>
          <w:bCs/>
        </w:rPr>
      </w:pPr>
      <w:r w:rsidRPr="00271DC0">
        <w:rPr>
          <w:b/>
          <w:bCs/>
        </w:rPr>
        <w:t>1. Executive Summary</w:t>
      </w:r>
    </w:p>
    <w:p w14:paraId="248D3469" w14:textId="77777777" w:rsidR="00271DC0" w:rsidRPr="00271DC0" w:rsidRDefault="00271DC0" w:rsidP="00271DC0">
      <w:r w:rsidRPr="00271DC0">
        <w:t>Meta Platforms exhibits a highly efficient financial model, characterized by industry-leading profit margins and a conservative, liquidity-rich balance sheet. By focusing on digital advertising and social ecosystem engagement, Meta has built a business that generates substantial cash flow with relatively low capital intensity compared to hardware-heavy competitors.</w:t>
      </w:r>
    </w:p>
    <w:p w14:paraId="58206BAC" w14:textId="77777777" w:rsidR="00271DC0" w:rsidRPr="00271DC0" w:rsidRDefault="00271DC0" w:rsidP="00271DC0">
      <w:pPr>
        <w:rPr>
          <w:b/>
          <w:bCs/>
        </w:rPr>
      </w:pPr>
      <w:r w:rsidRPr="00271DC0">
        <w:rPr>
          <w:b/>
          <w:bCs/>
        </w:rPr>
        <w:t>2. Deep Dive Analysis: Meta Platforms, Inc.</w:t>
      </w:r>
    </w:p>
    <w:p w14:paraId="6ECF82EB" w14:textId="77777777" w:rsidR="00271DC0" w:rsidRPr="00271DC0" w:rsidRDefault="00271DC0" w:rsidP="00271DC0">
      <w:r w:rsidRPr="00271DC0">
        <w:rPr>
          <w:b/>
          <w:bCs/>
        </w:rPr>
        <w:t>A. Profitability &amp; Growth</w:t>
      </w:r>
      <w:r w:rsidRPr="00271DC0">
        <w:t xml:space="preserve"> Meta stands out with an impressive </w:t>
      </w:r>
      <w:r w:rsidRPr="00271DC0">
        <w:rPr>
          <w:b/>
          <w:bCs/>
        </w:rPr>
        <w:t>Net Profit Margin of 30.55%</w:t>
      </w:r>
      <w:r w:rsidRPr="00271DC0">
        <w:t>. This high margin highlights the extreme scalability of Meta's digital ad business, where the cost to serve an additional user is negligible. The steady upward trend in Gross Profit from 2023 to 2025 indicates a strong recovery and optimization in operational costs, reinforcing the company's ability to maintain profitability even during periods of significant investment in future-tech initiatives.</w:t>
      </w:r>
    </w:p>
    <w:p w14:paraId="29DE5E9E" w14:textId="77777777" w:rsidR="00271DC0" w:rsidRPr="00271DC0" w:rsidRDefault="00271DC0" w:rsidP="00271DC0">
      <w:r w:rsidRPr="00271DC0">
        <w:rPr>
          <w:b/>
          <w:bCs/>
        </w:rPr>
        <w:t>B. Liquidity &amp; Risk Management</w:t>
      </w:r>
      <w:r w:rsidRPr="00271DC0">
        <w:t xml:space="preserve"> Meta maintains a very strong liquidity position, with a </w:t>
      </w:r>
      <w:r w:rsidRPr="00271DC0">
        <w:rPr>
          <w:b/>
          <w:bCs/>
        </w:rPr>
        <w:t>Current Ratio of 270.23%</w:t>
      </w:r>
      <w:r w:rsidRPr="00271DC0">
        <w:t>. The significant excess of Total Current Assets (420bn) over Total Current Liabilities (156bn) suggests that the company is extremely well-positioned to meet any short-term financial obligations. This "cash-rich" strategy provides Meta with the flexibility to navigate market shifts or fund massive strategic pivots without needing to rely on external financing.</w:t>
      </w:r>
    </w:p>
    <w:p w14:paraId="52E0A6F1" w14:textId="77777777" w:rsidR="00271DC0" w:rsidRPr="00271DC0" w:rsidRDefault="00271DC0" w:rsidP="00271DC0">
      <w:r w:rsidRPr="00271DC0">
        <w:rPr>
          <w:b/>
          <w:bCs/>
        </w:rPr>
        <w:t>C. Asset Efficiency</w:t>
      </w:r>
      <w:r w:rsidRPr="00271DC0">
        <w:t xml:space="preserve"> Meta operates an "Asset-Light" model. Its Asset Efficiency is high, as the company requires fewer physical assets to generate its massive revenue compared to giants like Amazon. By keeping a smaller footprint of physical infrastructure, Meta maximizes its Return on Assets (ROA) of 18.35%, confirming that its primary value lies in its digital network and user data rather than physical property.</w:t>
      </w:r>
    </w:p>
    <w:p w14:paraId="5350FECC" w14:textId="77777777" w:rsidR="00DD1F5D" w:rsidRDefault="00DD1F5D"/>
    <w:sectPr w:rsidR="00DD1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DC0"/>
    <w:rsid w:val="00271DC0"/>
    <w:rsid w:val="004B25C8"/>
    <w:rsid w:val="009A7CD6"/>
    <w:rsid w:val="00DD1F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CC3C"/>
  <w15:chartTrackingRefBased/>
  <w15:docId w15:val="{389C7942-9B7B-4196-8869-A89C8299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DC0"/>
    <w:rPr>
      <w:rFonts w:eastAsiaTheme="majorEastAsia" w:cstheme="majorBidi"/>
      <w:color w:val="272727" w:themeColor="text1" w:themeTint="D8"/>
    </w:rPr>
  </w:style>
  <w:style w:type="paragraph" w:styleId="Title">
    <w:name w:val="Title"/>
    <w:basedOn w:val="Normal"/>
    <w:next w:val="Normal"/>
    <w:link w:val="TitleChar"/>
    <w:uiPriority w:val="10"/>
    <w:qFormat/>
    <w:rsid w:val="00271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DC0"/>
    <w:pPr>
      <w:spacing w:before="160"/>
      <w:jc w:val="center"/>
    </w:pPr>
    <w:rPr>
      <w:i/>
      <w:iCs/>
      <w:color w:val="404040" w:themeColor="text1" w:themeTint="BF"/>
    </w:rPr>
  </w:style>
  <w:style w:type="character" w:customStyle="1" w:styleId="QuoteChar">
    <w:name w:val="Quote Char"/>
    <w:basedOn w:val="DefaultParagraphFont"/>
    <w:link w:val="Quote"/>
    <w:uiPriority w:val="29"/>
    <w:rsid w:val="00271DC0"/>
    <w:rPr>
      <w:i/>
      <w:iCs/>
      <w:color w:val="404040" w:themeColor="text1" w:themeTint="BF"/>
    </w:rPr>
  </w:style>
  <w:style w:type="paragraph" w:styleId="ListParagraph">
    <w:name w:val="List Paragraph"/>
    <w:basedOn w:val="Normal"/>
    <w:uiPriority w:val="34"/>
    <w:qFormat/>
    <w:rsid w:val="00271DC0"/>
    <w:pPr>
      <w:ind w:left="720"/>
      <w:contextualSpacing/>
    </w:pPr>
  </w:style>
  <w:style w:type="character" w:styleId="IntenseEmphasis">
    <w:name w:val="Intense Emphasis"/>
    <w:basedOn w:val="DefaultParagraphFont"/>
    <w:uiPriority w:val="21"/>
    <w:qFormat/>
    <w:rsid w:val="00271DC0"/>
    <w:rPr>
      <w:i/>
      <w:iCs/>
      <w:color w:val="0F4761" w:themeColor="accent1" w:themeShade="BF"/>
    </w:rPr>
  </w:style>
  <w:style w:type="paragraph" w:styleId="IntenseQuote">
    <w:name w:val="Intense Quote"/>
    <w:basedOn w:val="Normal"/>
    <w:next w:val="Normal"/>
    <w:link w:val="IntenseQuoteChar"/>
    <w:uiPriority w:val="30"/>
    <w:qFormat/>
    <w:rsid w:val="00271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DC0"/>
    <w:rPr>
      <w:i/>
      <w:iCs/>
      <w:color w:val="0F4761" w:themeColor="accent1" w:themeShade="BF"/>
    </w:rPr>
  </w:style>
  <w:style w:type="character" w:styleId="IntenseReference">
    <w:name w:val="Intense Reference"/>
    <w:basedOn w:val="DefaultParagraphFont"/>
    <w:uiPriority w:val="32"/>
    <w:qFormat/>
    <w:rsid w:val="00271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190543">
      <w:bodyDiv w:val="1"/>
      <w:marLeft w:val="0"/>
      <w:marRight w:val="0"/>
      <w:marTop w:val="0"/>
      <w:marBottom w:val="0"/>
      <w:divBdr>
        <w:top w:val="none" w:sz="0" w:space="0" w:color="auto"/>
        <w:left w:val="none" w:sz="0" w:space="0" w:color="auto"/>
        <w:bottom w:val="none" w:sz="0" w:space="0" w:color="auto"/>
        <w:right w:val="none" w:sz="0" w:space="0" w:color="auto"/>
      </w:divBdr>
    </w:div>
    <w:div w:id="95066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waleed</dc:creator>
  <cp:keywords/>
  <dc:description/>
  <cp:lastModifiedBy>Ahmed waleed</cp:lastModifiedBy>
  <cp:revision>1</cp:revision>
  <dcterms:created xsi:type="dcterms:W3CDTF">2026-06-07T19:28:00Z</dcterms:created>
  <dcterms:modified xsi:type="dcterms:W3CDTF">2026-06-07T19:30:00Z</dcterms:modified>
</cp:coreProperties>
</file>