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1A3C5E"/>
          <w:sz w:val="48"/>
          <w:szCs w:val="48"/>
        </w:rPr>
        <w:t xml:space="preserve">CONDITIONAL GENERATIVE MODELS</w:t>
      </w:r>
    </w:p>
    <w:p>
      <w:pPr>
        <w:spacing w:after="240" w:before="0"/>
        <w:jc w:val="center"/>
      </w:pPr>
      <w:r>
        <w:rPr>
          <w:rFonts w:ascii="Arial" w:cs="Arial" w:eastAsia="Arial" w:hAnsi="Arial"/>
          <w:b/>
          <w:bCs/>
          <w:color w:val="2E86AB"/>
          <w:sz w:val="48"/>
          <w:szCs w:val="48"/>
        </w:rPr>
        <w:t xml:space="preserve">FOR DATE GENERATION</w:t>
      </w:r>
    </w:p>
    <w:p>
      <w:pPr>
        <w:pBdr>
          <w:bottom w:val="single" w:color="2E86AB" w:sz="6" w:space="8"/>
        </w:pBdr>
        <w:spacing w:after="200" w:before="0"/>
        <w:jc w:val="center"/>
      </w:pPr>
    </w:p>
    <w:p>
      <w:pPr>
        <w:spacing w:after="80" w:before="200"/>
        <w:jc w:val="center"/>
      </w:pPr>
      <w:r>
        <w:rPr>
          <w:rFonts w:ascii="Arial" w:cs="Arial" w:eastAsia="Arial" w:hAnsi="Arial"/>
          <w:i/>
          <w:iCs/>
          <w:color w:val="555555"/>
          <w:sz w:val="28"/>
          <w:szCs w:val="28"/>
        </w:rPr>
        <w:t xml:space="preserve">Technical Implementation Report</w:t>
      </w:r>
    </w:p>
    <w:p>
      <w:pPr>
        <w:spacing w:after="80" w:before="80"/>
        <w:jc w:val="center"/>
      </w:pPr>
      <w:r>
        <w:rPr>
          <w:rFonts w:ascii="Arial" w:cs="Arial" w:eastAsia="Arial" w:hAnsi="Arial"/>
          <w:b/>
          <w:bCs/>
          <w:color w:val="2E86AB"/>
          <w:sz w:val="24"/>
          <w:szCs w:val="24"/>
        </w:rPr>
        <w:t xml:space="preserve">CGAN  •  WGAN  •  VAE  •  VQGAN</w:t>
      </w:r>
    </w:p>
    <w:p>
      <w:pPr>
        <w:spacing w:after="400" w:before="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tblGrid>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Project Type</w:t>
            </w:r>
          </w:p>
        </w:tc>
        <w:tc>
          <w:tcPr>
            <w:tcW w:type="dxa" w:w="38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Generative AI — Conditional Sequence Modelling</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Architectures</w:t>
            </w:r>
          </w:p>
        </w:tc>
        <w:tc>
          <w:tcPr>
            <w:tcW w:type="dxa" w:w="38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CGAN, WGAN, VAE, VQGAN</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Task</w:t>
            </w:r>
          </w:p>
        </w:tc>
        <w:tc>
          <w:tcPr>
            <w:tcW w:type="dxa" w:w="38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Conditional date generation &amp; reconstruction</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Framework</w:t>
            </w:r>
          </w:p>
        </w:tc>
        <w:tc>
          <w:tcPr>
            <w:tcW w:type="dxa" w:w="38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PyTorch</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Year</w:t>
            </w:r>
          </w:p>
        </w:tc>
        <w:tc>
          <w:tcPr>
            <w:tcW w:type="dxa" w:w="38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2024</w:t>
            </w:r>
          </w:p>
        </w:tc>
      </w:tr>
    </w:tbl>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1. Introduction</w:t>
      </w:r>
    </w:p>
    <w:p>
      <w:pPr>
        <w:spacing w:after="100" w:before="80"/>
        <w:jc w:val="left"/>
      </w:pPr>
      <w:r>
        <w:rPr>
          <w:rFonts w:ascii="Arial" w:cs="Arial" w:eastAsia="Arial" w:hAnsi="Arial"/>
          <w:color w:val="555555"/>
          <w:sz w:val="22"/>
          <w:szCs w:val="22"/>
        </w:rPr>
        <w:t xml:space="preserve">This report documents the design, implementation, and evaluation of four distinct generative model architectures trained for the task of conditional date generation. Each model was built from the ground up, adhering to strict assignment constraints, and evaluated on a shared benchmark.</w:t>
      </w:r>
    </w:p>
    <w:p>
      <w:pPr>
        <w:spacing w:after="100" w:before="80"/>
        <w:jc w:val="left"/>
      </w:pPr>
      <w:r>
        <w:rPr>
          <w:rFonts w:ascii="Arial" w:cs="Arial" w:eastAsia="Arial" w:hAnsi="Arial"/>
          <w:color w:val="555555"/>
          <w:sz w:val="22"/>
          <w:szCs w:val="22"/>
        </w:rPr>
        <w:t xml:space="preserve">Generative models have demonstrated remarkable capability in learning latent data distributions and synthesising novel outputs conditioned on auxiliary information. This project extends that paradigm to structured temporal data — specifically calendar dates — as a controlled experimental domain.</w:t>
      </w:r>
    </w:p>
    <w:p>
      <w:pPr>
        <w:spacing w:after="120" w:before="0"/>
      </w:pPr>
    </w:p>
    <w:p>
      <w:pPr>
        <w:pStyle w:val="Heading2"/>
        <w:spacing w:after="120" w:before="280"/>
      </w:pPr>
      <w:r>
        <w:rPr>
          <w:rFonts w:ascii="Arial" w:cs="Arial" w:eastAsia="Arial" w:hAnsi="Arial"/>
          <w:b/>
          <w:bCs/>
          <w:color w:val="2E86AB"/>
          <w:sz w:val="26"/>
          <w:szCs w:val="26"/>
        </w:rPr>
        <w:t xml:space="preserve">1.1 Motivation</w:t>
      </w:r>
    </w:p>
    <w:p>
      <w:pPr>
        <w:spacing w:after="100" w:before="80"/>
        <w:jc w:val="left"/>
      </w:pPr>
      <w:r>
        <w:rPr>
          <w:rFonts w:ascii="Arial" w:cs="Arial" w:eastAsia="Arial" w:hAnsi="Arial"/>
          <w:color w:val="555555"/>
          <w:sz w:val="22"/>
          <w:szCs w:val="22"/>
        </w:rPr>
        <w:t xml:space="preserve">Date generation serves as a well-scoped proxy task for structured, discrete sequence generation. Dates carry inherent conditional structure: given a year, the valid months are constrained; given a month, valid days are further constrained. This property makes the task ideal for benchmarking conditional generation fidelity and constraint satisfaction across different generative paradigms.</w:t>
      </w:r>
    </w:p>
    <w:p>
      <w:pPr>
        <w:spacing w:after="120" w:before="0"/>
      </w:pPr>
    </w:p>
    <w:p>
      <w:pPr>
        <w:pStyle w:val="Heading2"/>
        <w:spacing w:after="120" w:before="280"/>
      </w:pPr>
      <w:r>
        <w:rPr>
          <w:rFonts w:ascii="Arial" w:cs="Arial" w:eastAsia="Arial" w:hAnsi="Arial"/>
          <w:b/>
          <w:bCs/>
          <w:color w:val="2E86AB"/>
          <w:sz w:val="26"/>
          <w:szCs w:val="26"/>
        </w:rPr>
        <w:t xml:space="preserve">1.2 Problem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2"/>
              <w:bottom w:val="single" w:color="2E86AB" w:sz="4"/>
              <w:right w:val="none" w:color="FFFFFF" w:sz="0"/>
            </w:tcBorders>
            <w:shd w:fill="F2F6FA" w:val="clear"/>
            <w:tcMar>
              <w:top w:type="dxa" w:w="120"/>
              <w:left w:type="dxa" w:w="200"/>
              <w:bottom w:type="dxa" w:w="120"/>
              <w:right w:type="dxa" w:w="200"/>
            </w:tcMar>
          </w:tcPr>
          <w:p>
            <w:r>
              <w:rPr>
                <w:rFonts w:ascii="Arial" w:cs="Arial" w:eastAsia="Arial" w:hAnsi="Arial"/>
                <w:b/>
                <w:bCs/>
                <w:color w:val="2E86AB"/>
                <w:sz w:val="20"/>
                <w:szCs w:val="20"/>
              </w:rPr>
              <w:t xml:space="preserve">Formal Definition</w:t>
            </w:r>
          </w:p>
          <w:p>
            <w:pPr>
              <w:spacing w:before="60"/>
            </w:pPr>
            <w:r>
              <w:rPr>
                <w:rFonts w:ascii="Arial" w:cs="Arial" w:eastAsia="Arial" w:hAnsi="Arial"/>
                <w:color w:val="555555"/>
                <w:sz w:val="20"/>
                <w:szCs w:val="20"/>
              </w:rPr>
              <w:t xml:space="preserve">Let D = (y, m, d) represent a date where y ∈ Y (years), m ∈ {1..12}, d ∈ {1..31}. Given a conditioning signal c (e.g. year range, month, or season), each model learns the conditional distribution P(D | c) and samples valid dates from it.</w:t>
            </w:r>
          </w:p>
        </w:tc>
      </w:tr>
    </w:tbl>
    <w:p>
      <w:pPr>
        <w:spacing w:after="120" w:before="0"/>
      </w:pPr>
    </w:p>
    <w:p>
      <w:pPr>
        <w:spacing w:after="100" w:before="80"/>
        <w:jc w:val="left"/>
      </w:pPr>
      <w:r>
        <w:rPr>
          <w:rFonts w:ascii="Arial" w:cs="Arial" w:eastAsia="Arial" w:hAnsi="Arial"/>
          <w:color w:val="555555"/>
          <w:sz w:val="22"/>
          <w:szCs w:val="22"/>
        </w:rPr>
        <w:t xml:space="preserve">All four architectures share this conditional formulation, differing only in how they model and sample from the latent space.</w:t>
      </w:r>
    </w:p>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2. Architecture Overview</w:t>
      </w:r>
    </w:p>
    <w:p>
      <w:pPr>
        <w:spacing w:after="100" w:before="80"/>
        <w:jc w:val="left"/>
      </w:pPr>
      <w:r>
        <w:rPr>
          <w:rFonts w:ascii="Arial" w:cs="Arial" w:eastAsia="Arial" w:hAnsi="Arial"/>
          <w:color w:val="555555"/>
          <w:sz w:val="22"/>
          <w:szCs w:val="22"/>
        </w:rPr>
        <w:t xml:space="preserve">The four architectures represent a spectrum from adversarial to variational approaches, providing a comprehensive comparison across generative modelling paradigms.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800"/>
        <w:gridCol w:w="1800"/>
      </w:tblGrid>
      <w:tr>
        <w:tc>
          <w:tcPr>
            <w:tcW w:type="dxa" w:w="15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20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Paradigm</w:t>
            </w:r>
          </w:p>
        </w:tc>
        <w:tc>
          <w:tcPr>
            <w:tcW w:type="dxa" w:w="22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Latent Space</w:t>
            </w:r>
          </w:p>
        </w:tc>
        <w:tc>
          <w:tcPr>
            <w:tcW w:type="dxa" w:w="18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Training Signal</w:t>
            </w:r>
          </w:p>
        </w:tc>
        <w:tc>
          <w:tcPr>
            <w:tcW w:type="dxa" w:w="18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Strength</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CGAN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Adversarial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Continuous Gaussian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Binary (real/fake)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Sharp samples</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WGAN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Adversarial (Wasserstein)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Continuous Gaussian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Earth Mover Distance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Training stability</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VAE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Variational Bayes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Learned Gaussian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ELBO (recon + KL)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Interpolation</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VQGAN</w:t>
            </w:r>
          </w:p>
        </w:tc>
        <w:tc>
          <w:tcPr>
            <w:tcW w:type="dxa" w:w="20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Discrete Adversarial</w:t>
            </w:r>
          </w:p>
        </w:tc>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Discrete Codebook</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Commit + Perceptual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Compression</w:t>
            </w:r>
          </w:p>
        </w:tc>
      </w:tr>
    </w:tbl>
    <w:p>
      <w:pPr>
        <w:spacing w:after="120" w:before="0"/>
      </w:pPr>
    </w:p>
    <w:p>
      <w:pPr>
        <w:pStyle w:val="Heading2"/>
        <w:spacing w:after="120" w:before="280"/>
      </w:pPr>
      <w:r>
        <w:rPr>
          <w:rFonts w:ascii="Arial" w:cs="Arial" w:eastAsia="Arial" w:hAnsi="Arial"/>
          <w:b/>
          <w:bCs/>
          <w:color w:val="2E86AB"/>
          <w:sz w:val="26"/>
          <w:szCs w:val="26"/>
        </w:rPr>
        <w:t xml:space="preserve">2.1 Conditional GAN (CGAN)</w:t>
      </w:r>
    </w:p>
    <w:p>
      <w:pPr>
        <w:spacing w:after="100" w:before="80"/>
        <w:jc w:val="left"/>
      </w:pPr>
      <w:r>
        <w:rPr>
          <w:rFonts w:ascii="Arial" w:cs="Arial" w:eastAsia="Arial" w:hAnsi="Arial"/>
          <w:color w:val="555555"/>
          <w:sz w:val="22"/>
          <w:szCs w:val="22"/>
        </w:rPr>
        <w:t xml:space="preserve">The CGAN extends the vanilla GAN framework by conditioning both the generator G and discriminator D on a label vector c. The generator learns G(z, c) → x̂ and the discriminator learns D(x, c) → [0,1], creating an adversarial game conditioned on the provided signal.</w:t>
      </w:r>
    </w:p>
    <w:p>
      <w:pPr>
        <w:pStyle w:val="ListParagraph"/>
        <w:numPr>
          <w:ilvl w:val="0"/>
          <w:numId w:val="2"/>
        </w:numPr>
        <w:spacing w:after="60" w:before="60"/>
      </w:pPr>
      <w:r>
        <w:rPr>
          <w:rFonts w:ascii="Arial" w:cs="Arial" w:eastAsia="Arial" w:hAnsi="Arial"/>
          <w:b/>
          <w:bCs/>
          <w:color w:val="1A3C5E"/>
          <w:sz w:val="22"/>
          <w:szCs w:val="22"/>
        </w:rPr>
        <w:t xml:space="preserve">Generator: </w:t>
      </w:r>
      <w:r>
        <w:rPr>
          <w:rFonts w:ascii="Arial" w:cs="Arial" w:eastAsia="Arial" w:hAnsi="Arial"/>
          <w:color w:val="555555"/>
          <w:sz w:val="22"/>
          <w:szCs w:val="22"/>
        </w:rPr>
        <w:t xml:space="preserve">Three-layer MLP with batch normalisation and ReLU activations; final Tanh output.</w:t>
      </w:r>
    </w:p>
    <w:p>
      <w:pPr>
        <w:pStyle w:val="ListParagraph"/>
        <w:numPr>
          <w:ilvl w:val="0"/>
          <w:numId w:val="2"/>
        </w:numPr>
        <w:spacing w:after="60" w:before="60"/>
      </w:pPr>
      <w:r>
        <w:rPr>
          <w:rFonts w:ascii="Arial" w:cs="Arial" w:eastAsia="Arial" w:hAnsi="Arial"/>
          <w:b/>
          <w:bCs/>
          <w:color w:val="1A3C5E"/>
          <w:sz w:val="22"/>
          <w:szCs w:val="22"/>
        </w:rPr>
        <w:t xml:space="preserve">Discriminator: </w:t>
      </w:r>
      <w:r>
        <w:rPr>
          <w:rFonts w:ascii="Arial" w:cs="Arial" w:eastAsia="Arial" w:hAnsi="Arial"/>
          <w:color w:val="555555"/>
          <w:sz w:val="22"/>
          <w:szCs w:val="22"/>
        </w:rPr>
        <w:t xml:space="preserve">Leaky ReLU network processing concatenated [x, c] input; Sigmoid output.</w:t>
      </w:r>
    </w:p>
    <w:p>
      <w:pPr>
        <w:pStyle w:val="ListParagraph"/>
        <w:numPr>
          <w:ilvl w:val="0"/>
          <w:numId w:val="2"/>
        </w:numPr>
        <w:spacing w:after="60" w:before="60"/>
      </w:pPr>
      <w:r>
        <w:rPr>
          <w:rFonts w:ascii="Arial" w:cs="Arial" w:eastAsia="Arial" w:hAnsi="Arial"/>
          <w:b/>
          <w:bCs/>
          <w:color w:val="1A3C5E"/>
          <w:sz w:val="22"/>
          <w:szCs w:val="22"/>
        </w:rPr>
        <w:t xml:space="preserve">Conditioning: </w:t>
      </w:r>
      <w:r>
        <w:rPr>
          <w:rFonts w:ascii="Arial" w:cs="Arial" w:eastAsia="Arial" w:hAnsi="Arial"/>
          <w:color w:val="555555"/>
          <w:sz w:val="22"/>
          <w:szCs w:val="22"/>
        </w:rPr>
        <w:t xml:space="preserve">One-hot encoded month labels concatenated with noise vector z ∈ R¹²⁸.</w:t>
      </w:r>
    </w:p>
    <w:p>
      <w:pPr>
        <w:pStyle w:val="ListParagraph"/>
        <w:numPr>
          <w:ilvl w:val="0"/>
          <w:numId w:val="2"/>
        </w:numPr>
        <w:spacing w:after="60" w:before="60"/>
      </w:pPr>
      <w:r>
        <w:rPr>
          <w:rFonts w:ascii="Arial" w:cs="Arial" w:eastAsia="Arial" w:hAnsi="Arial"/>
          <w:b/>
          <w:bCs/>
          <w:color w:val="1A3C5E"/>
          <w:sz w:val="22"/>
          <w:szCs w:val="22"/>
        </w:rPr>
        <w:t xml:space="preserve">Loss: </w:t>
      </w:r>
      <w:r>
        <w:rPr>
          <w:rFonts w:ascii="Arial" w:cs="Arial" w:eastAsia="Arial" w:hAnsi="Arial"/>
          <w:color w:val="555555"/>
          <w:sz w:val="22"/>
          <w:szCs w:val="22"/>
        </w:rPr>
        <w:t xml:space="preserve">Binary cross-entropy with label smoothing (0.9/0.1).</w:t>
      </w:r>
    </w:p>
    <w:p>
      <w:pPr>
        <w:spacing w:after="120" w:before="0"/>
      </w:pPr>
    </w:p>
    <w:p>
      <w:pPr>
        <w:pStyle w:val="Heading2"/>
        <w:spacing w:after="120" w:before="280"/>
      </w:pPr>
      <w:r>
        <w:rPr>
          <w:rFonts w:ascii="Arial" w:cs="Arial" w:eastAsia="Arial" w:hAnsi="Arial"/>
          <w:b/>
          <w:bCs/>
          <w:color w:val="2E86AB"/>
          <w:sz w:val="26"/>
          <w:szCs w:val="26"/>
        </w:rPr>
        <w:t xml:space="preserve">2.2 Wasserstein GAN (WGAN)</w:t>
      </w:r>
    </w:p>
    <w:p>
      <w:pPr>
        <w:spacing w:after="100" w:before="80"/>
        <w:jc w:val="left"/>
      </w:pPr>
      <w:r>
        <w:rPr>
          <w:rFonts w:ascii="Arial" w:cs="Arial" w:eastAsia="Arial" w:hAnsi="Arial"/>
          <w:color w:val="555555"/>
          <w:sz w:val="22"/>
          <w:szCs w:val="22"/>
        </w:rPr>
        <w:t xml:space="preserve">WGAN replaces the discriminator with a critic that approximates the Wasserstein-1 (Earth Mover) distance between the real and generated distributions. This yields smoother gradients and more stable training.</w:t>
      </w:r>
    </w:p>
    <w:p>
      <w:pPr>
        <w:pStyle w:val="ListParagraph"/>
        <w:numPr>
          <w:ilvl w:val="0"/>
          <w:numId w:val="2"/>
        </w:numPr>
        <w:spacing w:after="60" w:before="60"/>
      </w:pPr>
      <w:r>
        <w:rPr>
          <w:rFonts w:ascii="Arial" w:cs="Arial" w:eastAsia="Arial" w:hAnsi="Arial"/>
          <w:b/>
          <w:bCs/>
          <w:color w:val="1A3C5E"/>
          <w:sz w:val="22"/>
          <w:szCs w:val="22"/>
        </w:rPr>
        <w:t xml:space="preserve">Critic: </w:t>
      </w:r>
      <w:r>
        <w:rPr>
          <w:rFonts w:ascii="Arial" w:cs="Arial" w:eastAsia="Arial" w:hAnsi="Arial"/>
          <w:color w:val="555555"/>
          <w:sz w:val="22"/>
          <w:szCs w:val="22"/>
        </w:rPr>
        <w:t xml:space="preserve">Unconstrained output; weight clipping at ±0.01 enforces Lipschitz constraint.</w:t>
      </w:r>
    </w:p>
    <w:p>
      <w:pPr>
        <w:pStyle w:val="ListParagraph"/>
        <w:numPr>
          <w:ilvl w:val="0"/>
          <w:numId w:val="2"/>
        </w:numPr>
        <w:spacing w:after="60" w:before="60"/>
      </w:pPr>
      <w:r>
        <w:rPr>
          <w:rFonts w:ascii="Arial" w:cs="Arial" w:eastAsia="Arial" w:hAnsi="Arial"/>
          <w:b/>
          <w:bCs/>
          <w:color w:val="1A3C5E"/>
          <w:sz w:val="22"/>
          <w:szCs w:val="22"/>
        </w:rPr>
        <w:t xml:space="preserve">Training ratio: </w:t>
      </w:r>
      <w:r>
        <w:rPr>
          <w:rFonts w:ascii="Arial" w:cs="Arial" w:eastAsia="Arial" w:hAnsi="Arial"/>
          <w:color w:val="555555"/>
          <w:sz w:val="22"/>
          <w:szCs w:val="22"/>
        </w:rPr>
        <w:t xml:space="preserve">Critic updated 5 times per generator step.</w:t>
      </w:r>
    </w:p>
    <w:p>
      <w:pPr>
        <w:pStyle w:val="ListParagraph"/>
        <w:numPr>
          <w:ilvl w:val="0"/>
          <w:numId w:val="2"/>
        </w:numPr>
        <w:spacing w:after="60" w:before="60"/>
      </w:pPr>
      <w:r>
        <w:rPr>
          <w:rFonts w:ascii="Arial" w:cs="Arial" w:eastAsia="Arial" w:hAnsi="Arial"/>
          <w:b/>
          <w:bCs/>
          <w:color w:val="1A3C5E"/>
          <w:sz w:val="22"/>
          <w:szCs w:val="22"/>
        </w:rPr>
        <w:t xml:space="preserve">Optimiser: </w:t>
      </w:r>
      <w:r>
        <w:rPr>
          <w:rFonts w:ascii="Arial" w:cs="Arial" w:eastAsia="Arial" w:hAnsi="Arial"/>
          <w:color w:val="555555"/>
          <w:sz w:val="22"/>
          <w:szCs w:val="22"/>
        </w:rPr>
        <w:t xml:space="preserve">RMSProp with lr=5e-5 (as per original WGAN paper).</w:t>
      </w:r>
    </w:p>
    <w:p>
      <w:pPr>
        <w:pStyle w:val="ListParagraph"/>
        <w:numPr>
          <w:ilvl w:val="0"/>
          <w:numId w:val="2"/>
        </w:numPr>
        <w:spacing w:after="60" w:before="60"/>
      </w:pPr>
      <w:r>
        <w:rPr>
          <w:rFonts w:ascii="Arial" w:cs="Arial" w:eastAsia="Arial" w:hAnsi="Arial"/>
          <w:b/>
          <w:bCs/>
          <w:color w:val="1A3C5E"/>
          <w:sz w:val="22"/>
          <w:szCs w:val="22"/>
        </w:rPr>
        <w:t xml:space="preserve">Loss: </w:t>
      </w:r>
      <w:r>
        <w:rPr>
          <w:rFonts w:ascii="Arial" w:cs="Arial" w:eastAsia="Arial" w:hAnsi="Arial"/>
          <w:color w:val="555555"/>
          <w:sz w:val="22"/>
          <w:szCs w:val="22"/>
        </w:rPr>
        <w:t xml:space="preserve">E[D(x̂)] − E[D(x)] with no log transform.</w:t>
      </w:r>
    </w:p>
    <w:p>
      <w:pPr>
        <w:spacing w:after="120" w:before="0"/>
      </w:pPr>
    </w:p>
    <w:p>
      <w:pPr>
        <w:pStyle w:val="Heading2"/>
        <w:spacing w:after="120" w:before="280"/>
      </w:pPr>
      <w:r>
        <w:rPr>
          <w:rFonts w:ascii="Arial" w:cs="Arial" w:eastAsia="Arial" w:hAnsi="Arial"/>
          <w:b/>
          <w:bCs/>
          <w:color w:val="2E86AB"/>
          <w:sz w:val="26"/>
          <w:szCs w:val="26"/>
        </w:rPr>
        <w:t xml:space="preserve">2.3 Variational Autoencoder (VAE)</w:t>
      </w:r>
    </w:p>
    <w:p>
      <w:pPr>
        <w:spacing w:after="100" w:before="80"/>
        <w:jc w:val="left"/>
      </w:pPr>
      <w:r>
        <w:rPr>
          <w:rFonts w:ascii="Arial" w:cs="Arial" w:eastAsia="Arial" w:hAnsi="Arial"/>
          <w:color w:val="555555"/>
          <w:sz w:val="22"/>
          <w:szCs w:val="22"/>
        </w:rPr>
        <w:t xml:space="preserve">The VAE frames generation as approximate posterior inference. An encoder q(z|x,c) maps inputs to a distribution over a latent space, from which the decoder p(x|z,c) reconstructs the original. The reparameterisation trick enables end-to-end training.</w:t>
      </w:r>
    </w:p>
    <w:p>
      <w:pPr>
        <w:pStyle w:val="ListParagraph"/>
        <w:numPr>
          <w:ilvl w:val="0"/>
          <w:numId w:val="2"/>
        </w:numPr>
        <w:spacing w:after="60" w:before="60"/>
      </w:pPr>
      <w:r>
        <w:rPr>
          <w:rFonts w:ascii="Arial" w:cs="Arial" w:eastAsia="Arial" w:hAnsi="Arial"/>
          <w:b/>
          <w:bCs/>
          <w:color w:val="1A3C5E"/>
          <w:sz w:val="22"/>
          <w:szCs w:val="22"/>
        </w:rPr>
        <w:t xml:space="preserve">Encoder: </w:t>
      </w:r>
      <w:r>
        <w:rPr>
          <w:rFonts w:ascii="Arial" w:cs="Arial" w:eastAsia="Arial" w:hAnsi="Arial"/>
          <w:color w:val="555555"/>
          <w:sz w:val="22"/>
          <w:szCs w:val="22"/>
        </w:rPr>
        <w:t xml:space="preserve">Outputs μ and log σ²; latent dimension z ∈ R³².</w:t>
      </w:r>
    </w:p>
    <w:p>
      <w:pPr>
        <w:pStyle w:val="ListParagraph"/>
        <w:numPr>
          <w:ilvl w:val="0"/>
          <w:numId w:val="2"/>
        </w:numPr>
        <w:spacing w:after="60" w:before="60"/>
      </w:pPr>
      <w:r>
        <w:rPr>
          <w:rFonts w:ascii="Arial" w:cs="Arial" w:eastAsia="Arial" w:hAnsi="Arial"/>
          <w:b/>
          <w:bCs/>
          <w:color w:val="1A3C5E"/>
          <w:sz w:val="22"/>
          <w:szCs w:val="22"/>
        </w:rPr>
        <w:t xml:space="preserve">Decoder: </w:t>
      </w:r>
      <w:r>
        <w:rPr>
          <w:rFonts w:ascii="Arial" w:cs="Arial" w:eastAsia="Arial" w:hAnsi="Arial"/>
          <w:color w:val="555555"/>
          <w:sz w:val="22"/>
          <w:szCs w:val="22"/>
        </w:rPr>
        <w:t xml:space="preserve">Symmetric MLP mirroring encoder architecture.</w:t>
      </w:r>
    </w:p>
    <w:p>
      <w:pPr>
        <w:pStyle w:val="ListParagraph"/>
        <w:numPr>
          <w:ilvl w:val="0"/>
          <w:numId w:val="2"/>
        </w:numPr>
        <w:spacing w:after="60" w:before="60"/>
      </w:pPr>
      <w:r>
        <w:rPr>
          <w:rFonts w:ascii="Arial" w:cs="Arial" w:eastAsia="Arial" w:hAnsi="Arial"/>
          <w:b/>
          <w:bCs/>
          <w:color w:val="1A3C5E"/>
          <w:sz w:val="22"/>
          <w:szCs w:val="22"/>
        </w:rPr>
        <w:t xml:space="preserve">Loss: </w:t>
      </w:r>
      <w:r>
        <w:rPr>
          <w:rFonts w:ascii="Arial" w:cs="Arial" w:eastAsia="Arial" w:hAnsi="Arial"/>
          <w:color w:val="555555"/>
          <w:sz w:val="22"/>
          <w:szCs w:val="22"/>
        </w:rPr>
        <w:t xml:space="preserve">L = L_recon + β · KL(q(z|x) || p(z)); β annealed from 0 → 1 over 10 epochs.</w:t>
      </w:r>
    </w:p>
    <w:p>
      <w:pPr>
        <w:pStyle w:val="ListParagraph"/>
        <w:numPr>
          <w:ilvl w:val="0"/>
          <w:numId w:val="2"/>
        </w:numPr>
        <w:spacing w:after="60" w:before="60"/>
      </w:pPr>
      <w:r>
        <w:rPr>
          <w:rFonts w:ascii="Arial" w:cs="Arial" w:eastAsia="Arial" w:hAnsi="Arial"/>
          <w:b/>
          <w:bCs/>
          <w:color w:val="1A3C5E"/>
          <w:sz w:val="22"/>
          <w:szCs w:val="22"/>
        </w:rPr>
        <w:t xml:space="preserve">Conditioning: </w:t>
      </w:r>
      <w:r>
        <w:rPr>
          <w:rFonts w:ascii="Arial" w:cs="Arial" w:eastAsia="Arial" w:hAnsi="Arial"/>
          <w:color w:val="555555"/>
          <w:sz w:val="22"/>
          <w:szCs w:val="22"/>
        </w:rPr>
        <w:t xml:space="preserve">Concatenated to both encoder input and decoder latent.</w:t>
      </w:r>
    </w:p>
    <w:p>
      <w:pPr>
        <w:spacing w:after="120" w:before="0"/>
      </w:pPr>
    </w:p>
    <w:p>
      <w:pPr>
        <w:pStyle w:val="Heading2"/>
        <w:spacing w:after="120" w:before="280"/>
      </w:pPr>
      <w:r>
        <w:rPr>
          <w:rFonts w:ascii="Arial" w:cs="Arial" w:eastAsia="Arial" w:hAnsi="Arial"/>
          <w:b/>
          <w:bCs/>
          <w:color w:val="2E86AB"/>
          <w:sz w:val="26"/>
          <w:szCs w:val="26"/>
        </w:rPr>
        <w:t xml:space="preserve">2.4 Vector-Quantised GAN (VQGAN)</w:t>
      </w:r>
    </w:p>
    <w:p>
      <w:pPr>
        <w:spacing w:after="100" w:before="80"/>
        <w:jc w:val="left"/>
      </w:pPr>
      <w:r>
        <w:rPr>
          <w:rFonts w:ascii="Arial" w:cs="Arial" w:eastAsia="Arial" w:hAnsi="Arial"/>
          <w:color w:val="555555"/>
          <w:sz w:val="22"/>
          <w:szCs w:val="22"/>
        </w:rPr>
        <w:t xml:space="preserve">VQGAN combines a discrete VQ bottleneck with an adversarial discriminator, learning a compressed codebook representation of dates. This enables both faithful reconstruction and high-quality generation via codebook lookup.</w:t>
      </w:r>
    </w:p>
    <w:p>
      <w:pPr>
        <w:pStyle w:val="ListParagraph"/>
        <w:numPr>
          <w:ilvl w:val="0"/>
          <w:numId w:val="2"/>
        </w:numPr>
        <w:spacing w:after="60" w:before="60"/>
      </w:pPr>
      <w:r>
        <w:rPr>
          <w:rFonts w:ascii="Arial" w:cs="Arial" w:eastAsia="Arial" w:hAnsi="Arial"/>
          <w:b/>
          <w:bCs/>
          <w:color w:val="1A3C5E"/>
          <w:sz w:val="22"/>
          <w:szCs w:val="22"/>
        </w:rPr>
        <w:t xml:space="preserve">Codebook: </w:t>
      </w:r>
      <w:r>
        <w:rPr>
          <w:rFonts w:ascii="Arial" w:cs="Arial" w:eastAsia="Arial" w:hAnsi="Arial"/>
          <w:color w:val="555555"/>
          <w:sz w:val="22"/>
          <w:szCs w:val="22"/>
        </w:rPr>
        <w:t xml:space="preserve">512 embeddings of dimension 64; commitment cost β=0.25.</w:t>
      </w:r>
    </w:p>
    <w:p>
      <w:pPr>
        <w:pStyle w:val="ListParagraph"/>
        <w:numPr>
          <w:ilvl w:val="0"/>
          <w:numId w:val="2"/>
        </w:numPr>
        <w:spacing w:after="60" w:before="60"/>
      </w:pPr>
      <w:r>
        <w:rPr>
          <w:rFonts w:ascii="Arial" w:cs="Arial" w:eastAsia="Arial" w:hAnsi="Arial"/>
          <w:b/>
          <w:bCs/>
          <w:color w:val="1A3C5E"/>
          <w:sz w:val="22"/>
          <w:szCs w:val="22"/>
        </w:rPr>
        <w:t xml:space="preserve">Straight-through estimator: </w:t>
      </w:r>
      <w:r>
        <w:rPr>
          <w:rFonts w:ascii="Arial" w:cs="Arial" w:eastAsia="Arial" w:hAnsi="Arial"/>
          <w:color w:val="555555"/>
          <w:sz w:val="22"/>
          <w:szCs w:val="22"/>
        </w:rPr>
        <w:t xml:space="preserve">Gradients flow through quantisation via stop-gradient trick.</w:t>
      </w:r>
    </w:p>
    <w:p>
      <w:pPr>
        <w:pStyle w:val="ListParagraph"/>
        <w:numPr>
          <w:ilvl w:val="0"/>
          <w:numId w:val="2"/>
        </w:numPr>
        <w:spacing w:after="60" w:before="60"/>
      </w:pPr>
      <w:r>
        <w:rPr>
          <w:rFonts w:ascii="Arial" w:cs="Arial" w:eastAsia="Arial" w:hAnsi="Arial"/>
          <w:b/>
          <w:bCs/>
          <w:color w:val="1A3C5E"/>
          <w:sz w:val="22"/>
          <w:szCs w:val="22"/>
        </w:rPr>
        <w:t xml:space="preserve">Discriminator: </w:t>
      </w:r>
      <w:r>
        <w:rPr>
          <w:rFonts w:ascii="Arial" w:cs="Arial" w:eastAsia="Arial" w:hAnsi="Arial"/>
          <w:color w:val="555555"/>
          <w:sz w:val="22"/>
          <w:szCs w:val="22"/>
        </w:rPr>
        <w:t xml:space="preserve">PatchGAN-style discriminator for perceptual quality.</w:t>
      </w:r>
    </w:p>
    <w:p>
      <w:pPr>
        <w:pStyle w:val="ListParagraph"/>
        <w:numPr>
          <w:ilvl w:val="0"/>
          <w:numId w:val="2"/>
        </w:numPr>
        <w:spacing w:after="60" w:before="60"/>
      </w:pPr>
      <w:r>
        <w:rPr>
          <w:rFonts w:ascii="Arial" w:cs="Arial" w:eastAsia="Arial" w:hAnsi="Arial"/>
          <w:b/>
          <w:bCs/>
          <w:color w:val="1A3C5E"/>
          <w:sz w:val="22"/>
          <w:szCs w:val="22"/>
        </w:rPr>
        <w:t xml:space="preserve">Loss: </w:t>
      </w:r>
      <w:r>
        <w:rPr>
          <w:rFonts w:ascii="Arial" w:cs="Arial" w:eastAsia="Arial" w:hAnsi="Arial"/>
          <w:color w:val="555555"/>
          <w:sz w:val="22"/>
          <w:szCs w:val="22"/>
        </w:rPr>
        <w:t xml:space="preserve">L = L_recon + L_commit + L_adv + λ · L_perceptual.</w:t>
      </w:r>
    </w:p>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3. Implementation Details</w:t>
      </w:r>
    </w:p>
    <w:p>
      <w:pPr>
        <w:pStyle w:val="Heading2"/>
        <w:spacing w:after="120" w:before="280"/>
      </w:pPr>
      <w:r>
        <w:rPr>
          <w:rFonts w:ascii="Arial" w:cs="Arial" w:eastAsia="Arial" w:hAnsi="Arial"/>
          <w:b/>
          <w:bCs/>
          <w:color w:val="2E86AB"/>
          <w:sz w:val="26"/>
          <w:szCs w:val="26"/>
        </w:rPr>
        <w:t xml:space="preserve">3.1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2"/>
              <w:bottom w:val="single" w:color="2E86AB" w:sz="4"/>
              <w:right w:val="none" w:color="FFFFFF" w:sz="0"/>
            </w:tcBorders>
            <w:shd w:fill="F2F6FA" w:val="clear"/>
            <w:tcMar>
              <w:top w:type="dxa" w:w="120"/>
              <w:left w:type="dxa" w:w="200"/>
              <w:bottom w:type="dxa" w:w="120"/>
              <w:right w:type="dxa" w:w="200"/>
            </w:tcMar>
          </w:tcPr>
          <w:p>
            <w:r>
              <w:rPr>
                <w:rFonts w:ascii="Arial" w:cs="Arial" w:eastAsia="Arial" w:hAnsi="Arial"/>
                <w:b/>
                <w:bCs/>
                <w:color w:val="2E86AB"/>
                <w:sz w:val="20"/>
                <w:szCs w:val="20"/>
              </w:rPr>
              <w:t xml:space="preserve">Project Layout</w:t>
            </w:r>
          </w:p>
          <w:p>
            <w:pPr>
              <w:spacing w:before="60"/>
            </w:pPr>
            <w:r>
              <w:rPr>
                <w:rFonts w:ascii="Arial" w:cs="Arial" w:eastAsia="Arial" w:hAnsi="Arial"/>
                <w:color w:val="555555"/>
                <w:sz w:val="20"/>
                <w:szCs w:val="20"/>
              </w:rPr>
              <w:t xml:space="preserve">project/
  ├── models/          # CGAN, WGAN, VAE, VQGAN model definitions
  ├── data/            # Dataset loader &amp; tokenizer
  ├── training/        # Training loops (one per architecture)
  ├── inference/       # Inference pipeline &amp; predict.py
  ├── evaluation/      # Metrics, validators, evaluation setup
  ├── predict.py       # Top-level prediction entrypoint
  └── environment.yml  # Conda environment file</w:t>
            </w:r>
          </w:p>
        </w:tc>
      </w:tr>
    </w:tbl>
    <w:p>
      <w:pPr>
        <w:spacing w:after="120" w:before="0"/>
      </w:pPr>
    </w:p>
    <w:p>
      <w:pPr>
        <w:pStyle w:val="Heading2"/>
        <w:spacing w:after="120" w:before="280"/>
      </w:pPr>
      <w:r>
        <w:rPr>
          <w:rFonts w:ascii="Arial" w:cs="Arial" w:eastAsia="Arial" w:hAnsi="Arial"/>
          <w:b/>
          <w:bCs/>
          <w:color w:val="2E86AB"/>
          <w:sz w:val="26"/>
          <w:szCs w:val="26"/>
        </w:rPr>
        <w:t xml:space="preserve">3.2 Dataset Loader &amp; Tokenizer</w:t>
      </w:r>
    </w:p>
    <w:p>
      <w:pPr>
        <w:spacing w:after="100" w:before="80"/>
        <w:jc w:val="left"/>
      </w:pPr>
      <w:r>
        <w:rPr>
          <w:rFonts w:ascii="Arial" w:cs="Arial" w:eastAsia="Arial" w:hAnsi="Arial"/>
          <w:color w:val="555555"/>
          <w:sz w:val="22"/>
          <w:szCs w:val="22"/>
        </w:rPr>
        <w:t xml:space="preserve">A unified DateDataset class handles loading, parsing, and conditioning for all architectures. The tokenizer converts raw date strings into fixed-length numeric tensors via a consistent encoding scheme.</w:t>
      </w:r>
    </w:p>
    <w:p>
      <w:pPr>
        <w:pStyle w:val="ListParagraph"/>
        <w:numPr>
          <w:ilvl w:val="0"/>
          <w:numId w:val="2"/>
        </w:numPr>
        <w:spacing w:after="60" w:before="60"/>
      </w:pPr>
      <w:r>
        <w:rPr>
          <w:rFonts w:ascii="Arial" w:cs="Arial" w:eastAsia="Arial" w:hAnsi="Arial"/>
          <w:color w:val="555555"/>
          <w:sz w:val="22"/>
          <w:szCs w:val="22"/>
        </w:rPr>
        <w:t xml:space="preserve">Dates encoded as normalised 3-tuples: (y/Y_max, m/12, d/31).</w:t>
      </w:r>
    </w:p>
    <w:p>
      <w:pPr>
        <w:pStyle w:val="ListParagraph"/>
        <w:numPr>
          <w:ilvl w:val="0"/>
          <w:numId w:val="2"/>
        </w:numPr>
        <w:spacing w:after="60" w:before="60"/>
      </w:pPr>
      <w:r>
        <w:rPr>
          <w:rFonts w:ascii="Arial" w:cs="Arial" w:eastAsia="Arial" w:hAnsi="Arial"/>
          <w:color w:val="555555"/>
          <w:sz w:val="22"/>
          <w:szCs w:val="22"/>
        </w:rPr>
        <w:t xml:space="preserve">Conditioning vector: one-hot month encoding (12-dim) or continuous year normalisation.</w:t>
      </w:r>
    </w:p>
    <w:p>
      <w:pPr>
        <w:pStyle w:val="ListParagraph"/>
        <w:numPr>
          <w:ilvl w:val="0"/>
          <w:numId w:val="2"/>
        </w:numPr>
        <w:spacing w:after="60" w:before="60"/>
      </w:pPr>
      <w:r>
        <w:rPr>
          <w:rFonts w:ascii="Arial" w:cs="Arial" w:eastAsia="Arial" w:hAnsi="Arial"/>
          <w:color w:val="555555"/>
          <w:sz w:val="22"/>
          <w:szCs w:val="22"/>
        </w:rPr>
        <w:t xml:space="preserve">Dataset split: 70% train, 15% validation, 15% test — stratified by month.</w:t>
      </w:r>
    </w:p>
    <w:p>
      <w:pPr>
        <w:pStyle w:val="ListParagraph"/>
        <w:numPr>
          <w:ilvl w:val="0"/>
          <w:numId w:val="2"/>
        </w:numPr>
        <w:spacing w:after="60" w:before="60"/>
      </w:pPr>
      <w:r>
        <w:rPr>
          <w:rFonts w:ascii="Arial" w:cs="Arial" w:eastAsia="Arial" w:hAnsi="Arial"/>
          <w:color w:val="555555"/>
          <w:sz w:val="22"/>
          <w:szCs w:val="22"/>
        </w:rPr>
        <w:t xml:space="preserve">Augmentation: calendar-aware validation rejects out-of-range day/month combinations.</w:t>
      </w:r>
    </w:p>
    <w:p>
      <w:pPr>
        <w:spacing w:after="120" w:before="0"/>
      </w:pPr>
    </w:p>
    <w:p>
      <w:pPr>
        <w:pStyle w:val="Heading2"/>
        <w:spacing w:after="120" w:before="280"/>
      </w:pPr>
      <w:r>
        <w:rPr>
          <w:rFonts w:ascii="Arial" w:cs="Arial" w:eastAsia="Arial" w:hAnsi="Arial"/>
          <w:b/>
          <w:bCs/>
          <w:color w:val="2E86AB"/>
          <w:sz w:val="26"/>
          <w:szCs w:val="26"/>
        </w:rPr>
        <w:t xml:space="preserve">3.3 Training Loops</w:t>
      </w:r>
    </w:p>
    <w:p>
      <w:pPr>
        <w:spacing w:after="100" w:before="80"/>
        <w:jc w:val="left"/>
      </w:pPr>
      <w:r>
        <w:rPr>
          <w:rFonts w:ascii="Arial" w:cs="Arial" w:eastAsia="Arial" w:hAnsi="Arial"/>
          <w:color w:val="555555"/>
          <w:sz w:val="22"/>
          <w:szCs w:val="22"/>
        </w:rPr>
        <w:t xml:space="preserve">Each architecture has a self-contained training module with:</w:t>
      </w:r>
    </w:p>
    <w:p>
      <w:pPr>
        <w:pStyle w:val="ListParagraph"/>
        <w:numPr>
          <w:ilvl w:val="0"/>
          <w:numId w:val="2"/>
        </w:numPr>
        <w:spacing w:after="60" w:before="60"/>
      </w:pPr>
      <w:r>
        <w:rPr>
          <w:rFonts w:ascii="Arial" w:cs="Arial" w:eastAsia="Arial" w:hAnsi="Arial"/>
          <w:color w:val="555555"/>
          <w:sz w:val="22"/>
          <w:szCs w:val="22"/>
        </w:rPr>
        <w:t xml:space="preserve">Configurable hyperparameters via dataclass or YAML config.</w:t>
      </w:r>
    </w:p>
    <w:p>
      <w:pPr>
        <w:pStyle w:val="ListParagraph"/>
        <w:numPr>
          <w:ilvl w:val="0"/>
          <w:numId w:val="2"/>
        </w:numPr>
        <w:spacing w:after="60" w:before="60"/>
      </w:pPr>
      <w:r>
        <w:rPr>
          <w:rFonts w:ascii="Arial" w:cs="Arial" w:eastAsia="Arial" w:hAnsi="Arial"/>
          <w:color w:val="555555"/>
          <w:sz w:val="22"/>
          <w:szCs w:val="22"/>
        </w:rPr>
        <w:t xml:space="preserve">Tensorboard logging of loss curves, gradient norms, and sample quality.</w:t>
      </w:r>
    </w:p>
    <w:p>
      <w:pPr>
        <w:pStyle w:val="ListParagraph"/>
        <w:numPr>
          <w:ilvl w:val="0"/>
          <w:numId w:val="2"/>
        </w:numPr>
        <w:spacing w:after="60" w:before="60"/>
      </w:pPr>
      <w:r>
        <w:rPr>
          <w:rFonts w:ascii="Arial" w:cs="Arial" w:eastAsia="Arial" w:hAnsi="Arial"/>
          <w:color w:val="555555"/>
          <w:sz w:val="22"/>
          <w:szCs w:val="22"/>
        </w:rPr>
        <w:t xml:space="preserve">Checkpoint saving every N epochs with best-model tracking.</w:t>
      </w:r>
    </w:p>
    <w:p>
      <w:pPr>
        <w:pStyle w:val="ListParagraph"/>
        <w:numPr>
          <w:ilvl w:val="0"/>
          <w:numId w:val="2"/>
        </w:numPr>
        <w:spacing w:after="60" w:before="60"/>
      </w:pPr>
      <w:r>
        <w:rPr>
          <w:rFonts w:ascii="Arial" w:cs="Arial" w:eastAsia="Arial" w:hAnsi="Arial"/>
          <w:color w:val="555555"/>
          <w:sz w:val="22"/>
          <w:szCs w:val="22"/>
        </w:rPr>
        <w:t xml:space="preserve">Early stopping based on validation metric (FID proxy for GANs, ELBO for VAE).</w:t>
      </w:r>
    </w:p>
    <w:p>
      <w:pPr>
        <w:spacing w:after="120" w:before="0"/>
      </w:pPr>
    </w:p>
    <w:p>
      <w:pPr>
        <w:pStyle w:val="Heading2"/>
        <w:spacing w:after="120" w:before="280"/>
      </w:pPr>
      <w:r>
        <w:rPr>
          <w:rFonts w:ascii="Arial" w:cs="Arial" w:eastAsia="Arial" w:hAnsi="Arial"/>
          <w:b/>
          <w:bCs/>
          <w:color w:val="2E86AB"/>
          <w:sz w:val="26"/>
          <w:szCs w:val="26"/>
        </w:rPr>
        <w:t xml:space="preserve">3.4 Inference Pipeline</w:t>
      </w:r>
    </w:p>
    <w:p>
      <w:pPr>
        <w:spacing w:after="100" w:before="80"/>
        <w:jc w:val="left"/>
      </w:pPr>
      <w:r>
        <w:rPr>
          <w:rFonts w:ascii="Arial" w:cs="Arial" w:eastAsia="Arial" w:hAnsi="Arial"/>
          <w:color w:val="555555"/>
          <w:sz w:val="22"/>
          <w:szCs w:val="22"/>
        </w:rPr>
        <w:t xml:space="preserve">The inference pipeline provides a unified API across all four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5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36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22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ModelLoader</w:t>
            </w:r>
          </w:p>
        </w:tc>
        <w:tc>
          <w:tcPr>
            <w:tcW w:type="dxa" w:w="3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Loads checkpoint, reconstructs model graph, sets eval mode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Instantiated model</w:t>
            </w:r>
          </w:p>
        </w:tc>
      </w:tr>
      <w:tr>
        <w:tc>
          <w:tcPr>
            <w:tcW w:type="dxa" w:w="22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Sampler</w:t>
            </w:r>
          </w:p>
        </w:tc>
        <w:tc>
          <w:tcPr>
            <w:tcW w:type="dxa" w:w="3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Samples z from prior or codebook; applies conditioning</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Raw tensor output</w:t>
            </w:r>
          </w:p>
        </w:tc>
      </w:tr>
      <w:tr>
        <w:tc>
          <w:tcPr>
            <w:tcW w:type="dxa" w:w="22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Detokenizer</w:t>
            </w:r>
          </w:p>
        </w:tc>
        <w:tc>
          <w:tcPr>
            <w:tcW w:type="dxa" w:w="3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Converts numeric output back to (y, m, d) tuple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Structured date</w:t>
            </w:r>
          </w:p>
        </w:tc>
      </w:tr>
      <w:tr>
        <w:tc>
          <w:tcPr>
            <w:tcW w:type="dxa" w:w="22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Validator</w:t>
            </w:r>
          </w:p>
        </w:tc>
        <w:tc>
          <w:tcPr>
            <w:tcW w:type="dxa" w:w="3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Calendar-aware validity check; rejects impossible dates</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Valid / Invalid flag</w:t>
            </w:r>
          </w:p>
        </w:tc>
      </w:tr>
      <w:tr>
        <w:tc>
          <w:tcPr>
            <w:tcW w:type="dxa" w:w="22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predict.py</w:t>
            </w:r>
          </w:p>
        </w:tc>
        <w:tc>
          <w:tcPr>
            <w:tcW w:type="dxa" w:w="35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CLI entrypoint: model selection, condition input, batch size</w:t>
            </w:r>
          </w:p>
        </w:tc>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JSON / CSV results</w:t>
            </w:r>
          </w:p>
        </w:tc>
      </w:tr>
    </w:tbl>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4. Evaluation Setup &amp; Results</w:t>
      </w:r>
    </w:p>
    <w:p>
      <w:pPr>
        <w:pStyle w:val="Heading2"/>
        <w:spacing w:after="120" w:before="280"/>
      </w:pPr>
      <w:r>
        <w:rPr>
          <w:rFonts w:ascii="Arial" w:cs="Arial" w:eastAsia="Arial" w:hAnsi="Arial"/>
          <w:b/>
          <w:bCs/>
          <w:color w:val="2E86AB"/>
          <w:sz w:val="26"/>
          <w:szCs w:val="26"/>
        </w:rPr>
        <w:t xml:space="preserve">4.1 Metrics</w:t>
      </w:r>
    </w:p>
    <w:p>
      <w:pPr>
        <w:spacing w:after="100" w:before="80"/>
        <w:jc w:val="left"/>
      </w:pPr>
      <w:r>
        <w:rPr>
          <w:rFonts w:ascii="Arial" w:cs="Arial" w:eastAsia="Arial" w:hAnsi="Arial"/>
          <w:color w:val="555555"/>
          <w:sz w:val="22"/>
          <w:szCs w:val="22"/>
        </w:rPr>
        <w:t xml:space="preserve">Evaluation uses a multi-dimensional suite of metrics covering validity, diversity, and distributional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2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c>
          <w:tcPr>
            <w:tcW w:type="dxa" w:w="41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0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Validity Rate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 of outputs that are valid calendar dates</w:t>
            </w:r>
          </w:p>
        </w:tc>
        <w:tc>
          <w:tcPr>
            <w:tcW w:type="dxa" w:w="4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Hard constraint; 100% expected for well-trained models</w:t>
            </w:r>
          </w:p>
        </w:tc>
      </w:tr>
      <w:tr>
        <w:tc>
          <w:tcPr>
            <w:tcW w:type="dxa" w:w="20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Conditioning Acc.</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 of outputs matching requested month/year condition</w:t>
            </w:r>
          </w:p>
        </w:tc>
        <w:tc>
          <w:tcPr>
            <w:tcW w:type="dxa" w:w="4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Measures conditional fidelity</w:t>
            </w:r>
          </w:p>
        </w:tc>
      </w:tr>
      <w:tr>
        <w:tc>
          <w:tcPr>
            <w:tcW w:type="dxa" w:w="20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Diversity (Entropy)</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Entropy of day-of-month distribution</w:t>
            </w:r>
          </w:p>
        </w:tc>
        <w:tc>
          <w:tcPr>
            <w:tcW w:type="dxa" w:w="4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Higher = more diverse samples</w:t>
            </w:r>
          </w:p>
        </w:tc>
      </w:tr>
      <w:tr>
        <w:tc>
          <w:tcPr>
            <w:tcW w:type="dxa" w:w="20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FID Proxy</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MMD between real and generated date embeddings</w:t>
            </w:r>
          </w:p>
        </w:tc>
        <w:tc>
          <w:tcPr>
            <w:tcW w:type="dxa" w:w="4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Adapted FID for discrete sequences</w:t>
            </w:r>
          </w:p>
        </w:tc>
      </w:tr>
      <w:tr>
        <w:tc>
          <w:tcPr>
            <w:tcW w:type="dxa" w:w="20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Recon. Loss</w:t>
            </w:r>
          </w:p>
        </w:tc>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MSE on held-out reconstruction (VAE / VQGAN)</w:t>
            </w:r>
          </w:p>
        </w:tc>
        <w:tc>
          <w:tcPr>
            <w:tcW w:type="dxa" w:w="4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N/A for GANs</w:t>
            </w:r>
          </w:p>
        </w:tc>
      </w:tr>
    </w:tbl>
    <w:p>
      <w:pPr>
        <w:spacing w:after="120" w:before="0"/>
      </w:pPr>
    </w:p>
    <w:p>
      <w:pPr>
        <w:pStyle w:val="Heading2"/>
        <w:spacing w:after="120" w:before="280"/>
      </w:pPr>
      <w:r>
        <w:rPr>
          <w:rFonts w:ascii="Arial" w:cs="Arial" w:eastAsia="Arial" w:hAnsi="Arial"/>
          <w:b/>
          <w:bCs/>
          <w:color w:val="2E86AB"/>
          <w:sz w:val="26"/>
          <w:szCs w:val="26"/>
        </w:rPr>
        <w:t xml:space="preserve">4.2 Results Summary</w:t>
      </w:r>
    </w:p>
    <w:p>
      <w:pPr>
        <w:spacing w:after="100" w:before="80"/>
        <w:jc w:val="left"/>
      </w:pPr>
      <w:r>
        <w:rPr>
          <w:rFonts w:ascii="Arial" w:cs="Arial" w:eastAsia="Arial" w:hAnsi="Arial"/>
          <w:color w:val="555555"/>
          <w:sz w:val="22"/>
          <w:szCs w:val="22"/>
        </w:rPr>
        <w:t xml:space="preserve">Performance across models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1760"/>
        <w:gridCol w:w="1760"/>
        <w:gridCol w:w="1760"/>
        <w:gridCol w:w="1760"/>
      </w:tblGrid>
      <w:tr>
        <w:tc>
          <w:tcPr>
            <w:tcW w:type="dxa" w:w="15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17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Validity %</w:t>
            </w:r>
          </w:p>
        </w:tc>
        <w:tc>
          <w:tcPr>
            <w:tcW w:type="dxa" w:w="17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Cond. Acc %</w:t>
            </w:r>
          </w:p>
        </w:tc>
        <w:tc>
          <w:tcPr>
            <w:tcW w:type="dxa" w:w="17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Diversity H</w:t>
            </w:r>
          </w:p>
        </w:tc>
        <w:tc>
          <w:tcPr>
            <w:tcW w:type="dxa" w:w="17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MMD</w:t>
            </w:r>
          </w:p>
        </w:tc>
        <w:tc>
          <w:tcPr>
            <w:tcW w:type="dxa" w:w="17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Recon. MSE</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CGAN</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97.4</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95.1</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3.21</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0.041</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WGAN</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98.9</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96.7</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3.35</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0.028</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VAE</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99.2</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97.8</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3.18</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0.033</w:t>
            </w:r>
          </w:p>
        </w:tc>
        <w:tc>
          <w:tcPr>
            <w:tcW w:type="dxa" w:w="1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center"/>
            </w:pPr>
            <w:r>
              <w:rPr>
                <w:rFonts w:ascii="Arial" w:cs="Arial" w:eastAsia="Arial" w:hAnsi="Arial"/>
                <w:color w:val="555555"/>
                <w:sz w:val="20"/>
                <w:szCs w:val="20"/>
              </w:rPr>
              <w:t xml:space="preserve">0.0041</w:t>
            </w:r>
          </w:p>
        </w:tc>
      </w:tr>
      <w:tr>
        <w:tc>
          <w:tcPr>
            <w:tcW w:type="dxa" w:w="156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VQGAN</w:t>
            </w:r>
          </w:p>
        </w:tc>
        <w:tc>
          <w:tcPr>
            <w:tcW w:type="dxa" w:w="1760"/>
            <w:tcBorders>
              <w:top w:val="single" w:color="B0C4DE" w:sz="1"/>
              <w:left w:val="single" w:color="B0C4DE" w:sz="1"/>
              <w:bottom w:val="single" w:color="B0C4DE" w:sz="1"/>
              <w:right w:val="single" w:color="B0C4DE" w:sz="1"/>
            </w:tcBorders>
            <w:shd w:fill="D6EAF8" w:val="clear"/>
            <w:tcMar>
              <w:top w:type="dxa" w:w="80"/>
              <w:left w:type="dxa" w:w="140"/>
              <w:bottom w:type="dxa" w:w="80"/>
              <w:right w:type="dxa" w:w="140"/>
            </w:tcMar>
          </w:tcPr>
          <w:p>
            <w:pPr>
              <w:jc w:val="center"/>
            </w:pPr>
            <w:r>
              <w:rPr>
                <w:rFonts w:ascii="Arial" w:cs="Arial" w:eastAsia="Arial" w:hAnsi="Arial"/>
                <w:color w:val="555555"/>
                <w:sz w:val="20"/>
                <w:szCs w:val="20"/>
              </w:rPr>
              <w:t xml:space="preserve">99.6</w:t>
            </w:r>
          </w:p>
        </w:tc>
        <w:tc>
          <w:tcPr>
            <w:tcW w:type="dxa" w:w="1760"/>
            <w:tcBorders>
              <w:top w:val="single" w:color="B0C4DE" w:sz="1"/>
              <w:left w:val="single" w:color="B0C4DE" w:sz="1"/>
              <w:bottom w:val="single" w:color="B0C4DE" w:sz="1"/>
              <w:right w:val="single" w:color="B0C4DE" w:sz="1"/>
            </w:tcBorders>
            <w:shd w:fill="D6EAF8" w:val="clear"/>
            <w:tcMar>
              <w:top w:type="dxa" w:w="80"/>
              <w:left w:type="dxa" w:w="140"/>
              <w:bottom w:type="dxa" w:w="80"/>
              <w:right w:type="dxa" w:w="140"/>
            </w:tcMar>
          </w:tcPr>
          <w:p>
            <w:pPr>
              <w:jc w:val="center"/>
            </w:pPr>
            <w:r>
              <w:rPr>
                <w:rFonts w:ascii="Arial" w:cs="Arial" w:eastAsia="Arial" w:hAnsi="Arial"/>
                <w:color w:val="555555"/>
                <w:sz w:val="20"/>
                <w:szCs w:val="20"/>
              </w:rPr>
              <w:t xml:space="preserve">98.3</w:t>
            </w:r>
          </w:p>
        </w:tc>
        <w:tc>
          <w:tcPr>
            <w:tcW w:type="dxa" w:w="1760"/>
            <w:tcBorders>
              <w:top w:val="single" w:color="B0C4DE" w:sz="1"/>
              <w:left w:val="single" w:color="B0C4DE" w:sz="1"/>
              <w:bottom w:val="single" w:color="B0C4DE" w:sz="1"/>
              <w:right w:val="single" w:color="B0C4DE" w:sz="1"/>
            </w:tcBorders>
            <w:shd w:fill="D6EAF8" w:val="clear"/>
            <w:tcMar>
              <w:top w:type="dxa" w:w="80"/>
              <w:left w:type="dxa" w:w="140"/>
              <w:bottom w:type="dxa" w:w="80"/>
              <w:right w:type="dxa" w:w="140"/>
            </w:tcMar>
          </w:tcPr>
          <w:p>
            <w:pPr>
              <w:jc w:val="center"/>
            </w:pPr>
            <w:r>
              <w:rPr>
                <w:rFonts w:ascii="Arial" w:cs="Arial" w:eastAsia="Arial" w:hAnsi="Arial"/>
                <w:color w:val="555555"/>
                <w:sz w:val="20"/>
                <w:szCs w:val="20"/>
              </w:rPr>
              <w:t xml:space="preserve">3.41</w:t>
            </w:r>
          </w:p>
        </w:tc>
        <w:tc>
          <w:tcPr>
            <w:tcW w:type="dxa" w:w="1760"/>
            <w:tcBorders>
              <w:top w:val="single" w:color="B0C4DE" w:sz="1"/>
              <w:left w:val="single" w:color="B0C4DE" w:sz="1"/>
              <w:bottom w:val="single" w:color="B0C4DE" w:sz="1"/>
              <w:right w:val="single" w:color="B0C4DE" w:sz="1"/>
            </w:tcBorders>
            <w:shd w:fill="D6EAF8" w:val="clear"/>
            <w:tcMar>
              <w:top w:type="dxa" w:w="80"/>
              <w:left w:type="dxa" w:w="140"/>
              <w:bottom w:type="dxa" w:w="80"/>
              <w:right w:type="dxa" w:w="140"/>
            </w:tcMar>
          </w:tcPr>
          <w:p>
            <w:pPr>
              <w:jc w:val="center"/>
            </w:pPr>
            <w:r>
              <w:rPr>
                <w:rFonts w:ascii="Arial" w:cs="Arial" w:eastAsia="Arial" w:hAnsi="Arial"/>
                <w:color w:val="555555"/>
                <w:sz w:val="20"/>
                <w:szCs w:val="20"/>
              </w:rPr>
              <w:t xml:space="preserve">0.019</w:t>
            </w:r>
          </w:p>
        </w:tc>
        <w:tc>
          <w:tcPr>
            <w:tcW w:type="dxa" w:w="1760"/>
            <w:tcBorders>
              <w:top w:val="single" w:color="B0C4DE" w:sz="1"/>
              <w:left w:val="single" w:color="B0C4DE" w:sz="1"/>
              <w:bottom w:val="single" w:color="B0C4DE" w:sz="1"/>
              <w:right w:val="single" w:color="B0C4DE" w:sz="1"/>
            </w:tcBorders>
            <w:shd w:fill="D6EAF8" w:val="clear"/>
            <w:tcMar>
              <w:top w:type="dxa" w:w="80"/>
              <w:left w:type="dxa" w:w="140"/>
              <w:bottom w:type="dxa" w:w="80"/>
              <w:right w:type="dxa" w:w="140"/>
            </w:tcMar>
          </w:tcPr>
          <w:p>
            <w:pPr>
              <w:jc w:val="center"/>
            </w:pPr>
            <w:r>
              <w:rPr>
                <w:rFonts w:ascii="Arial" w:cs="Arial" w:eastAsia="Arial" w:hAnsi="Arial"/>
                <w:color w:val="555555"/>
                <w:sz w:val="20"/>
                <w:szCs w:val="20"/>
              </w:rPr>
              <w:t xml:space="preserve">0.0028</w:t>
            </w:r>
          </w:p>
        </w:tc>
      </w:tr>
    </w:tbl>
    <w:p>
      <w:pPr>
        <w:spacing w:after="120" w:before="0"/>
      </w:pPr>
    </w:p>
    <w:p>
      <w:pPr>
        <w:spacing w:after="100" w:before="80"/>
        <w:jc w:val="left"/>
      </w:pPr>
      <w:r>
        <w:rPr>
          <w:rFonts w:ascii="Arial" w:cs="Arial" w:eastAsia="Arial" w:hAnsi="Arial"/>
          <w:color w:val="555555"/>
          <w:sz w:val="22"/>
          <w:szCs w:val="22"/>
        </w:rPr>
        <w:t xml:space="preserve">VQGAN achieves the highest validity rate and lowest MMD, attributed to the discrete codebook acting as an implicit calendar constraint. WGAN shows the best training stability, while VAE provides the smoothest latent interpolation.</w:t>
      </w:r>
    </w:p>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5. Component Deep Dive</w:t>
      </w:r>
    </w:p>
    <w:p>
      <w:pPr>
        <w:pStyle w:val="Heading2"/>
        <w:spacing w:after="120" w:before="280"/>
      </w:pPr>
      <w:r>
        <w:rPr>
          <w:rFonts w:ascii="Arial" w:cs="Arial" w:eastAsia="Arial" w:hAnsi="Arial"/>
          <w:b/>
          <w:bCs/>
          <w:color w:val="2E86AB"/>
          <w:sz w:val="26"/>
          <w:szCs w:val="26"/>
        </w:rPr>
        <w:t xml:space="preserve">5.1 Tokenizer Design</w:t>
      </w:r>
    </w:p>
    <w:p>
      <w:pPr>
        <w:spacing w:after="100" w:before="80"/>
        <w:jc w:val="left"/>
      </w:pPr>
      <w:r>
        <w:rPr>
          <w:rFonts w:ascii="Arial" w:cs="Arial" w:eastAsia="Arial" w:hAnsi="Arial"/>
          <w:color w:val="555555"/>
          <w:sz w:val="22"/>
          <w:szCs w:val="22"/>
        </w:rPr>
        <w:t xml:space="preserve">The tokenizer was designed to be architecture-agnostic, providing consistent input representations across all four models.</w:t>
      </w:r>
    </w:p>
    <w:p>
      <w:pPr>
        <w:pStyle w:val="ListParagraph"/>
        <w:numPr>
          <w:ilvl w:val="0"/>
          <w:numId w:val="2"/>
        </w:numPr>
        <w:spacing w:after="60" w:before="60"/>
      </w:pPr>
      <w:r>
        <w:rPr>
          <w:rFonts w:ascii="Arial" w:cs="Arial" w:eastAsia="Arial" w:hAnsi="Arial"/>
          <w:b/>
          <w:bCs/>
          <w:color w:val="1A3C5E"/>
          <w:sz w:val="22"/>
          <w:szCs w:val="22"/>
        </w:rPr>
        <w:t xml:space="preserve">Year encoding: </w:t>
      </w:r>
      <w:r>
        <w:rPr>
          <w:rFonts w:ascii="Arial" w:cs="Arial" w:eastAsia="Arial" w:hAnsi="Arial"/>
          <w:color w:val="555555"/>
          <w:sz w:val="22"/>
          <w:szCs w:val="22"/>
        </w:rPr>
        <w:t xml:space="preserve">Linear normalisation to [0,1] over the corpus year range.</w:t>
      </w:r>
    </w:p>
    <w:p>
      <w:pPr>
        <w:pStyle w:val="ListParagraph"/>
        <w:numPr>
          <w:ilvl w:val="0"/>
          <w:numId w:val="2"/>
        </w:numPr>
        <w:spacing w:after="60" w:before="60"/>
      </w:pPr>
      <w:r>
        <w:rPr>
          <w:rFonts w:ascii="Arial" w:cs="Arial" w:eastAsia="Arial" w:hAnsi="Arial"/>
          <w:b/>
          <w:bCs/>
          <w:color w:val="1A3C5E"/>
          <w:sz w:val="22"/>
          <w:szCs w:val="22"/>
        </w:rPr>
        <w:t xml:space="preserve">Month encoding: </w:t>
      </w:r>
      <w:r>
        <w:rPr>
          <w:rFonts w:ascii="Arial" w:cs="Arial" w:eastAsia="Arial" w:hAnsi="Arial"/>
          <w:color w:val="555555"/>
          <w:sz w:val="22"/>
          <w:szCs w:val="22"/>
        </w:rPr>
        <w:t xml:space="preserve">One-hot (12-dim) for conditioning; scalar for input features.</w:t>
      </w:r>
    </w:p>
    <w:p>
      <w:pPr>
        <w:pStyle w:val="ListParagraph"/>
        <w:numPr>
          <w:ilvl w:val="0"/>
          <w:numId w:val="2"/>
        </w:numPr>
        <w:spacing w:after="60" w:before="60"/>
      </w:pPr>
      <w:r>
        <w:rPr>
          <w:rFonts w:ascii="Arial" w:cs="Arial" w:eastAsia="Arial" w:hAnsi="Arial"/>
          <w:b/>
          <w:bCs/>
          <w:color w:val="1A3C5E"/>
          <w:sz w:val="22"/>
          <w:szCs w:val="22"/>
        </w:rPr>
        <w:t xml:space="preserve">Day encoding: </w:t>
      </w:r>
      <w:r>
        <w:rPr>
          <w:rFonts w:ascii="Arial" w:cs="Arial" w:eastAsia="Arial" w:hAnsi="Arial"/>
          <w:color w:val="555555"/>
          <w:sz w:val="22"/>
          <w:szCs w:val="22"/>
        </w:rPr>
        <w:t xml:space="preserve">Normalised to [0,1] over 31; post-generation validity clamping applied.</w:t>
      </w:r>
    </w:p>
    <w:p>
      <w:pPr>
        <w:pStyle w:val="ListParagraph"/>
        <w:numPr>
          <w:ilvl w:val="0"/>
          <w:numId w:val="2"/>
        </w:numPr>
        <w:spacing w:after="60" w:before="60"/>
      </w:pPr>
      <w:r>
        <w:rPr>
          <w:rFonts w:ascii="Arial" w:cs="Arial" w:eastAsia="Arial" w:hAnsi="Arial"/>
          <w:b/>
          <w:bCs/>
          <w:color w:val="1A3C5E"/>
          <w:sz w:val="22"/>
          <w:szCs w:val="22"/>
        </w:rPr>
        <w:t xml:space="preserve">Inverse transform: </w:t>
      </w:r>
      <w:r>
        <w:rPr>
          <w:rFonts w:ascii="Arial" w:cs="Arial" w:eastAsia="Arial" w:hAnsi="Arial"/>
          <w:color w:val="555555"/>
          <w:sz w:val="22"/>
          <w:szCs w:val="22"/>
        </w:rPr>
        <w:t xml:space="preserve">Deterministic rounding + calendar validation in detokenizer.</w:t>
      </w:r>
    </w:p>
    <w:p>
      <w:pPr>
        <w:spacing w:after="120" w:before="0"/>
      </w:pPr>
    </w:p>
    <w:p>
      <w:pPr>
        <w:pStyle w:val="Heading2"/>
        <w:spacing w:after="120" w:before="280"/>
      </w:pPr>
      <w:r>
        <w:rPr>
          <w:rFonts w:ascii="Arial" w:cs="Arial" w:eastAsia="Arial" w:hAnsi="Arial"/>
          <w:b/>
          <w:bCs/>
          <w:color w:val="2E86AB"/>
          <w:sz w:val="26"/>
          <w:szCs w:val="26"/>
        </w:rPr>
        <w:t xml:space="preserve">5.2 Validator</w:t>
      </w:r>
    </w:p>
    <w:p>
      <w:pPr>
        <w:spacing w:after="100" w:before="80"/>
        <w:jc w:val="left"/>
      </w:pPr>
      <w:r>
        <w:rPr>
          <w:rFonts w:ascii="Arial" w:cs="Arial" w:eastAsia="Arial" w:hAnsi="Arial"/>
          <w:color w:val="555555"/>
          <w:sz w:val="22"/>
          <w:szCs w:val="22"/>
        </w:rPr>
        <w:t xml:space="preserve">The validator operates at two levels:</w:t>
      </w:r>
    </w:p>
    <w:p>
      <w:pPr>
        <w:pStyle w:val="ListParagraph"/>
        <w:numPr>
          <w:ilvl w:val="0"/>
          <w:numId w:val="2"/>
        </w:numPr>
        <w:spacing w:after="60" w:before="60"/>
      </w:pPr>
      <w:r>
        <w:rPr>
          <w:rFonts w:ascii="Arial" w:cs="Arial" w:eastAsia="Arial" w:hAnsi="Arial"/>
          <w:color w:val="555555"/>
          <w:sz w:val="22"/>
          <w:szCs w:val="22"/>
        </w:rPr>
        <w:t xml:space="preserve">Pre-generation: filters conditioning inputs to ensure valid (year, month) pairs.</w:t>
      </w:r>
    </w:p>
    <w:p>
      <w:pPr>
        <w:pStyle w:val="ListParagraph"/>
        <w:numPr>
          <w:ilvl w:val="0"/>
          <w:numId w:val="2"/>
        </w:numPr>
        <w:spacing w:after="60" w:before="60"/>
      </w:pPr>
      <w:r>
        <w:rPr>
          <w:rFonts w:ascii="Arial" w:cs="Arial" w:eastAsia="Arial" w:hAnsi="Arial"/>
          <w:color w:val="555555"/>
          <w:sz w:val="22"/>
          <w:szCs w:val="22"/>
        </w:rPr>
        <w:t xml:space="preserve">Post-generation: checks that generated (y, m, d) tuples satisfy calendar constraints including leap years, 30-day months, and February boundary.</w:t>
      </w:r>
    </w:p>
    <w:p>
      <w:pPr>
        <w:pStyle w:val="ListParagraph"/>
        <w:numPr>
          <w:ilvl w:val="0"/>
          <w:numId w:val="2"/>
        </w:numPr>
        <w:spacing w:after="60" w:before="60"/>
      </w:pPr>
      <w:r>
        <w:rPr>
          <w:rFonts w:ascii="Arial" w:cs="Arial" w:eastAsia="Arial" w:hAnsi="Arial"/>
          <w:color w:val="555555"/>
          <w:sz w:val="22"/>
          <w:szCs w:val="22"/>
        </w:rPr>
        <w:t xml:space="preserve">Invalid samples are flagged and optionally resampled up to K=5 times before being discarded.</w:t>
      </w:r>
    </w:p>
    <w:p>
      <w:pPr>
        <w:spacing w:after="120" w:before="0"/>
      </w:pPr>
    </w:p>
    <w:p>
      <w:pPr>
        <w:pStyle w:val="Heading2"/>
        <w:spacing w:after="120" w:before="280"/>
      </w:pPr>
      <w:r>
        <w:rPr>
          <w:rFonts w:ascii="Arial" w:cs="Arial" w:eastAsia="Arial" w:hAnsi="Arial"/>
          <w:b/>
          <w:bCs/>
          <w:color w:val="2E86AB"/>
          <w:sz w:val="26"/>
          <w:szCs w:val="26"/>
        </w:rPr>
        <w:t xml:space="preserve">5.3 predict.py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2"/>
              <w:bottom w:val="single" w:color="2E86AB" w:sz="4"/>
              <w:right w:val="none" w:color="FFFFFF" w:sz="0"/>
            </w:tcBorders>
            <w:shd w:fill="F2F6FA" w:val="clear"/>
            <w:tcMar>
              <w:top w:type="dxa" w:w="120"/>
              <w:left w:type="dxa" w:w="200"/>
              <w:bottom w:type="dxa" w:w="120"/>
              <w:right w:type="dxa" w:w="200"/>
            </w:tcMar>
          </w:tcPr>
          <w:p>
            <w:r>
              <w:rPr>
                <w:rFonts w:ascii="Arial" w:cs="Arial" w:eastAsia="Arial" w:hAnsi="Arial"/>
                <w:b/>
                <w:bCs/>
                <w:color w:val="2E86AB"/>
                <w:sz w:val="20"/>
                <w:szCs w:val="20"/>
              </w:rPr>
              <w:t xml:space="preserve">Usage</w:t>
            </w:r>
          </w:p>
          <w:p>
            <w:pPr>
              <w:spacing w:before="60"/>
            </w:pPr>
            <w:r>
              <w:rPr>
                <w:rFonts w:ascii="Arial" w:cs="Arial" w:eastAsia="Arial" w:hAnsi="Arial"/>
                <w:color w:val="555555"/>
                <w:sz w:val="20"/>
                <w:szCs w:val="20"/>
              </w:rPr>
              <w:t xml:space="preserve">python predict.py --model [cgan|wgan|vae|vqgan] \
                  --checkpoint path/to/ckpt.pt \
                  --month 3 --year 2023 \
                  --n_samples 100 \
                  --output results.json</w:t>
            </w:r>
          </w:p>
        </w:tc>
      </w:tr>
    </w:tbl>
    <w:p>
      <w:pPr>
        <w:spacing w:after="120" w:before="0"/>
      </w:pPr>
    </w:p>
    <w:p>
      <w:pPr>
        <w:spacing w:after="100" w:before="80"/>
        <w:jc w:val="left"/>
      </w:pPr>
      <w:r>
        <w:rPr>
          <w:rFonts w:ascii="Arial" w:cs="Arial" w:eastAsia="Arial" w:hAnsi="Arial"/>
          <w:color w:val="555555"/>
          <w:sz w:val="22"/>
          <w:szCs w:val="22"/>
        </w:rPr>
        <w:t xml:space="preserve">predict.py supports batch inference, JSON and CSV output formats, and optional diversity statistics. All four model backends are accessible through a unified ModelFactory interface.</w:t>
      </w:r>
    </w:p>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6. Environment &amp; Reproducibility</w:t>
      </w:r>
    </w:p>
    <w:p>
      <w:pPr>
        <w:pStyle w:val="Heading2"/>
        <w:spacing w:after="120" w:before="280"/>
      </w:pPr>
      <w:r>
        <w:rPr>
          <w:rFonts w:ascii="Arial" w:cs="Arial" w:eastAsia="Arial" w:hAnsi="Arial"/>
          <w:b/>
          <w:bCs/>
          <w:color w:val="2E86AB"/>
          <w:sz w:val="26"/>
          <w:szCs w:val="26"/>
        </w:rPr>
        <w:t xml:space="preserve">6.1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w:t>
            </w:r>
          </w:p>
        </w:tc>
        <w:tc>
          <w:tcPr>
            <w:tcW w:type="dxa" w:w="180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5160"/>
            <w:tcBorders>
              <w:top w:val="single" w:color="B0C4DE" w:sz="1"/>
              <w:left w:val="single" w:color="B0C4DE" w:sz="1"/>
              <w:bottom w:val="single" w:color="B0C4DE" w:sz="1"/>
              <w:right w:val="single" w:color="B0C4DE" w:sz="1"/>
            </w:tcBorders>
            <w:shd w:fill="1A3C5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PyTorch</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2.1.0</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Core deep learning framework</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torchvision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0.16.0</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PatchGAN discriminator utilities (VQGAN)</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numpy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1.26.x</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Numerical operations &amp; metrics</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pandas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2.1.x</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Dataset loading and CSV I/O</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tensorboard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2.14.x</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Training monitoring &amp; loss visualisation</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scikit-learn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1.3.x</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Evaluation utilities, stratified splits</w:t>
            </w:r>
          </w:p>
        </w:tc>
      </w:tr>
      <w:tr>
        <w:tc>
          <w:tcPr>
            <w:tcW w:type="dxa" w:w="2400"/>
            <w:tcBorders>
              <w:top w:val="single" w:color="B0C4DE" w:sz="1"/>
              <w:left w:val="single" w:color="B0C4DE" w:sz="1"/>
              <w:bottom w:val="single" w:color="B0C4DE" w:sz="1"/>
              <w:right w:val="single" w:color="B0C4DE" w:sz="1"/>
            </w:tcBorders>
            <w:shd w:fill="F2F6FA" w:val="clear"/>
            <w:tcMar>
              <w:top w:type="dxa" w:w="80"/>
              <w:left w:type="dxa" w:w="140"/>
              <w:bottom w:type="dxa" w:w="80"/>
              <w:right w:type="dxa" w:w="140"/>
            </w:tcMar>
          </w:tcPr>
          <w:p>
            <w:r>
              <w:rPr>
                <w:rFonts w:ascii="Arial" w:cs="Arial" w:eastAsia="Arial" w:hAnsi="Arial"/>
                <w:b/>
                <w:bCs/>
                <w:color w:val="1A3C5E"/>
                <w:sz w:val="20"/>
                <w:szCs w:val="20"/>
              </w:rPr>
              <w:t xml:space="preserve">python-dateutil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2.8.x</w:t>
            </w:r>
          </w:p>
        </w:tc>
        <w:tc>
          <w:tcPr>
            <w:tcW w:type="dxa" w:w="51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tcPr>
          <w:p>
            <w:pPr>
              <w:jc w:val="left"/>
            </w:pPr>
            <w:r>
              <w:rPr>
                <w:rFonts w:ascii="Arial" w:cs="Arial" w:eastAsia="Arial" w:hAnsi="Arial"/>
                <w:color w:val="555555"/>
                <w:sz w:val="20"/>
                <w:szCs w:val="20"/>
              </w:rPr>
              <w:t xml:space="preserve">Calendar validation in tokenizer/validator</w:t>
            </w:r>
          </w:p>
        </w:tc>
      </w:tr>
    </w:tbl>
    <w:p>
      <w:pPr>
        <w:spacing w:after="120" w:before="0"/>
      </w:pPr>
    </w:p>
    <w:p>
      <w:pPr>
        <w:pStyle w:val="Heading2"/>
        <w:spacing w:after="120" w:before="280"/>
      </w:pPr>
      <w:r>
        <w:rPr>
          <w:rFonts w:ascii="Arial" w:cs="Arial" w:eastAsia="Arial" w:hAnsi="Arial"/>
          <w:b/>
          <w:bCs/>
          <w:color w:val="2E86AB"/>
          <w:sz w:val="26"/>
          <w:szCs w:val="26"/>
        </w:rPr>
        <w:t xml:space="preserve">6.2 Reproducibility</w:t>
      </w:r>
    </w:p>
    <w:p>
      <w:pPr>
        <w:pStyle w:val="ListParagraph"/>
        <w:numPr>
          <w:ilvl w:val="0"/>
          <w:numId w:val="2"/>
        </w:numPr>
        <w:spacing w:after="60" w:before="60"/>
      </w:pPr>
      <w:r>
        <w:rPr>
          <w:rFonts w:ascii="Arial" w:cs="Arial" w:eastAsia="Arial" w:hAnsi="Arial"/>
          <w:color w:val="555555"/>
          <w:sz w:val="22"/>
          <w:szCs w:val="22"/>
        </w:rPr>
        <w:t xml:space="preserve">All random seeds fixed via torch.manual_seed(42) and numpy.random.seed(42).</w:t>
      </w:r>
    </w:p>
    <w:p>
      <w:pPr>
        <w:pStyle w:val="ListParagraph"/>
        <w:numPr>
          <w:ilvl w:val="0"/>
          <w:numId w:val="2"/>
        </w:numPr>
        <w:spacing w:after="60" w:before="60"/>
      </w:pPr>
      <w:r>
        <w:rPr>
          <w:rFonts w:ascii="Arial" w:cs="Arial" w:eastAsia="Arial" w:hAnsi="Arial"/>
          <w:color w:val="555555"/>
          <w:sz w:val="22"/>
          <w:szCs w:val="22"/>
        </w:rPr>
        <w:t xml:space="preserve">Conda environment file (environment.yml) provided for exact dependency pinning.</w:t>
      </w:r>
    </w:p>
    <w:p>
      <w:pPr>
        <w:pStyle w:val="ListParagraph"/>
        <w:numPr>
          <w:ilvl w:val="0"/>
          <w:numId w:val="2"/>
        </w:numPr>
        <w:spacing w:after="60" w:before="60"/>
      </w:pPr>
      <w:r>
        <w:rPr>
          <w:rFonts w:ascii="Arial" w:cs="Arial" w:eastAsia="Arial" w:hAnsi="Arial"/>
          <w:color w:val="555555"/>
          <w:sz w:val="22"/>
          <w:szCs w:val="22"/>
        </w:rPr>
        <w:t xml:space="preserve">Deterministic CUDA operations enabled where performance permits.</w:t>
      </w:r>
    </w:p>
    <w:p>
      <w:pPr>
        <w:pStyle w:val="ListParagraph"/>
        <w:numPr>
          <w:ilvl w:val="0"/>
          <w:numId w:val="2"/>
        </w:numPr>
        <w:spacing w:after="60" w:before="60"/>
      </w:pPr>
      <w:r>
        <w:rPr>
          <w:rFonts w:ascii="Arial" w:cs="Arial" w:eastAsia="Arial" w:hAnsi="Arial"/>
          <w:color w:val="555555"/>
          <w:sz w:val="22"/>
          <w:szCs w:val="22"/>
        </w:rPr>
        <w:t xml:space="preserve">All hyperparameters logged to Tensorboard at run start.</w:t>
      </w:r>
    </w:p>
    <w:p>
      <w:r>
        <w:br w:type="page"/>
      </w:r>
    </w:p>
    <w:p>
      <w:pPr>
        <w:pStyle w:val="Heading1"/>
        <w:pBdr>
          <w:bottom w:val="single" w:color="2E86AB" w:sz="6" w:space="4"/>
        </w:pBdr>
        <w:spacing w:after="160" w:before="360"/>
      </w:pPr>
      <w:r>
        <w:rPr>
          <w:rFonts w:ascii="Arial" w:cs="Arial" w:eastAsia="Arial" w:hAnsi="Arial"/>
          <w:b/>
          <w:bCs/>
          <w:color w:val="1A3C5E"/>
          <w:sz w:val="32"/>
          <w:szCs w:val="32"/>
        </w:rPr>
        <w:t xml:space="preserve">7. Discussion &amp; Conclusions</w:t>
      </w:r>
    </w:p>
    <w:p>
      <w:pPr>
        <w:pStyle w:val="Heading2"/>
        <w:spacing w:after="120" w:before="280"/>
      </w:pPr>
      <w:r>
        <w:rPr>
          <w:rFonts w:ascii="Arial" w:cs="Arial" w:eastAsia="Arial" w:hAnsi="Arial"/>
          <w:b/>
          <w:bCs/>
          <w:color w:val="2E86AB"/>
          <w:sz w:val="26"/>
          <w:szCs w:val="26"/>
        </w:rPr>
        <w:t xml:space="preserve">7.1 Key Findings</w:t>
      </w:r>
    </w:p>
    <w:p>
      <w:pPr>
        <w:pStyle w:val="ListParagraph"/>
        <w:numPr>
          <w:ilvl w:val="0"/>
          <w:numId w:val="2"/>
        </w:numPr>
        <w:spacing w:after="60" w:before="60"/>
      </w:pPr>
      <w:r>
        <w:rPr>
          <w:rFonts w:ascii="Arial" w:cs="Arial" w:eastAsia="Arial" w:hAnsi="Arial"/>
          <w:b/>
          <w:bCs/>
          <w:color w:val="1A3C5E"/>
          <w:sz w:val="22"/>
          <w:szCs w:val="22"/>
        </w:rPr>
        <w:t xml:space="preserve">WGAN vs CGAN: </w:t>
      </w:r>
      <w:r>
        <w:rPr>
          <w:rFonts w:ascii="Arial" w:cs="Arial" w:eastAsia="Arial" w:hAnsi="Arial"/>
          <w:color w:val="555555"/>
          <w:sz w:val="22"/>
          <w:szCs w:val="22"/>
        </w:rPr>
        <w:t xml:space="preserve">Wasserstein training significantly reduced mode collapse, producing more diverse day distributions at comparable validity rates.</w:t>
      </w:r>
    </w:p>
    <w:p>
      <w:pPr>
        <w:pStyle w:val="ListParagraph"/>
        <w:numPr>
          <w:ilvl w:val="0"/>
          <w:numId w:val="2"/>
        </w:numPr>
        <w:spacing w:after="60" w:before="60"/>
      </w:pPr>
      <w:r>
        <w:rPr>
          <w:rFonts w:ascii="Arial" w:cs="Arial" w:eastAsia="Arial" w:hAnsi="Arial"/>
          <w:b/>
          <w:bCs/>
          <w:color w:val="1A3C5E"/>
          <w:sz w:val="22"/>
          <w:szCs w:val="22"/>
        </w:rPr>
        <w:t xml:space="preserve">VAE smoothness: </w:t>
      </w:r>
      <w:r>
        <w:rPr>
          <w:rFonts w:ascii="Arial" w:cs="Arial" w:eastAsia="Arial" w:hAnsi="Arial"/>
          <w:color w:val="555555"/>
          <w:sz w:val="22"/>
          <w:szCs w:val="22"/>
        </w:rPr>
        <w:t xml:space="preserve">The continuous latent space enables interpolation between months, generating semantically plausible intermediate distributions not present in training data.</w:t>
      </w:r>
    </w:p>
    <w:p>
      <w:pPr>
        <w:pStyle w:val="ListParagraph"/>
        <w:numPr>
          <w:ilvl w:val="0"/>
          <w:numId w:val="2"/>
        </w:numPr>
        <w:spacing w:after="60" w:before="60"/>
      </w:pPr>
      <w:r>
        <w:rPr>
          <w:rFonts w:ascii="Arial" w:cs="Arial" w:eastAsia="Arial" w:hAnsi="Arial"/>
          <w:b/>
          <w:bCs/>
          <w:color w:val="1A3C5E"/>
          <w:sz w:val="22"/>
          <w:szCs w:val="22"/>
        </w:rPr>
        <w:t xml:space="preserve">VQGAN codebook: </w:t>
      </w:r>
      <w:r>
        <w:rPr>
          <w:rFonts w:ascii="Arial" w:cs="Arial" w:eastAsia="Arial" w:hAnsi="Arial"/>
          <w:color w:val="555555"/>
          <w:sz w:val="22"/>
          <w:szCs w:val="22"/>
        </w:rPr>
        <w:t xml:space="preserve">Discrete quantisation implicitly enforces calendar structure; the model learned to dedicate codebook entries to valid (month, day) pairs, achieving the highest validity rate without explicit constraint injection.</w:t>
      </w:r>
    </w:p>
    <w:p>
      <w:pPr>
        <w:pStyle w:val="ListParagraph"/>
        <w:numPr>
          <w:ilvl w:val="0"/>
          <w:numId w:val="2"/>
        </w:numPr>
        <w:spacing w:after="60" w:before="60"/>
      </w:pPr>
      <w:r>
        <w:rPr>
          <w:rFonts w:ascii="Arial" w:cs="Arial" w:eastAsia="Arial" w:hAnsi="Arial"/>
          <w:b/>
          <w:bCs/>
          <w:color w:val="1A3C5E"/>
          <w:sz w:val="22"/>
          <w:szCs w:val="22"/>
        </w:rPr>
        <w:t xml:space="preserve">Conditioning signal: </w:t>
      </w:r>
      <w:r>
        <w:rPr>
          <w:rFonts w:ascii="Arial" w:cs="Arial" w:eastAsia="Arial" w:hAnsi="Arial"/>
          <w:color w:val="555555"/>
          <w:sz w:val="22"/>
          <w:szCs w:val="22"/>
        </w:rPr>
        <w:t xml:space="preserve">All architectures benefited from both the month one-hot vector and normalised year scalar as joint conditioning, compared to using either alone.</w:t>
      </w:r>
    </w:p>
    <w:p>
      <w:pPr>
        <w:spacing w:after="120" w:before="0"/>
      </w:pPr>
    </w:p>
    <w:p>
      <w:pPr>
        <w:pStyle w:val="Heading2"/>
        <w:spacing w:after="120" w:before="280"/>
      </w:pPr>
      <w:r>
        <w:rPr>
          <w:rFonts w:ascii="Arial" w:cs="Arial" w:eastAsia="Arial" w:hAnsi="Arial"/>
          <w:b/>
          <w:bCs/>
          <w:color w:val="2E86AB"/>
          <w:sz w:val="26"/>
          <w:szCs w:val="26"/>
        </w:rPr>
        <w:t xml:space="preserve">7.2 Limitations</w:t>
      </w:r>
    </w:p>
    <w:p>
      <w:pPr>
        <w:pStyle w:val="ListParagraph"/>
        <w:numPr>
          <w:ilvl w:val="0"/>
          <w:numId w:val="2"/>
        </w:numPr>
        <w:spacing w:after="60" w:before="60"/>
      </w:pPr>
      <w:r>
        <w:rPr>
          <w:rFonts w:ascii="Arial" w:cs="Arial" w:eastAsia="Arial" w:hAnsi="Arial"/>
          <w:color w:val="555555"/>
          <w:sz w:val="22"/>
          <w:szCs w:val="22"/>
        </w:rPr>
        <w:t xml:space="preserve">Date generation is a low-complexity proxy task; findings may not transfer directly to higher-dimensional structured generation problems.</w:t>
      </w:r>
    </w:p>
    <w:p>
      <w:pPr>
        <w:pStyle w:val="ListParagraph"/>
        <w:numPr>
          <w:ilvl w:val="0"/>
          <w:numId w:val="2"/>
        </w:numPr>
        <w:spacing w:after="60" w:before="60"/>
      </w:pPr>
      <w:r>
        <w:rPr>
          <w:rFonts w:ascii="Arial" w:cs="Arial" w:eastAsia="Arial" w:hAnsi="Arial"/>
          <w:color w:val="555555"/>
          <w:sz w:val="22"/>
          <w:szCs w:val="22"/>
        </w:rPr>
        <w:t xml:space="preserve">WGAN weight clipping is a known limitation; gradient penalty (WGAN-GP) was not explored due to time constraints.</w:t>
      </w:r>
    </w:p>
    <w:p>
      <w:pPr>
        <w:pStyle w:val="ListParagraph"/>
        <w:numPr>
          <w:ilvl w:val="0"/>
          <w:numId w:val="2"/>
        </w:numPr>
        <w:spacing w:after="60" w:before="60"/>
      </w:pPr>
      <w:r>
        <w:rPr>
          <w:rFonts w:ascii="Arial" w:cs="Arial" w:eastAsia="Arial" w:hAnsi="Arial"/>
          <w:color w:val="555555"/>
          <w:sz w:val="22"/>
          <w:szCs w:val="22"/>
        </w:rPr>
        <w:t xml:space="preserve">VQGAN codebook utilisation was approximately 78%; dead code prevention strategies were not fully explored.</w:t>
      </w:r>
    </w:p>
    <w:p>
      <w:pPr>
        <w:spacing w:after="120" w:before="0"/>
      </w:pPr>
    </w:p>
    <w:p>
      <w:pPr>
        <w:pStyle w:val="Heading2"/>
        <w:spacing w:after="120" w:before="280"/>
      </w:pPr>
      <w:r>
        <w:rPr>
          <w:rFonts w:ascii="Arial" w:cs="Arial" w:eastAsia="Arial" w:hAnsi="Arial"/>
          <w:b/>
          <w:bCs/>
          <w:color w:val="2E86AB"/>
          <w:sz w:val="26"/>
          <w:szCs w:val="26"/>
        </w:rPr>
        <w:t xml:space="preserve">7.3 Future Work</w:t>
      </w:r>
    </w:p>
    <w:p>
      <w:pPr>
        <w:pStyle w:val="ListParagraph"/>
        <w:numPr>
          <w:ilvl w:val="0"/>
          <w:numId w:val="2"/>
        </w:numPr>
        <w:spacing w:after="60" w:before="60"/>
      </w:pPr>
      <w:r>
        <w:rPr>
          <w:rFonts w:ascii="Arial" w:cs="Arial" w:eastAsia="Arial" w:hAnsi="Arial"/>
          <w:color w:val="555555"/>
          <w:sz w:val="22"/>
          <w:szCs w:val="22"/>
        </w:rPr>
        <w:t xml:space="preserve">Replace WGAN weight clipping with gradient penalty (WGAN-GP).</w:t>
      </w:r>
    </w:p>
    <w:p>
      <w:pPr>
        <w:pStyle w:val="ListParagraph"/>
        <w:numPr>
          <w:ilvl w:val="0"/>
          <w:numId w:val="2"/>
        </w:numPr>
        <w:spacing w:after="60" w:before="60"/>
      </w:pPr>
      <w:r>
        <w:rPr>
          <w:rFonts w:ascii="Arial" w:cs="Arial" w:eastAsia="Arial" w:hAnsi="Arial"/>
          <w:color w:val="555555"/>
          <w:sz w:val="22"/>
          <w:szCs w:val="22"/>
        </w:rPr>
        <w:t xml:space="preserve">Extend to hierarchical conditioning (decade → year → month → day).</w:t>
      </w:r>
    </w:p>
    <w:p>
      <w:pPr>
        <w:pStyle w:val="ListParagraph"/>
        <w:numPr>
          <w:ilvl w:val="0"/>
          <w:numId w:val="2"/>
        </w:numPr>
        <w:spacing w:after="60" w:before="60"/>
      </w:pPr>
      <w:r>
        <w:rPr>
          <w:rFonts w:ascii="Arial" w:cs="Arial" w:eastAsia="Arial" w:hAnsi="Arial"/>
          <w:color w:val="555555"/>
          <w:sz w:val="22"/>
          <w:szCs w:val="22"/>
        </w:rPr>
        <w:t xml:space="preserve">Apply codebook learned by VQGAN as discrete token vocabulary for a Transformer-based autoregressive date prior.</w:t>
      </w:r>
    </w:p>
    <w:p>
      <w:pPr>
        <w:pStyle w:val="ListParagraph"/>
        <w:numPr>
          <w:ilvl w:val="0"/>
          <w:numId w:val="2"/>
        </w:numPr>
        <w:spacing w:after="60" w:before="60"/>
      </w:pPr>
      <w:r>
        <w:rPr>
          <w:rFonts w:ascii="Arial" w:cs="Arial" w:eastAsia="Arial" w:hAnsi="Arial"/>
          <w:color w:val="555555"/>
          <w:sz w:val="22"/>
          <w:szCs w:val="22"/>
        </w:rPr>
        <w:t xml:space="preserve">Benchmark on real-world date distributions (e.g. event datasets, medical records).</w:t>
      </w:r>
    </w:p>
    <w:p>
      <w:pPr>
        <w:spacing w:after="120" w:before="0"/>
      </w:pPr>
    </w:p>
    <w:p>
      <w:pPr>
        <w:pStyle w:val="Heading2"/>
        <w:spacing w:after="120" w:before="280"/>
      </w:pPr>
      <w:r>
        <w:rPr>
          <w:rFonts w:ascii="Arial" w:cs="Arial" w:eastAsia="Arial" w:hAnsi="Arial"/>
          <w:b/>
          <w:bCs/>
          <w:color w:val="2E86AB"/>
          <w:sz w:val="26"/>
          <w:szCs w:val="26"/>
        </w:rPr>
        <w:t xml:space="preserve">7.4 Conclusion</w:t>
      </w:r>
    </w:p>
    <w:p>
      <w:pPr>
        <w:spacing w:after="100" w:before="80"/>
        <w:jc w:val="left"/>
      </w:pPr>
      <w:r>
        <w:rPr>
          <w:rFonts w:ascii="Arial" w:cs="Arial" w:eastAsia="Arial" w:hAnsi="Arial"/>
          <w:color w:val="555555"/>
          <w:sz w:val="22"/>
          <w:szCs w:val="22"/>
        </w:rPr>
        <w:t xml:space="preserve">This project successfully implements four distinct conditional generative architectures for the structured task of date generation. The VQGAN achieves the strongest overall results, while WGAN provides the most stable training dynamics. The unified inference pipeline and shared evaluation suite enable direct, fair comparison across paradigms. The codebase is modular, reproducible, and ready for extension to more complex structured generation tasks.</w:t>
      </w:r>
    </w:p>
    <w:p>
      <w:pPr>
        <w:spacing w:after="300" w:before="0"/>
      </w:pPr>
    </w:p>
    <w:p>
      <w:pPr>
        <w:pBdr>
          <w:top w:val="single" w:color="B0C4DE" w:sz="4" w:space="8"/>
        </w:pBdr>
        <w:spacing w:after="80" w:before="200"/>
        <w:jc w:val="center"/>
      </w:pPr>
      <w:r>
        <w:rPr>
          <w:rFonts w:ascii="Arial" w:cs="Arial" w:eastAsia="Arial" w:hAnsi="Arial"/>
          <w:i/>
          <w:iCs/>
          <w:color w:val="555555"/>
          <w:sz w:val="20"/>
          <w:szCs w:val="20"/>
        </w:rPr>
        <w:t xml:space="preserve">End of Report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20"/>
    </w:pPr>
    <w:r>
      <w:rPr>
        <w:rFonts w:ascii="Arial" w:cs="Arial" w:eastAsia="Arial" w:hAnsi="Arial"/>
        <w:color w:val="555555"/>
        <w:sz w:val="18"/>
        <w:szCs w:val="18"/>
      </w:rPr>
      <w:t xml:space="preserve">Confidential</w:t>
    </w:r>
    <w:r>
      <w:rPr>
        <w:rFonts w:ascii="Arial" w:cs="Arial" w:eastAsia="Arial" w:hAnsi="Arial"/>
        <w:sz w:val="18"/>
        <w:szCs w:val="18"/>
      </w:rPr>
      <w:t xml:space="preserve">	</w:t>
    </w:r>
    <w:r>
      <w:rPr>
        <w:rFonts w:ascii="Arial" w:cs="Arial" w:eastAsia="Arial" w:hAnsi="Arial"/>
        <w:color w:val="555555"/>
        <w:sz w:val="18"/>
        <w:szCs w:val="18"/>
      </w:rPr>
      <w:t xml:space="preserve">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026"/>
      </w:tabs>
      <w:spacing w:after="120"/>
    </w:pPr>
    <w:r>
      <w:rPr>
        <w:rFonts w:ascii="Arial" w:cs="Arial" w:eastAsia="Arial" w:hAnsi="Arial"/>
        <w:b/>
        <w:bCs/>
        <w:color w:val="1A3C5E"/>
        <w:sz w:val="18"/>
        <w:szCs w:val="18"/>
      </w:rPr>
      <w:t xml:space="preserve">Conditional Generative Models for Date Generation</w:t>
    </w:r>
    <w:r>
      <w:rPr>
        <w:rFonts w:ascii="Arial" w:cs="Arial" w:eastAsia="Arial" w:hAnsi="Arial"/>
        <w:sz w:val="18"/>
        <w:szCs w:val="18"/>
      </w:rPr>
      <w:t xml:space="preserve">	</w:t>
    </w:r>
    <w:r>
      <w:rPr>
        <w:rFonts w:ascii="Arial" w:cs="Arial" w:eastAsia="Arial" w:hAnsi="Arial"/>
        <w:color w:val="555555"/>
        <w:sz w:val="18"/>
        <w:szCs w:val="18"/>
      </w:rPr>
      <w:t xml:space="preserve">Technical Report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2026-05-17T21:10:20.270Z</dcterms:created>
  <dcterms:modified xsi:type="dcterms:W3CDTF">2026-05-17T21:10:20.270Z</dcterms:modified>
</cp:coreProperties>
</file>

<file path=docProps/custom.xml><?xml version="1.0" encoding="utf-8"?>
<Properties xmlns="http://schemas.openxmlformats.org/officeDocument/2006/custom-properties" xmlns:vt="http://schemas.openxmlformats.org/officeDocument/2006/docPropsVTypes"/>
</file>