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7</w:t>
      </w:r>
      <w:r>
        <w:t xml:space="preserve"> </w:t>
      </w:r>
      <w:r>
        <w:t xml:space="preserve">–</w:t>
      </w:r>
      <w:r>
        <w:t xml:space="preserve"> </w:t>
      </w:r>
      <w:r>
        <w:t xml:space="preserve">Extreme</w:t>
      </w:r>
      <w:r>
        <w:t xml:space="preserve"> </w:t>
      </w:r>
      <w:r>
        <w:t xml:space="preserve">Value</w:t>
      </w:r>
      <w:r>
        <w:t xml:space="preserve"> </w:t>
      </w:r>
      <w:r>
        <w:t xml:space="preserve">Theory</w:t>
      </w:r>
      <w:r>
        <w:t xml:space="preserve"> </w:t>
      </w:r>
      <w:r>
        <w:t xml:space="preserve">for</w:t>
      </w:r>
      <w:r>
        <w:t xml:space="preserve"> </w:t>
      </w:r>
      <w:r>
        <w:t xml:space="preserve">Tail</w:t>
      </w:r>
      <w:r>
        <w:t xml:space="preserve"> </w:t>
      </w:r>
      <w:r>
        <w:t xml:space="preserve">Risk</w:t>
      </w:r>
    </w:p>
    <w:p>
      <w:pPr>
        <w:pStyle w:val="Subtitle"/>
      </w:pPr>
      <w:r>
        <w:t xml:space="preserve">Theory</w:t>
      </w:r>
      <w:r>
        <w:t xml:space="preserve"> </w:t>
      </w:r>
      <w:r>
        <w:t xml:space="preserve">Notes:</w:t>
      </w:r>
      <w:r>
        <w:t xml:space="preserve"> </w:t>
      </w:r>
      <w:r>
        <w:t xml:space="preserve">equations,</w:t>
      </w:r>
      <w:r>
        <w:t xml:space="preserve"> </w:t>
      </w:r>
      <w:r>
        <w:t xml:space="preserve">problem</w:t>
      </w:r>
      <w:r>
        <w:t xml:space="preserve"> </w:t>
      </w:r>
      <w:r>
        <w:t xml:space="preserve">solving,</w:t>
      </w:r>
      <w:r>
        <w:t xml:space="preserve"> </w:t>
      </w:r>
      <w:r>
        <w:t xml:space="preserve">concepts</w:t>
      </w:r>
      <w:r>
        <w:t xml:space="preserve"> </w:t>
      </w:r>
      <w:r>
        <w:t xml:space="preserve">and</w:t>
      </w:r>
      <w:r>
        <w:t xml:space="preserve"> </w:t>
      </w:r>
      <w:r>
        <w:t xml:space="preserve">development</w:t>
      </w:r>
      <w:r>
        <w:t xml:space="preserve"> </w:t>
      </w:r>
      <w:r>
        <w:t xml:space="preserve">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Methods follow Daníelsson, Financial Risk Forecasting, Chapter 9 (extreme value theory), with Chapter 2 (GARCH) and Chapter 8 (backtesting), used as a guide only. This file goes in the repo as</w:t>
      </w:r>
      <w:r>
        <w:rPr>
          <w:iCs/>
          <w:i/>
        </w:rPr>
        <w:t xml:space="preserve"> </w:t>
      </w:r>
      <w:r>
        <w:rPr>
          <w:rStyle w:val="VerbatimChar"/>
          <w:iCs/>
          <w:i/>
        </w:rPr>
        <w:t xml:space="preserve">notes/theory.md</w:t>
      </w:r>
      <w:r>
        <w:rPr>
          <w:iCs/>
          <w:i/>
        </w:rPr>
        <w:t xml:space="preserve">.</w:t>
      </w:r>
    </w:p>
    <w:p>
      <w:pPr>
        <w:pStyle w:val="BodyText"/>
      </w:pPr>
      <w:r>
        <w:t xml:space="preserve">These notes use the same frameworks as Projects 1–6:</w:t>
      </w:r>
    </w:p>
    <w:p>
      <w:pPr>
        <w:numPr>
          <w:ilvl w:val="0"/>
          <w:numId w:val="1001"/>
        </w:numPr>
        <w:pStyle w:val="Compact"/>
      </w:pPr>
      <w:r>
        <w:rPr>
          <w:bCs/>
          <w:b/>
        </w:rPr>
        <w:t xml:space="preserve">Part A</w:t>
      </w:r>
      <w:r>
        <w:t xml:space="preserve"> </w:t>
      </w:r>
      <w:r>
        <w:t xml:space="preserve">applies the problem-solving framework to the project as a whole.</w:t>
      </w:r>
    </w:p>
    <w:p>
      <w:pPr>
        <w:numPr>
          <w:ilvl w:val="0"/>
          <w:numId w:val="1001"/>
        </w:numPr>
        <w:pStyle w:val="Compact"/>
      </w:pPr>
      <w:r>
        <w:rPr>
          <w:bCs/>
          <w:b/>
        </w:rPr>
        <w:t xml:space="preserve">Part B</w:t>
      </w:r>
      <w:r>
        <w:t xml:space="preserve"> </w:t>
      </w:r>
      <w:r>
        <w:t xml:space="preserve">applies the deep-learning framework to each technique: (1) what it is, (2) why it was developed, (3) the maths, with a definition for every equation and the meaning of every variable, (4) when it is valid, (5) its limitations, (6) how to derive, implement and validate it. Each technique ends with a small real-life example.</w:t>
      </w:r>
    </w:p>
    <w:p>
      <w:pPr>
        <w:numPr>
          <w:ilvl w:val="0"/>
          <w:numId w:val="1001"/>
        </w:numPr>
        <w:pStyle w:val="Compact"/>
      </w:pPr>
      <w:r>
        <w:rPr>
          <w:bCs/>
          <w:b/>
        </w:rPr>
        <w:t xml:space="preserve">Part C</w:t>
      </w:r>
      <w:r>
        <w:t xml:space="preserve"> </w:t>
      </w:r>
      <w:r>
        <w:t xml:space="preserve">is a one-page summary of all the equations.</w:t>
      </w:r>
    </w:p>
    <w:p>
      <w:pPr>
        <w:numPr>
          <w:ilvl w:val="0"/>
          <w:numId w:val="1001"/>
        </w:numPr>
        <w:pStyle w:val="Compact"/>
      </w:pPr>
      <w:r>
        <w:rPr>
          <w:bCs/>
          <w:b/>
        </w:rPr>
        <w:t xml:space="preserve">Part D</w:t>
      </w:r>
      <w:r>
        <w:t xml:space="preserve"> </w:t>
      </w:r>
      <w:r>
        <w:t xml:space="preserve">is the development plan, step by step.</w:t>
      </w:r>
    </w:p>
    <w:p>
      <w:pPr>
        <w:pStyle w:val="FirstParagraph"/>
      </w:pPr>
      <w:r>
        <w:t xml:space="preserve">The worked examples use round, illustrative numbers (a daily volatility of 1.2%, a tail index of about 4, a portfolio of USD 10m). Our own results will come from our data.</w:t>
      </w:r>
    </w:p>
    <w:p>
      <w:pPr>
        <w:pStyle w:val="BodyText"/>
      </w:pPr>
      <w:r>
        <w:rPr>
          <w:bCs/>
          <w:b/>
        </w:rPr>
        <w:t xml:space="preserve">Units and conventions.</w:t>
      </w:r>
    </w:p>
    <w:p>
      <w:pPr>
        <w:numPr>
          <w:ilvl w:val="0"/>
          <w:numId w:val="1002"/>
        </w:numPr>
        <w:pStyle w:val="Compact"/>
      </w:pPr>
      <w:r>
        <w:t xml:space="preserve">Daily</w:t>
      </w:r>
      <w:r>
        <w:t xml:space="preserve"> </w:t>
      </w:r>
      <w:r>
        <w:rPr>
          <w:bCs/>
          <w:b/>
        </w:rPr>
        <w:t xml:space="preserve">losses</w:t>
      </w:r>
      <w:r>
        <w:t xml:space="preserve"> </w:t>
      </w:r>
      <w:r>
        <w:t xml:space="preserve">in % of the portfolio value:</w:t>
      </w:r>
      <w:r>
        <w:t xml:space="preserve"> </w:t>
      </w:r>
      <m:oMath>
        <m:sSub>
          <m:e>
            <m:r>
              <m:t>x</m:t>
            </m:r>
          </m:e>
          <m:sub>
            <m:r>
              <m:t>t</m:t>
            </m:r>
          </m:sub>
        </m:sSub>
        <m:r>
          <m:rPr>
            <m:sty m:val="p"/>
          </m:rPr>
          <m:t>=</m:t>
        </m:r>
        <m:r>
          <m:rPr>
            <m:sty m:val="p"/>
          </m:rPr>
          <m:t>−</m:t>
        </m:r>
        <m:r>
          <m:t>100</m:t>
        </m:r>
        <m:r>
          <m:rPr>
            <m:sty m:val="p"/>
          </m:rPr>
          <m:t>ln</m:t>
        </m:r>
        <m:d>
          <m:dPr>
            <m:begChr m:val="("/>
            <m:sepChr m:val=""/>
            <m:endChr m:val=")"/>
            <m:grow/>
          </m:dPr>
          <m:e>
            <m:sSub>
              <m:e>
                <m:r>
                  <m:t>S</m:t>
                </m:r>
              </m:e>
              <m:sub>
                <m:r>
                  <m:t>t</m:t>
                </m:r>
              </m:sub>
            </m:sSub>
            <m:r>
              <m:rPr>
                <m:sty m:val="p"/>
              </m:rPr>
              <m:t>/</m:t>
            </m:r>
            <m:sSub>
              <m:e>
                <m:r>
                  <m:t>S</m:t>
                </m:r>
              </m:e>
              <m:sub>
                <m:r>
                  <m:t>t</m:t>
                </m:r>
                <m:r>
                  <m:rPr>
                    <m:sty m:val="p"/>
                  </m:rPr>
                  <m:t>−</m:t>
                </m:r>
                <m:r>
                  <m:t>1</m:t>
                </m:r>
              </m:sub>
            </m:sSub>
          </m:e>
        </m:d>
      </m:oMath>
      <w:r>
        <w:t xml:space="preserve">, so a large positive number is a large loss. Gains are studied as the losses of a short position,</w:t>
      </w:r>
      <w:r>
        <w:t xml:space="preserve"> </w:t>
      </w:r>
      <m:oMath>
        <m:r>
          <m:rPr>
            <m:sty m:val="p"/>
          </m:rPr>
          <m:t>−</m:t>
        </m:r>
        <m:sSub>
          <m:e>
            <m:r>
              <m:t>x</m:t>
            </m:r>
          </m:e>
          <m:sub>
            <m:r>
              <m:t>t</m:t>
            </m:r>
          </m:sub>
        </m:sSub>
      </m:oMath>
      <w:r>
        <w:t xml:space="preserve">.</w:t>
      </w:r>
    </w:p>
    <w:p>
      <w:pPr>
        <w:numPr>
          <w:ilvl w:val="0"/>
          <w:numId w:val="1002"/>
        </w:numPr>
        <w:pStyle w:val="Compact"/>
      </w:pPr>
      <w:r>
        <w:t xml:space="preserve">VaR and ES are reported as</w:t>
      </w:r>
      <w:r>
        <w:t xml:space="preserve"> </w:t>
      </w:r>
      <w:r>
        <w:rPr>
          <w:bCs/>
          <w:b/>
        </w:rPr>
        <w:t xml:space="preserve">positive losses</w:t>
      </w:r>
      <w:r>
        <w:t xml:space="preserve"> </w:t>
      </w:r>
      <w:r>
        <w:t xml:space="preserve">in % (and in USD for a USD 10m long position in the S&amp;P 500).</w:t>
      </w:r>
    </w:p>
    <w:p>
      <w:pPr>
        <w:numPr>
          <w:ilvl w:val="0"/>
          <w:numId w:val="1002"/>
        </w:numPr>
        <w:pStyle w:val="Compact"/>
      </w:pPr>
      <w:r>
        <w:t xml:space="preserve">“</w:t>
      </w:r>
      <w:r>
        <w:t xml:space="preserve">99.9% VaR</w:t>
      </w:r>
      <w:r>
        <w:t xml:space="preserve">”</w:t>
      </w:r>
      <w:r>
        <w:t xml:space="preserve"> </w:t>
      </w:r>
      <w:r>
        <w:t xml:space="preserve">means the loss exceeded on 1 day in 1,000 — about</w:t>
      </w:r>
      <w:r>
        <w:t xml:space="preserve"> </w:t>
      </w:r>
      <w:r>
        <w:rPr>
          <w:bCs/>
          <w:b/>
        </w:rPr>
        <w:t xml:space="preserve">once every four years</w:t>
      </w:r>
      <w:r>
        <w:t xml:space="preserve"> </w:t>
      </w:r>
      <w:r>
        <w:t xml:space="preserve">of trading days.</w:t>
      </w:r>
    </w:p>
    <w:p>
      <w:pPr>
        <w:numPr>
          <w:ilvl w:val="0"/>
          <w:numId w:val="1002"/>
        </w:numPr>
        <w:pStyle w:val="Compact"/>
      </w:pPr>
      <w:r>
        <w:t xml:space="preserve">As in every project, a forecast for day</w:t>
      </w:r>
      <w:r>
        <w:t xml:space="preserve"> </w:t>
      </w:r>
      <w:r>
        <w:rPr>
          <w:iCs/>
          <w:i/>
        </w:rPr>
        <w:t xml:space="preserve">t</w:t>
      </w:r>
      <w:r>
        <w:t xml:space="preserve"> </w:t>
      </w:r>
      <w:r>
        <w:t xml:space="preserve">uses information up to day</w:t>
      </w:r>
      <w:r>
        <w:t xml:space="preserve"> </w:t>
      </w:r>
      <w:r>
        <w:rPr>
          <w:iCs/>
          <w:i/>
        </w:rPr>
        <w:t xml:space="preserve">t − 1</w:t>
      </w:r>
      <w:r>
        <w:t xml:space="preserve"> </w:t>
      </w:r>
      <w:r>
        <w:t xml:space="preserve">only.</w:t>
      </w:r>
    </w:p>
    <w:p>
      <w:r>
        <w:pict>
          <v:rect style="width:0;height:1.5pt" o:hralign="center" o:hrstd="t" o:hr="t"/>
        </w:pict>
      </w:r>
    </w:p>
    <w:bookmarkStart w:id="20" w:name="note-which-sections-are-var-methods"/>
    <w:p>
      <w:pPr>
        <w:pStyle w:val="Heading2"/>
      </w:pPr>
      <w:r>
        <w:t xml:space="preserve">Note – Which sections are VaR methods?</w:t>
      </w:r>
    </w:p>
    <w:p>
      <w:pPr>
        <w:pStyle w:val="FirstParagraph"/>
      </w:pPr>
      <w:r>
        <w:t xml:space="preserve">Not every section of Part B is a way of computing VaR. Each section has one of four roles: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is</w:t>
            </w:r>
          </w:p>
        </w:tc>
        <w:tc>
          <w:tcPr/>
          <w:p>
            <w:pPr>
              <w:pStyle w:val="Compact"/>
              <w:jc w:val="left"/>
            </w:pPr>
            <w:r>
              <w:t xml:space="preserve">Role</w:t>
            </w:r>
          </w:p>
        </w:tc>
      </w:tr>
      <w:tr>
        <w:tc>
          <w:tcPr/>
          <w:p>
            <w:pPr>
              <w:pStyle w:val="Compact"/>
              <w:jc w:val="left"/>
            </w:pPr>
            <w:r>
              <w:rPr>
                <w:bCs/>
                <w:b/>
              </w:rPr>
              <w:t xml:space="preserve">B0. Losses and the tail</w:t>
            </w:r>
          </w:p>
        </w:tc>
        <w:tc>
          <w:tcPr/>
          <w:p>
            <w:pPr>
              <w:pStyle w:val="Compact"/>
              <w:jc w:val="left"/>
            </w:pPr>
            <w:r>
              <w:t xml:space="preserve">Defines the loss, VaR and ES</w:t>
            </w:r>
          </w:p>
        </w:tc>
        <w:tc>
          <w:tcPr/>
          <w:p>
            <w:pPr>
              <w:pStyle w:val="Compact"/>
              <w:jc w:val="left"/>
            </w:pPr>
            <w:r>
              <w:rPr>
                <w:bCs/>
                <w:b/>
              </w:rPr>
              <w:t xml:space="preserve">Definitions</w:t>
            </w:r>
            <w:r>
              <w:t xml:space="preserve"> </w:t>
            </w:r>
            <w:r>
              <w:t xml:space="preserve">(what we measure)</w:t>
            </w:r>
          </w:p>
        </w:tc>
      </w:tr>
      <w:tr>
        <w:tc>
          <w:tcPr/>
          <w:p>
            <w:pPr>
              <w:pStyle w:val="Compact"/>
              <w:jc w:val="left"/>
            </w:pPr>
            <w:r>
              <w:rPr>
                <w:bCs/>
                <w:b/>
              </w:rPr>
              <w:t xml:space="preserve">B1. Extreme value theory</w:t>
            </w:r>
          </w:p>
        </w:tc>
        <w:tc>
          <w:tcPr/>
          <w:p>
            <w:pPr>
              <w:pStyle w:val="Compact"/>
              <w:jc w:val="left"/>
            </w:pPr>
            <w:r>
              <w:t xml:space="preserve">The theorem: the tail can only have one of three shapes</w:t>
            </w:r>
          </w:p>
        </w:tc>
        <w:tc>
          <w:tcPr/>
          <w:p>
            <w:pPr>
              <w:pStyle w:val="Compact"/>
              <w:jc w:val="left"/>
            </w:pPr>
            <w:r>
              <w:rPr>
                <w:bCs/>
                <w:b/>
              </w:rPr>
              <w:t xml:space="preserve">Theory</w:t>
            </w:r>
            <w:r>
              <w:t xml:space="preserve"> </w:t>
            </w:r>
            <w:r>
              <w:t xml:space="preserve">behind the method</w:t>
            </w:r>
          </w:p>
        </w:tc>
      </w:tr>
      <w:tr>
        <w:tc>
          <w:tcPr/>
          <w:p>
            <w:pPr>
              <w:pStyle w:val="Compact"/>
              <w:jc w:val="left"/>
            </w:pPr>
            <w:r>
              <w:rPr>
                <w:bCs/>
                <w:b/>
              </w:rPr>
              <w:t xml:space="preserve">B2. Hill estimator</w:t>
            </w:r>
          </w:p>
        </w:tc>
        <w:tc>
          <w:tcPr/>
          <w:p>
            <w:pPr>
              <w:pStyle w:val="Compact"/>
              <w:jc w:val="left"/>
            </w:pPr>
            <w:r>
              <w:t xml:space="preserve">Measures how fat the tail is; Equation 8 also gives a VaR</w:t>
            </w:r>
          </w:p>
        </w:tc>
        <w:tc>
          <w:tcPr/>
          <w:p>
            <w:pPr>
              <w:pStyle w:val="Compact"/>
              <w:jc w:val="left"/>
            </w:pPr>
            <w:r>
              <w:rPr>
                <w:bCs/>
                <w:b/>
              </w:rPr>
              <w:t xml:space="preserve">VaR method</w:t>
            </w:r>
            <w:r>
              <w:t xml:space="preserve"> </w:t>
            </w:r>
            <w:r>
              <w:t xml:space="preserve">(EVT, simple version)</w:t>
            </w:r>
          </w:p>
        </w:tc>
      </w:tr>
      <w:tr>
        <w:tc>
          <w:tcPr/>
          <w:p>
            <w:pPr>
              <w:pStyle w:val="Compact"/>
              <w:jc w:val="left"/>
            </w:pPr>
            <w:r>
              <w:rPr>
                <w:bCs/>
                <w:b/>
              </w:rPr>
              <w:t xml:space="preserve">B3. Peaks over threshold / GPD</w:t>
            </w:r>
          </w:p>
        </w:tc>
        <w:tc>
          <w:tcPr/>
          <w:p>
            <w:pPr>
              <w:pStyle w:val="Compact"/>
              <w:jc w:val="left"/>
            </w:pPr>
            <w:r>
              <w:t xml:space="preserve">Fits the tail beyond a threshold, then gives VaR and ES</w:t>
            </w:r>
          </w:p>
        </w:tc>
        <w:tc>
          <w:tcPr/>
          <w:p>
            <w:pPr>
              <w:pStyle w:val="Compact"/>
              <w:jc w:val="left"/>
            </w:pPr>
            <w:r>
              <w:rPr>
                <w:bCs/>
                <w:b/>
              </w:rPr>
              <w:t xml:space="preserve">VaR method</w:t>
            </w:r>
            <w:r>
              <w:t xml:space="preserve"> </w:t>
            </w:r>
            <w:r>
              <w:t xml:space="preserve">(the main EVT one)</w:t>
            </w:r>
          </w:p>
        </w:tc>
      </w:tr>
      <w:tr>
        <w:tc>
          <w:tcPr/>
          <w:p>
            <w:pPr>
              <w:pStyle w:val="Compact"/>
              <w:jc w:val="left"/>
            </w:pPr>
            <w:r>
              <w:rPr>
                <w:bCs/>
                <w:b/>
              </w:rPr>
              <w:t xml:space="preserve">B4. Normal, Student-t, historical</w:t>
            </w:r>
          </w:p>
        </w:tc>
        <w:tc>
          <w:tcPr/>
          <w:p>
            <w:pPr>
              <w:pStyle w:val="Compact"/>
              <w:jc w:val="left"/>
            </w:pPr>
            <w:r>
              <w:t xml:space="preserve">The usual VaR methods</w:t>
            </w:r>
          </w:p>
        </w:tc>
        <w:tc>
          <w:tcPr/>
          <w:p>
            <w:pPr>
              <w:pStyle w:val="Compact"/>
              <w:jc w:val="left"/>
            </w:pPr>
            <w:r>
              <w:rPr>
                <w:bCs/>
                <w:b/>
              </w:rPr>
              <w:t xml:space="preserve">VaR methods</w:t>
            </w:r>
            <w:r>
              <w:t xml:space="preserve"> </w:t>
            </w:r>
            <w:r>
              <w:t xml:space="preserve">(the benchmarks)</w:t>
            </w:r>
          </w:p>
        </w:tc>
      </w:tr>
      <w:tr>
        <w:tc>
          <w:tcPr/>
          <w:p>
            <w:pPr>
              <w:pStyle w:val="Compact"/>
              <w:jc w:val="left"/>
            </w:pPr>
            <w:r>
              <w:rPr>
                <w:bCs/>
                <w:b/>
              </w:rPr>
              <w:t xml:space="preserve">B5. Confidence intervals</w:t>
            </w:r>
          </w:p>
        </w:tc>
        <w:tc>
          <w:tcPr/>
          <w:p>
            <w:pPr>
              <w:pStyle w:val="Compact"/>
              <w:jc w:val="left"/>
            </w:pPr>
            <w:r>
              <w:t xml:space="preserve">How sure we are of a VaR number</w:t>
            </w:r>
          </w:p>
        </w:tc>
        <w:tc>
          <w:tcPr/>
          <w:p>
            <w:pPr>
              <w:pStyle w:val="Compact"/>
              <w:jc w:val="left"/>
            </w:pPr>
            <w:r>
              <w:rPr>
                <w:bCs/>
                <w:b/>
              </w:rPr>
              <w:t xml:space="preserve">Accuracy check</w:t>
            </w:r>
            <w:r>
              <w:t xml:space="preserve"> </w:t>
            </w:r>
            <w:r>
              <w:t xml:space="preserve">(not a VaR method)</w:t>
            </w:r>
          </w:p>
        </w:tc>
      </w:tr>
      <w:tr>
        <w:tc>
          <w:tcPr/>
          <w:p>
            <w:pPr>
              <w:pStyle w:val="Compact"/>
              <w:jc w:val="left"/>
            </w:pPr>
            <w:r>
              <w:rPr>
                <w:bCs/>
                <w:b/>
              </w:rPr>
              <w:t xml:space="preserve">B6. Extremal index</w:t>
            </w:r>
          </w:p>
        </w:tc>
        <w:tc>
          <w:tcPr/>
          <w:p>
            <w:pPr>
              <w:pStyle w:val="Compact"/>
              <w:jc w:val="left"/>
            </w:pPr>
            <w:r>
              <w:t xml:space="preserve">Whether extreme days come in clusters</w:t>
            </w:r>
          </w:p>
        </w:tc>
        <w:tc>
          <w:tcPr/>
          <w:p>
            <w:pPr>
              <w:pStyle w:val="Compact"/>
              <w:jc w:val="left"/>
            </w:pPr>
            <w:r>
              <w:rPr>
                <w:bCs/>
                <w:b/>
              </w:rPr>
              <w:t xml:space="preserve">Diagnostic</w:t>
            </w:r>
            <w:r>
              <w:t xml:space="preserve"> </w:t>
            </w:r>
            <w:r>
              <w:t xml:space="preserve">(not a VaR method)</w:t>
            </w:r>
          </w:p>
        </w:tc>
      </w:tr>
      <w:tr>
        <w:tc>
          <w:tcPr/>
          <w:p>
            <w:pPr>
              <w:pStyle w:val="Compact"/>
              <w:jc w:val="left"/>
            </w:pPr>
            <w:r>
              <w:rPr>
                <w:bCs/>
                <w:b/>
              </w:rPr>
              <w:t xml:space="preserve">B7. McNeil–Frey</w:t>
            </w:r>
          </w:p>
        </w:tc>
        <w:tc>
          <w:tcPr/>
          <w:p>
            <w:pPr>
              <w:pStyle w:val="Compact"/>
              <w:jc w:val="left"/>
            </w:pPr>
            <w:r>
              <w:t xml:space="preserve">GARCH volatility + EVT on the residuals</w:t>
            </w:r>
          </w:p>
        </w:tc>
        <w:tc>
          <w:tcPr/>
          <w:p>
            <w:pPr>
              <w:pStyle w:val="Compact"/>
              <w:jc w:val="left"/>
            </w:pPr>
            <w:r>
              <w:rPr>
                <w:bCs/>
                <w:b/>
              </w:rPr>
              <w:t xml:space="preserve">VaR method</w:t>
            </w:r>
            <w:r>
              <w:t xml:space="preserve"> </w:t>
            </w:r>
            <w:r>
              <w:t xml:space="preserve">(the most advanced, conditional)</w:t>
            </w:r>
          </w:p>
        </w:tc>
      </w:tr>
      <w:tr>
        <w:tc>
          <w:tcPr/>
          <w:p>
            <w:pPr>
              <w:pStyle w:val="Compact"/>
              <w:jc w:val="left"/>
            </w:pPr>
            <w:r>
              <w:rPr>
                <w:bCs/>
                <w:b/>
              </w:rPr>
              <w:t xml:space="preserve">B8. Backtesting</w:t>
            </w:r>
          </w:p>
        </w:tc>
        <w:tc>
          <w:tcPr/>
          <w:p>
            <w:pPr>
              <w:pStyle w:val="Compact"/>
              <w:jc w:val="left"/>
            </w:pPr>
            <w:r>
              <w:t xml:space="preserve">Kupiec, Christoffersen, Z2</w:t>
            </w:r>
          </w:p>
        </w:tc>
        <w:tc>
          <w:tcPr/>
          <w:p>
            <w:pPr>
              <w:pStyle w:val="Compact"/>
              <w:jc w:val="left"/>
            </w:pPr>
            <w:r>
              <w:rPr>
                <w:bCs/>
                <w:b/>
              </w:rPr>
              <w:t xml:space="preserve">Validation</w:t>
            </w:r>
            <w:r>
              <w:t xml:space="preserve"> </w:t>
            </w:r>
            <w:r>
              <w:t xml:space="preserve">(tests VaR methods, does not produce one)</w:t>
            </w:r>
          </w:p>
        </w:tc>
      </w:tr>
    </w:tbl>
    <w:p>
      <w:pPr>
        <w:pStyle w:val="BodyText"/>
      </w:pPr>
      <w:r>
        <w:t xml:space="preserve">The project therefore compares</w:t>
      </w:r>
      <w:r>
        <w:t xml:space="preserve"> </w:t>
      </w:r>
      <w:r>
        <w:rPr>
          <w:bCs/>
          <w:b/>
        </w:rPr>
        <w:t xml:space="preserve">six VaR / ES methods</w:t>
      </w:r>
      <w:r>
        <w:t xml:space="preserve">:</w:t>
      </w:r>
    </w:p>
    <w:p>
      <w:pPr>
        <w:numPr>
          <w:ilvl w:val="0"/>
          <w:numId w:val="1003"/>
        </w:numPr>
        <w:pStyle w:val="Compact"/>
      </w:pPr>
      <w:r>
        <w:t xml:space="preserve">Normal.</w:t>
      </w:r>
    </w:p>
    <w:p>
      <w:pPr>
        <w:numPr>
          <w:ilvl w:val="0"/>
          <w:numId w:val="1003"/>
        </w:numPr>
        <w:pStyle w:val="Compact"/>
      </w:pPr>
      <w:r>
        <w:t xml:space="preserve">Student-t.</w:t>
      </w:r>
    </w:p>
    <w:p>
      <w:pPr>
        <w:numPr>
          <w:ilvl w:val="0"/>
          <w:numId w:val="1003"/>
        </w:numPr>
        <w:pStyle w:val="Compact"/>
      </w:pPr>
      <w:r>
        <w:t xml:space="preserve">Historical (empirical quantile).</w:t>
      </w:r>
    </w:p>
    <w:p>
      <w:pPr>
        <w:numPr>
          <w:ilvl w:val="0"/>
          <w:numId w:val="1003"/>
        </w:numPr>
        <w:pStyle w:val="Compact"/>
      </w:pPr>
      <w:r>
        <w:t xml:space="preserve">Hill (EVT).</w:t>
      </w:r>
    </w:p>
    <w:p>
      <w:pPr>
        <w:numPr>
          <w:ilvl w:val="0"/>
          <w:numId w:val="1003"/>
        </w:numPr>
        <w:pStyle w:val="Compact"/>
      </w:pPr>
      <w:r>
        <w:t xml:space="preserve">GPD / peaks over threshold (EVT).</w:t>
      </w:r>
    </w:p>
    <w:p>
      <w:pPr>
        <w:numPr>
          <w:ilvl w:val="0"/>
          <w:numId w:val="1003"/>
        </w:numPr>
        <w:pStyle w:val="Compact"/>
      </w:pPr>
      <w:r>
        <w:t xml:space="preserve">McNeil–Frey (GARCH + EVT, conditional).</w:t>
      </w:r>
    </w:p>
    <w:p>
      <w:pPr>
        <w:pStyle w:val="FirstParagraph"/>
      </w:pPr>
      <w:r>
        <w:t xml:space="preserve">Out of sample, GARCH-normal, GARCH-t and FHS are added as competitors, as in Projects 3–6.</w:t>
      </w:r>
    </w:p>
    <w:p>
      <w:pPr>
        <w:pStyle w:val="BodyText"/>
      </w:pPr>
      <w:r>
        <w:rPr>
          <w:bCs/>
          <w:b/>
        </w:rPr>
        <w:t xml:space="preserve">To remember:</w:t>
      </w:r>
      <w:r>
        <w:t xml:space="preserve"> </w:t>
      </w:r>
      <w:r>
        <w:t xml:space="preserve">B2, B3, B4 and B7</w:t>
      </w:r>
      <w:r>
        <w:t xml:space="preserve"> </w:t>
      </w:r>
      <w:r>
        <w:rPr>
          <w:bCs/>
          <w:b/>
        </w:rPr>
        <w:t xml:space="preserve">produce</w:t>
      </w:r>
      <w:r>
        <w:t xml:space="preserve"> </w:t>
      </w:r>
      <w:r>
        <w:t xml:space="preserve">a VaR; B5, B6 and B8</w:t>
      </w:r>
      <w:r>
        <w:t xml:space="preserve"> </w:t>
      </w:r>
      <w:r>
        <w:rPr>
          <w:bCs/>
          <w:b/>
        </w:rPr>
        <w:t xml:space="preserve">judge</w:t>
      </w:r>
      <w:r>
        <w:t xml:space="preserve"> </w:t>
      </w:r>
      <w:r>
        <w:t xml:space="preserve">a VaR; B0 and B1 explain what we measure and why EVT works.</w:t>
      </w:r>
    </w:p>
    <w:p>
      <w:r>
        <w:pict>
          <v:rect style="width:0;height:1.5pt" o:hralign="center" o:hrstd="t" o:hr="t"/>
        </w:pict>
      </w:r>
    </w:p>
    <w:bookmarkEnd w:id="20"/>
    <w:bookmarkStart w:id="21" w:name="decisions-for-this-project"/>
    <w:p>
      <w:pPr>
        <w:pStyle w:val="Heading2"/>
      </w:pPr>
      <w:r>
        <w:t xml:space="preserve">Decisions for this project</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Topic</w:t>
            </w:r>
          </w:p>
        </w:tc>
        <w:tc>
          <w:tcPr/>
          <w:p>
            <w:pPr>
              <w:pStyle w:val="Compact"/>
              <w:jc w:val="left"/>
            </w:pPr>
            <w:r>
              <w:t xml:space="preserve">Decision</w:t>
            </w:r>
          </w:p>
        </w:tc>
      </w:tr>
      <w:tr>
        <w:tc>
          <w:tcPr/>
          <w:p>
            <w:pPr>
              <w:pStyle w:val="Compact"/>
              <w:jc w:val="left"/>
            </w:pPr>
            <w:r>
              <w:t xml:space="preserve">Data</w:t>
            </w:r>
          </w:p>
        </w:tc>
        <w:tc>
          <w:tcPr/>
          <w:p>
            <w:pPr>
              <w:pStyle w:val="Compact"/>
              <w:jc w:val="left"/>
            </w:pPr>
            <w:r>
              <w:rPr>
                <w:bCs/>
                <w:b/>
              </w:rPr>
              <w:t xml:space="preserve">S&amp;P 500 price index</w:t>
            </w:r>
            <w:r>
              <w:t xml:space="preserve"> </w:t>
            </w:r>
            <w:r>
              <w:t xml:space="preserve">(Yahoo,</w:t>
            </w:r>
            <w:r>
              <w:t xml:space="preserve"> </w:t>
            </w:r>
            <w:r>
              <w:rPr>
                <w:rStyle w:val="VerbatimChar"/>
              </w:rPr>
              <w:t xml:space="preserve">^GSPC</w:t>
            </w:r>
            <w:r>
              <w:t xml:space="preserve">), daily closes from</w:t>
            </w:r>
            <w:r>
              <w:t xml:space="preserve"> </w:t>
            </w:r>
            <w:r>
              <w:rPr>
                <w:bCs/>
                <w:b/>
              </w:rPr>
              <w:t xml:space="preserve">30 December 1927</w:t>
            </w:r>
            <w:r>
              <w:t xml:space="preserve"> </w:t>
            </w:r>
            <w:r>
              <w:t xml:space="preserve">to today (about 24,800 days), downloaded fresh in Step 1</w:t>
            </w:r>
          </w:p>
        </w:tc>
      </w:tr>
      <w:tr>
        <w:tc>
          <w:tcPr/>
          <w:p>
            <w:pPr>
              <w:pStyle w:val="Compact"/>
              <w:jc w:val="left"/>
            </w:pPr>
            <w:r>
              <w:t xml:space="preserve">Losses</w:t>
            </w:r>
          </w:p>
        </w:tc>
        <w:tc>
          <w:tcPr/>
          <w:p>
            <w:pPr>
              <w:pStyle w:val="Compact"/>
              <w:jc w:val="left"/>
            </w:pPr>
            <w:r>
              <w:t xml:space="preserve">Negative</w:t>
            </w:r>
            <w:r>
              <w:t xml:space="preserve"> </w:t>
            </w:r>
            <w:r>
              <w:rPr>
                <w:bCs/>
                <w:b/>
              </w:rPr>
              <w:t xml:space="preserve">log</w:t>
            </w:r>
            <w:r>
              <w:t xml:space="preserve"> </w:t>
            </w:r>
            <w:r>
              <w:t xml:space="preserve">returns in %: additive over time, symmetric treatment of both tails, the standard in the EVT literature; VaR converted back to a % loss of value at the end</w:t>
            </w:r>
          </w:p>
        </w:tc>
      </w:tr>
      <w:tr>
        <w:tc>
          <w:tcPr/>
          <w:p>
            <w:pPr>
              <w:pStyle w:val="Compact"/>
              <w:jc w:val="left"/>
            </w:pPr>
            <w:r>
              <w:t xml:space="preserve">Tail estimators</w:t>
            </w:r>
          </w:p>
        </w:tc>
        <w:tc>
          <w:tcPr/>
          <w:p>
            <w:pPr>
              <w:pStyle w:val="Compact"/>
              <w:jc w:val="left"/>
            </w:pPr>
            <w:r>
              <w:rPr>
                <w:bCs/>
                <w:b/>
              </w:rPr>
              <w:t xml:space="preserve">Hill</w:t>
            </w:r>
            <w:r>
              <w:t xml:space="preserve"> </w:t>
            </w:r>
            <w:r>
              <w:t xml:space="preserve">estimator of the tail index;</w:t>
            </w:r>
            <w:r>
              <w:t xml:space="preserve"> </w:t>
            </w:r>
            <w:r>
              <w:rPr>
                <w:bCs/>
                <w:b/>
              </w:rPr>
              <w:t xml:space="preserve">peaks-over-threshold (POT)</w:t>
            </w:r>
            <w:r>
              <w:t xml:space="preserve"> </w:t>
            </w:r>
            <w:r>
              <w:t xml:space="preserve">with the</w:t>
            </w:r>
            <w:r>
              <w:t xml:space="preserve"> </w:t>
            </w:r>
            <w:r>
              <w:rPr>
                <w:bCs/>
                <w:b/>
              </w:rPr>
              <w:t xml:space="preserve">Generalized Pareto Distribution (GPD)</w:t>
            </w:r>
            <w:r>
              <w:t xml:space="preserve">, fitted by maximum likelihood</w:t>
            </w:r>
          </w:p>
        </w:tc>
      </w:tr>
      <w:tr>
        <w:tc>
          <w:tcPr/>
          <w:p>
            <w:pPr>
              <w:pStyle w:val="Compact"/>
              <w:jc w:val="left"/>
            </w:pPr>
            <w:r>
              <w:t xml:space="preserve">Benchmarks</w:t>
            </w:r>
          </w:p>
        </w:tc>
        <w:tc>
          <w:tcPr/>
          <w:p>
            <w:pPr>
              <w:pStyle w:val="Compact"/>
              <w:jc w:val="left"/>
            </w:pPr>
            <w:r>
              <w:t xml:space="preserve">Normal, Student-t (fitted by maximum likelihood), historical (empirical quantile)</w:t>
            </w:r>
          </w:p>
        </w:tc>
      </w:tr>
      <w:tr>
        <w:tc>
          <w:tcPr/>
          <w:p>
            <w:pPr>
              <w:pStyle w:val="Compact"/>
              <w:jc w:val="left"/>
            </w:pPr>
            <w:r>
              <w:t xml:space="preserve">Risk levels</w:t>
            </w:r>
          </w:p>
        </w:tc>
        <w:tc>
          <w:tcPr/>
          <w:p>
            <w:pPr>
              <w:pStyle w:val="Compact"/>
              <w:jc w:val="left"/>
            </w:pPr>
            <w:r>
              <w:t xml:space="preserve">VaR at</w:t>
            </w:r>
            <w:r>
              <w:t xml:space="preserve"> </w:t>
            </w:r>
            <w:r>
              <w:rPr>
                <w:bCs/>
                <w:b/>
              </w:rPr>
              <w:t xml:space="preserve">99%, 99.5% and 99.9%</w:t>
            </w:r>
            <w:r>
              <w:t xml:space="preserve">; ES at 97.5%, 99% and 99.9%</w:t>
            </w:r>
          </w:p>
        </w:tc>
      </w:tr>
      <w:tr>
        <w:tc>
          <w:tcPr/>
          <w:p>
            <w:pPr>
              <w:pStyle w:val="Compact"/>
              <w:jc w:val="left"/>
            </w:pPr>
            <w:r>
              <w:t xml:space="preserve">Uncertainty</w:t>
            </w:r>
          </w:p>
        </w:tc>
        <w:tc>
          <w:tcPr/>
          <w:p>
            <w:pPr>
              <w:pStyle w:val="Compact"/>
              <w:jc w:val="left"/>
            </w:pPr>
            <w:r>
              <w:t xml:space="preserve">Standard errors and</w:t>
            </w:r>
            <w:r>
              <w:t xml:space="preserve"> </w:t>
            </w:r>
            <w:r>
              <w:rPr>
                <w:bCs/>
                <w:b/>
              </w:rPr>
              <w:t xml:space="preserve">confidence intervals</w:t>
            </w:r>
            <w:r>
              <w:t xml:space="preserve"> </w:t>
            </w:r>
            <w:r>
              <w:t xml:space="preserve">of ξ, VaR and ES (delta method, profile likelihood, bootstrap)</w:t>
            </w:r>
          </w:p>
        </w:tc>
      </w:tr>
      <w:tr>
        <w:tc>
          <w:tcPr/>
          <w:p>
            <w:pPr>
              <w:pStyle w:val="Compact"/>
              <w:jc w:val="left"/>
            </w:pPr>
            <w:r>
              <w:t xml:space="preserve">Conditional model</w:t>
            </w:r>
          </w:p>
        </w:tc>
        <w:tc>
          <w:tcPr/>
          <w:p>
            <w:pPr>
              <w:pStyle w:val="Compact"/>
              <w:jc w:val="left"/>
            </w:pPr>
            <w:r>
              <w:rPr>
                <w:bCs/>
                <w:b/>
              </w:rPr>
              <w:t xml:space="preserve">McNeil–Frey</w:t>
            </w:r>
            <w:r>
              <w:t xml:space="preserve">: GJR-GARCH(1,1) estimated by quasi-maximum likelihood, then GPD on the standardised residuals; rolling 1,000-day window, refit every 20 days</w:t>
            </w:r>
          </w:p>
        </w:tc>
      </w:tr>
      <w:tr>
        <w:tc>
          <w:tcPr/>
          <w:p>
            <w:pPr>
              <w:pStyle w:val="Compact"/>
              <w:jc w:val="left"/>
            </w:pPr>
            <w:r>
              <w:t xml:space="preserve">Competitors out of sample</w:t>
            </w:r>
          </w:p>
        </w:tc>
        <w:tc>
          <w:tcPr/>
          <w:p>
            <w:pPr>
              <w:pStyle w:val="Compact"/>
              <w:jc w:val="left"/>
            </w:pPr>
            <w:r>
              <w:t xml:space="preserve">GARCH-normal, GARCH-t, FHS (filtered historical simulation), unconditional EVT, historical simulation</w:t>
            </w:r>
          </w:p>
        </w:tc>
      </w:tr>
      <w:tr>
        <w:tc>
          <w:tcPr/>
          <w:p>
            <w:pPr>
              <w:pStyle w:val="Compact"/>
              <w:jc w:val="left"/>
            </w:pPr>
            <w:r>
              <w:t xml:space="preserve">Evaluation</w:t>
            </w:r>
          </w:p>
        </w:tc>
        <w:tc>
          <w:tcPr/>
          <w:p>
            <w:pPr>
              <w:pStyle w:val="Compact"/>
              <w:jc w:val="left"/>
            </w:pPr>
            <w:r>
              <w:t xml:space="preserve">Kupiec, Christoffersen, Acerbi–Szekely Z2, Basel traffic light; at 99%, 99.5% and 99.9%</w:t>
            </w:r>
          </w:p>
        </w:tc>
      </w:tr>
      <w:tr>
        <w:tc>
          <w:tcPr/>
          <w:p>
            <w:pPr>
              <w:pStyle w:val="Compact"/>
              <w:jc w:val="left"/>
            </w:pPr>
            <w:r>
              <w:t xml:space="preserve">Main message to test</w:t>
            </w:r>
          </w:p>
        </w:tc>
        <w:tc>
          <w:tcPr/>
          <w:p>
            <w:pPr>
              <w:pStyle w:val="Compact"/>
              <w:jc w:val="left"/>
            </w:pPr>
            <w:r>
              <w:t xml:space="preserve">Normal (and, at 99.9%, even Student-t) models</w:t>
            </w:r>
            <w:r>
              <w:t xml:space="preserve"> </w:t>
            </w:r>
            <w:r>
              <w:rPr>
                <w:bCs/>
                <w:b/>
              </w:rPr>
              <w:t xml:space="preserve">understate extreme losses</w:t>
            </w:r>
            <w:r>
              <w:t xml:space="preserve">, and EVT works best</w:t>
            </w:r>
            <w:r>
              <w:t xml:space="preserve"> </w:t>
            </w:r>
            <w:r>
              <w:rPr>
                <w:bCs/>
                <w:b/>
              </w:rPr>
              <w:t xml:space="preserve">after</w:t>
            </w:r>
            <w:r>
              <w:t xml:space="preserve"> </w:t>
            </w:r>
            <w:r>
              <w:t xml:space="preserve">removing volatility clustering</w:t>
            </w:r>
          </w:p>
        </w:tc>
      </w:tr>
    </w:tbl>
    <w:p>
      <w:r>
        <w:pict>
          <v:rect style="width:0;height:1.5pt" o:hralign="center" o:hrstd="t" o:hr="t"/>
        </w:pict>
      </w:r>
    </w:p>
    <w:bookmarkEnd w:id="21"/>
    <w:bookmarkStart w:id="27" w:name="part-a-the-projects-problem"/>
    <w:p>
      <w:pPr>
        <w:pStyle w:val="Heading2"/>
      </w:pPr>
      <w:r>
        <w:t xml:space="preserve">Part A – The project’s problem</w:t>
      </w:r>
    </w:p>
    <w:bookmarkStart w:id="22" w:name="a1.-what-do-i-need-to-determine"/>
    <w:p>
      <w:pPr>
        <w:pStyle w:val="Heading3"/>
      </w:pPr>
      <w:r>
        <w:t xml:space="preserve">A1. What do I need to determine?</w:t>
      </w:r>
    </w:p>
    <w:p>
      <w:pPr>
        <w:pStyle w:val="FirstParagraph"/>
      </w:pPr>
      <w:r>
        <w:t xml:space="preserve">Projects 3–6 measured VaR at 99% and ES at 97.5%. A risk team also needs numbers</w:t>
      </w:r>
      <w:r>
        <w:t xml:space="preserve"> </w:t>
      </w:r>
      <w:r>
        <w:rPr>
          <w:bCs/>
          <w:b/>
        </w:rPr>
        <w:t xml:space="preserve">much further in the tail</w:t>
      </w:r>
      <w:r>
        <w:t xml:space="preserve">: economic capital (99.9% at one year in Basel’s credit framework, 99.5% in Solvency II for insurers), stress scenarios, and the answer to questions such as</w:t>
      </w:r>
      <w:r>
        <w:t xml:space="preserve"> </w:t>
      </w:r>
      <w:r>
        <w:t xml:space="preserve">“</w:t>
      </w:r>
      <w:r>
        <w:t xml:space="preserve">how big is a once-in-ten-years day?</w:t>
      </w:r>
      <w:r>
        <w:t xml:space="preserve">”</w:t>
      </w:r>
      <w:r>
        <w:t xml:space="preserve">. At those levels there are very few observations, and the usual models are no longer trustworthy. This project answers:</w:t>
      </w:r>
    </w:p>
    <w:p>
      <w:pPr>
        <w:pStyle w:val="BlockText"/>
      </w:pPr>
      <w:r>
        <w:rPr>
          <w:bCs/>
          <w:b/>
        </w:rPr>
        <w:t xml:space="preserve">How large are the extreme daily losses of the S&amp;P 500, how should a risk team estimate 99.9% VaR and ES, and how wrong are the normal and Student-t models that far in the tail?</w:t>
      </w:r>
    </w:p>
    <w:p>
      <w:pPr>
        <w:pStyle w:val="FirstParagraph"/>
      </w:pPr>
      <w:r>
        <w:t xml:space="preserve">More precisely:</w:t>
      </w:r>
    </w:p>
    <w:p>
      <w:pPr>
        <w:numPr>
          <w:ilvl w:val="0"/>
          <w:numId w:val="1004"/>
        </w:numPr>
        <w:pStyle w:val="Compact"/>
      </w:pPr>
      <w:r>
        <w:t xml:space="preserve">How fat is the tail of S&amp;P 500 losses — what is its</w:t>
      </w:r>
      <w:r>
        <w:t xml:space="preserve"> </w:t>
      </w:r>
      <w:r>
        <w:rPr>
          <w:bCs/>
          <w:b/>
        </w:rPr>
        <w:t xml:space="preserve">tail index</w:t>
      </w:r>
      <w:r>
        <w:t xml:space="preserve">, and is it the same in every era and in both tails?</w:t>
      </w:r>
    </w:p>
    <w:p>
      <w:pPr>
        <w:numPr>
          <w:ilvl w:val="0"/>
          <w:numId w:val="1004"/>
        </w:numPr>
        <w:pStyle w:val="Compact"/>
      </w:pPr>
      <w:r>
        <w:t xml:space="preserve">What are the 99%, 99.5% and 99.9% VaR and ES according to EVT (Hill and GPD), and how different are they from normal, Student-t and historical estimates? How</w:t>
      </w:r>
      <w:r>
        <w:t xml:space="preserve"> </w:t>
      </w:r>
      <w:r>
        <w:rPr>
          <w:bCs/>
          <w:b/>
        </w:rPr>
        <w:t xml:space="preserve">uncertain</w:t>
      </w:r>
      <w:r>
        <w:t xml:space="preserve"> </w:t>
      </w:r>
      <w:r>
        <w:t xml:space="preserve">are these numbers?</w:t>
      </w:r>
    </w:p>
    <w:p>
      <w:pPr>
        <w:numPr>
          <w:ilvl w:val="0"/>
          <w:numId w:val="1004"/>
        </w:numPr>
        <w:pStyle w:val="Compact"/>
      </w:pPr>
      <w:r>
        <w:t xml:space="preserve">Does EVT work better on raw returns or on</w:t>
      </w:r>
      <w:r>
        <w:t xml:space="preserve"> </w:t>
      </w:r>
      <w:r>
        <w:rPr>
          <w:bCs/>
          <w:b/>
        </w:rPr>
        <w:t xml:space="preserve">GARCH-standardised residuals</w:t>
      </w:r>
      <w:r>
        <w:t xml:space="preserve"> </w:t>
      </w:r>
      <w:r>
        <w:t xml:space="preserve">(the McNeil–Frey approach)?</w:t>
      </w:r>
    </w:p>
    <w:p>
      <w:pPr>
        <w:numPr>
          <w:ilvl w:val="0"/>
          <w:numId w:val="1004"/>
        </w:numPr>
        <w:pStyle w:val="Compact"/>
      </w:pPr>
      <w:r>
        <w:t xml:space="preserve">Which method passes</w:t>
      </w:r>
      <w:r>
        <w:t xml:space="preserve"> </w:t>
      </w:r>
      <w:r>
        <w:rPr>
          <w:bCs/>
          <w:b/>
        </w:rPr>
        <w:t xml:space="preserve">out-of-sample backtests</w:t>
      </w:r>
      <w:r>
        <w:t xml:space="preserve"> </w:t>
      </w:r>
      <w:r>
        <w:t xml:space="preserve">at these extreme levels, over almost a century of data?</w:t>
      </w:r>
    </w:p>
    <w:bookmarkEnd w:id="22"/>
    <w:bookmarkStart w:id="23" w:name="X7acb10c4cacc14016776a30833617da11366a27"/>
    <w:p>
      <w:pPr>
        <w:pStyle w:val="Heading3"/>
      </w:pPr>
      <w:r>
        <w:t xml:space="preserve">A2. What information and assumptions do I have?</w:t>
      </w:r>
    </w:p>
    <w:p>
      <w:pPr>
        <w:numPr>
          <w:ilvl w:val="0"/>
          <w:numId w:val="1005"/>
        </w:numPr>
        <w:pStyle w:val="Compact"/>
      </w:pPr>
      <w:r>
        <w:rPr>
          <w:bCs/>
          <w:b/>
        </w:rPr>
        <w:t xml:space="preserve">Data:</w:t>
      </w:r>
      <w:r>
        <w:t xml:space="preserve"> </w:t>
      </w:r>
      <w:r>
        <w:t xml:space="preserve">about 24,800 daily closes of the S&amp;P 500 since 1928, including the 1929 crash, the 1930s, 1987 (−20.5% in a day), 2008 and 2020.</w:t>
      </w:r>
    </w:p>
    <w:p>
      <w:pPr>
        <w:numPr>
          <w:ilvl w:val="0"/>
          <w:numId w:val="1005"/>
        </w:numPr>
        <w:pStyle w:val="Compact"/>
      </w:pPr>
      <w:r>
        <w:rPr>
          <w:bCs/>
          <w:b/>
        </w:rPr>
        <w:t xml:space="preserve">Results from earlier projects:</w:t>
      </w:r>
    </w:p>
    <w:p>
      <w:pPr>
        <w:numPr>
          <w:ilvl w:val="1"/>
          <w:numId w:val="1006"/>
        </w:numPr>
        <w:pStyle w:val="Compact"/>
      </w:pPr>
      <w:r>
        <w:t xml:space="preserve">S&amp;P 500 returns have fat tails (kurtosis about 14 since 1990) and volatility clusters (Project 1).</w:t>
      </w:r>
    </w:p>
    <w:p>
      <w:pPr>
        <w:numPr>
          <w:ilvl w:val="1"/>
          <w:numId w:val="1006"/>
        </w:numPr>
        <w:pStyle w:val="Compact"/>
      </w:pPr>
      <w:r>
        <w:t xml:space="preserve">GJR-GARCH-t is the best volatility forecast (Project 2); FHS is the best one-day VaR/ES method at 99% / 97.5% (Projects 3–6).</w:t>
      </w:r>
    </w:p>
    <w:p>
      <w:pPr>
        <w:numPr>
          <w:ilvl w:val="0"/>
          <w:numId w:val="1005"/>
        </w:numPr>
        <w:pStyle w:val="Compact"/>
      </w:pPr>
      <w:r>
        <w:rPr>
          <w:bCs/>
          <w:b/>
        </w:rPr>
        <w:t xml:space="preserve">Assumptions:</w:t>
      </w:r>
    </w:p>
    <w:p>
      <w:pPr>
        <w:numPr>
          <w:ilvl w:val="1"/>
          <w:numId w:val="1007"/>
        </w:numPr>
        <w:pStyle w:val="Compact"/>
      </w:pPr>
      <w:r>
        <w:t xml:space="preserve">The tail of the loss distribution is approximately a</w:t>
      </w:r>
      <w:r>
        <w:t xml:space="preserve"> </w:t>
      </w:r>
      <w:r>
        <w:rPr>
          <w:bCs/>
          <w:b/>
        </w:rPr>
        <w:t xml:space="preserve">power law</w:t>
      </w:r>
      <w:r>
        <w:t xml:space="preserve"> </w:t>
      </w:r>
      <w:r>
        <w:t xml:space="preserve">(Part B1–B3) — to be checked, not assumed blindly.</w:t>
      </w:r>
    </w:p>
    <w:p>
      <w:pPr>
        <w:numPr>
          <w:ilvl w:val="1"/>
          <w:numId w:val="1007"/>
        </w:numPr>
        <w:pStyle w:val="Compact"/>
      </w:pPr>
      <w:r>
        <w:t xml:space="preserve">For unconditional EVT, the losses are treated as identically distributed; for McNeil–Frey, only the</w:t>
      </w:r>
      <w:r>
        <w:t xml:space="preserve"> </w:t>
      </w:r>
      <w:r>
        <w:rPr>
          <w:bCs/>
          <w:b/>
        </w:rPr>
        <w:t xml:space="preserve">standardised residuals</w:t>
      </w:r>
      <w:r>
        <w:t xml:space="preserve"> </w:t>
      </w:r>
      <w:r>
        <w:t xml:space="preserve">are.</w:t>
      </w:r>
    </w:p>
    <w:p>
      <w:pPr>
        <w:numPr>
          <w:ilvl w:val="0"/>
          <w:numId w:val="1005"/>
        </w:numPr>
        <w:pStyle w:val="Compact"/>
      </w:pPr>
      <w:r>
        <w:rPr>
          <w:bCs/>
          <w:b/>
        </w:rPr>
        <w:t xml:space="preserve">Known difficulties:</w:t>
      </w:r>
    </w:p>
    <w:p>
      <w:pPr>
        <w:numPr>
          <w:ilvl w:val="1"/>
          <w:numId w:val="1008"/>
        </w:numPr>
        <w:pStyle w:val="Compact"/>
      </w:pPr>
      <w:r>
        <w:t xml:space="preserve">Before 1957 Yahoo’s</w:t>
      </w:r>
      <w:r>
        <w:t xml:space="preserve"> </w:t>
      </w:r>
      <w:r>
        <w:rPr>
          <w:rStyle w:val="VerbatimChar"/>
        </w:rPr>
        <w:t xml:space="preserve">^GSPC</w:t>
      </w:r>
      <w:r>
        <w:t xml:space="preserve"> </w:t>
      </w:r>
      <w:r>
        <w:t xml:space="preserve">is the older S&amp;P 90 composite; until 1952 the market traded on Saturdays. These change the data, not the method, and are checked in Step 1.</w:t>
      </w:r>
    </w:p>
    <w:p>
      <w:pPr>
        <w:numPr>
          <w:ilvl w:val="1"/>
          <w:numId w:val="1008"/>
        </w:numPr>
        <w:pStyle w:val="Compact"/>
      </w:pPr>
      <w:r>
        <w:t xml:space="preserve">Extremes are rare by definition: estimates rest on a few hundred points, so uncertainty must be reported.</w:t>
      </w:r>
    </w:p>
    <w:p>
      <w:pPr>
        <w:numPr>
          <w:ilvl w:val="1"/>
          <w:numId w:val="1008"/>
        </w:numPr>
        <w:pStyle w:val="Compact"/>
      </w:pPr>
      <w:r>
        <w:t xml:space="preserve">Losses are</w:t>
      </w:r>
      <w:r>
        <w:t xml:space="preserve"> </w:t>
      </w:r>
      <w:r>
        <w:rPr>
          <w:bCs/>
          <w:b/>
        </w:rPr>
        <w:t xml:space="preserve">not independent</w:t>
      </w:r>
      <w:r>
        <w:t xml:space="preserve">: they cluster in crises.</w:t>
      </w:r>
    </w:p>
    <w:bookmarkEnd w:id="23"/>
    <w:bookmarkStart w:id="24" w:name="a3.-which-method-is-appropriate"/>
    <w:p>
      <w:pPr>
        <w:pStyle w:val="Heading3"/>
      </w:pPr>
      <w:r>
        <w:t xml:space="preserve">A3. Which method is appropriate?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Method</w:t>
            </w:r>
          </w:p>
        </w:tc>
      </w:tr>
      <w:tr>
        <w:tc>
          <w:tcPr/>
          <w:p>
            <w:pPr>
              <w:pStyle w:val="Compact"/>
              <w:jc w:val="left"/>
            </w:pPr>
            <w:r>
              <w:t xml:space="preserve">How fat is the tail?</w:t>
            </w:r>
          </w:p>
        </w:tc>
        <w:tc>
          <w:tcPr/>
          <w:p>
            <w:pPr>
              <w:pStyle w:val="Compact"/>
              <w:jc w:val="left"/>
            </w:pPr>
            <w:r>
              <w:t xml:space="preserve">Hill estimator and Hill plot; QQ plots against normal and t</w:t>
            </w:r>
          </w:p>
        </w:tc>
      </w:tr>
      <w:tr>
        <w:tc>
          <w:tcPr/>
          <w:p>
            <w:pPr>
              <w:pStyle w:val="Compact"/>
              <w:jc w:val="left"/>
            </w:pPr>
            <w:r>
              <w:t xml:space="preserve">Where does the tail start?</w:t>
            </w:r>
          </w:p>
        </w:tc>
        <w:tc>
          <w:tcPr/>
          <w:p>
            <w:pPr>
              <w:pStyle w:val="Compact"/>
              <w:jc w:val="left"/>
            </w:pPr>
            <w:r>
              <w:t xml:space="preserve">Mean excess plot, parameter-stability plots</w:t>
            </w:r>
          </w:p>
        </w:tc>
      </w:tr>
      <w:tr>
        <w:tc>
          <w:tcPr/>
          <w:p>
            <w:pPr>
              <w:pStyle w:val="Compact"/>
              <w:jc w:val="left"/>
            </w:pPr>
            <w:r>
              <w:t xml:space="preserve">Shape of the tail beyond the threshold</w:t>
            </w:r>
          </w:p>
        </w:tc>
        <w:tc>
          <w:tcPr/>
          <w:p>
            <w:pPr>
              <w:pStyle w:val="Compact"/>
              <w:jc w:val="left"/>
            </w:pPr>
            <w:r>
              <w:t xml:space="preserve">Generalized Pareto Distribution, maximum likelihood</w:t>
            </w:r>
          </w:p>
        </w:tc>
      </w:tr>
      <w:tr>
        <w:tc>
          <w:tcPr/>
          <w:p>
            <w:pPr>
              <w:pStyle w:val="Compact"/>
              <w:jc w:val="left"/>
            </w:pPr>
            <w:r>
              <w:t xml:space="preserve">Extreme VaR / ES</w:t>
            </w:r>
          </w:p>
        </w:tc>
        <w:tc>
          <w:tcPr/>
          <w:p>
            <w:pPr>
              <w:pStyle w:val="Compact"/>
              <w:jc w:val="left"/>
            </w:pPr>
            <w:r>
              <w:t xml:space="preserve">GPD tail formulas (and Hill–Weissman); benchmarks normal, t, empirical</w:t>
            </w:r>
          </w:p>
        </w:tc>
      </w:tr>
      <w:tr>
        <w:tc>
          <w:tcPr/>
          <w:p>
            <w:pPr>
              <w:pStyle w:val="Compact"/>
              <w:jc w:val="left"/>
            </w:pPr>
            <w:r>
              <w:t xml:space="preserve">How sure are we?</w:t>
            </w:r>
          </w:p>
        </w:tc>
        <w:tc>
          <w:tcPr/>
          <w:p>
            <w:pPr>
              <w:pStyle w:val="Compact"/>
              <w:jc w:val="left"/>
            </w:pPr>
            <w:r>
              <w:t xml:space="preserve">Standard errors (delta method), profile-likelihood intervals, bootstrap</w:t>
            </w:r>
          </w:p>
        </w:tc>
      </w:tr>
      <w:tr>
        <w:tc>
          <w:tcPr/>
          <w:p>
            <w:pPr>
              <w:pStyle w:val="Compact"/>
              <w:jc w:val="left"/>
            </w:pPr>
            <w:r>
              <w:t xml:space="preserve">Clustering of extremes</w:t>
            </w:r>
          </w:p>
        </w:tc>
        <w:tc>
          <w:tcPr/>
          <w:p>
            <w:pPr>
              <w:pStyle w:val="Compact"/>
              <w:jc w:val="left"/>
            </w:pPr>
            <w:r>
              <w:t xml:space="preserve">Extremal index; then filter with GJR-GARCH (McNeil–Frey)</w:t>
            </w:r>
          </w:p>
        </w:tc>
      </w:tr>
      <w:tr>
        <w:tc>
          <w:tcPr/>
          <w:p>
            <w:pPr>
              <w:pStyle w:val="Compact"/>
              <w:jc w:val="left"/>
            </w:pPr>
            <w:r>
              <w:t xml:space="preserve">Does it work in practice?</w:t>
            </w:r>
          </w:p>
        </w:tc>
        <w:tc>
          <w:tcPr/>
          <w:p>
            <w:pPr>
              <w:pStyle w:val="Compact"/>
              <w:jc w:val="left"/>
            </w:pPr>
            <w:r>
              <w:t xml:space="preserve">Rolling out-of-sample forecasts and backtests</w:t>
            </w:r>
          </w:p>
        </w:tc>
      </w:tr>
    </w:tbl>
    <w:bookmarkEnd w:id="24"/>
    <w:bookmarkStart w:id="25" w:name="a4.-why-should-the-method-work"/>
    <w:p>
      <w:pPr>
        <w:pStyle w:val="Heading3"/>
      </w:pPr>
      <w:r>
        <w:t xml:space="preserve">A4. Why should the method work?</w:t>
      </w:r>
    </w:p>
    <w:p>
      <w:pPr>
        <w:numPr>
          <w:ilvl w:val="0"/>
          <w:numId w:val="1009"/>
        </w:numPr>
        <w:pStyle w:val="Compact"/>
      </w:pPr>
      <w:r>
        <w:rPr>
          <w:bCs/>
          <w:b/>
        </w:rPr>
        <w:t xml:space="preserve">Extreme value theory</w:t>
      </w:r>
      <w:r>
        <w:t xml:space="preserve"> </w:t>
      </w:r>
      <w:r>
        <w:t xml:space="preserve">is to the tail what the central limit theorem is to the average: whatever the exact distribution, the tail beyond a high threshold has (approximately)</w:t>
      </w:r>
      <w:r>
        <w:t xml:space="preserve"> </w:t>
      </w:r>
      <w:r>
        <w:rPr>
          <w:bCs/>
          <w:b/>
        </w:rPr>
        <w:t xml:space="preserve">one universal shape</w:t>
      </w:r>
      <w:r>
        <w:t xml:space="preserve">, the GPD, described by just two parameters. We therefore model the tail with the shape the theory says it must have, instead of hoping that a distribution fitted to the whole sample (normal, t) also fits the extremes.</w:t>
      </w:r>
    </w:p>
    <w:p>
      <w:pPr>
        <w:numPr>
          <w:ilvl w:val="0"/>
          <w:numId w:val="1009"/>
        </w:numPr>
        <w:pStyle w:val="Compact"/>
      </w:pPr>
      <w:r>
        <w:rPr>
          <w:bCs/>
          <w:b/>
        </w:rPr>
        <w:t xml:space="preserve">Filtering first</w:t>
      </w:r>
      <w:r>
        <w:t xml:space="preserve"> </w:t>
      </w:r>
      <w:r>
        <w:t xml:space="preserve">makes the EVT assumption (independent, identically distributed data) much more realistic, and makes the VaR react to today’s volatility.</w:t>
      </w:r>
    </w:p>
    <w:bookmarkEnd w:id="25"/>
    <w:bookmarkStart w:id="26" w:name="a5.-how-can-i-verify-the-answer"/>
    <w:p>
      <w:pPr>
        <w:pStyle w:val="Heading3"/>
      </w:pPr>
      <w:r>
        <w:t xml:space="preserve">A5. How can I verify the answer?</w:t>
      </w:r>
    </w:p>
    <w:p>
      <w:pPr>
        <w:numPr>
          <w:ilvl w:val="0"/>
          <w:numId w:val="1010"/>
        </w:numPr>
        <w:pStyle w:val="Compact"/>
      </w:pPr>
      <w:r>
        <w:rPr>
          <w:bCs/>
          <w:b/>
        </w:rPr>
        <w:t xml:space="preserve">Code:</w:t>
      </w:r>
      <w:r>
        <w:t xml:space="preserve"> </w:t>
      </w:r>
      <w:r>
        <w:t xml:space="preserve">on simulated data with a known tail (Student-t with ν = 4 has ξ = 0.25), the Hill and GPD estimators must recover the truth; our GPD fit must match</w:t>
      </w:r>
      <w:r>
        <w:t xml:space="preserve"> </w:t>
      </w:r>
      <w:r>
        <w:rPr>
          <w:rStyle w:val="VerbatimChar"/>
        </w:rPr>
        <w:t xml:space="preserve">scipy.stats.genpareto</w:t>
      </w:r>
      <w:r>
        <w:t xml:space="preserve">; VaR/ES formulas must match simulated quantiles.</w:t>
      </w:r>
    </w:p>
    <w:p>
      <w:pPr>
        <w:numPr>
          <w:ilvl w:val="0"/>
          <w:numId w:val="1010"/>
        </w:numPr>
        <w:pStyle w:val="Compact"/>
      </w:pPr>
      <w:r>
        <w:rPr>
          <w:bCs/>
          <w:b/>
        </w:rPr>
        <w:t xml:space="preserve">Fit:</w:t>
      </w:r>
      <w:r>
        <w:t xml:space="preserve"> </w:t>
      </w:r>
      <w:r>
        <w:t xml:space="preserve">QQ plots of the excesses against the fitted GPD; stability of ξ across thresholds.</w:t>
      </w:r>
    </w:p>
    <w:p>
      <w:pPr>
        <w:numPr>
          <w:ilvl w:val="0"/>
          <w:numId w:val="1010"/>
        </w:numPr>
        <w:pStyle w:val="Compact"/>
      </w:pPr>
      <w:r>
        <w:rPr>
          <w:bCs/>
          <w:b/>
        </w:rPr>
        <w:t xml:space="preserve">Out of sample:</w:t>
      </w:r>
      <w:r>
        <w:t xml:space="preserve"> </w:t>
      </w:r>
      <w:r>
        <w:t xml:space="preserve">no look-ahead test; breach counts and the three tests at each level; Basel traffic light.</w:t>
      </w:r>
    </w:p>
    <w:p>
      <w:r>
        <w:pict>
          <v:rect style="width:0;height:1.5pt" o:hralign="center" o:hrstd="t" o:hr="t"/>
        </w:pict>
      </w:r>
    </w:p>
    <w:bookmarkEnd w:id="26"/>
    <w:bookmarkEnd w:id="27"/>
    <w:bookmarkStart w:id="37" w:name="part-b-the-techniques"/>
    <w:p>
      <w:pPr>
        <w:pStyle w:val="Heading2"/>
      </w:pPr>
      <w:r>
        <w:t xml:space="preserve">Part B – The techniques</w:t>
      </w:r>
    </w:p>
    <w:bookmarkStart w:id="28" w:name="b0.-losses-and-the-tail"/>
    <w:p>
      <w:pPr>
        <w:pStyle w:val="Heading3"/>
      </w:pPr>
      <w:r>
        <w:t xml:space="preserve">B0. Losses and the tail</w:t>
      </w:r>
    </w:p>
    <w:p>
      <w:pPr>
        <w:pStyle w:val="FirstParagraph"/>
      </w:pPr>
      <w:r>
        <w:rPr>
          <w:bCs/>
          <w:b/>
        </w:rPr>
        <w:t xml:space="preserve">1. What is it?</w:t>
      </w:r>
      <w:r>
        <w:t xml:space="preserve"> </w:t>
      </w:r>
      <w:r>
        <w:t xml:space="preserve">The</w:t>
      </w:r>
      <w:r>
        <w:t xml:space="preserve"> </w:t>
      </w:r>
      <w:r>
        <w:rPr>
          <w:bCs/>
          <w:b/>
        </w:rPr>
        <w:t xml:space="preserve">loss</w:t>
      </w:r>
      <w:r>
        <w:t xml:space="preserve"> </w:t>
      </w:r>
      <w:r>
        <w:t xml:space="preserve">on day</w:t>
      </w:r>
      <w:r>
        <w:t xml:space="preserve"> </w:t>
      </w:r>
      <w:r>
        <w:rPr>
          <w:iCs/>
          <w:i/>
        </w:rPr>
        <w:t xml:space="preserve">t</w:t>
      </w:r>
      <w:r>
        <w:t xml:space="preserve"> </w:t>
      </w:r>
      <w:r>
        <w:t xml:space="preserve">and its distribution’s</w:t>
      </w:r>
      <w:r>
        <w:t xml:space="preserve"> </w:t>
      </w:r>
      <w:r>
        <w:rPr>
          <w:bCs/>
          <w:b/>
        </w:rPr>
        <w:t xml:space="preserve">tail</w:t>
      </w:r>
      <w:r>
        <w:t xml:space="preserve"> </w:t>
      </w:r>
      <w:r>
        <w:t xml:space="preserve">— the region of rare, large losses.</w:t>
      </w:r>
    </w:p>
    <w:p>
      <w:pPr>
        <w:pStyle w:val="BodyText"/>
      </w:pPr>
      <w:r>
        <w:rPr>
          <w:bCs/>
          <w:b/>
        </w:rPr>
        <w:t xml:space="preserve">2. Why?</w:t>
      </w:r>
      <w:r>
        <w:t xml:space="preserve"> </w:t>
      </w:r>
      <w:r>
        <w:t xml:space="preserve">Risk management cares about large losses, which are determined by the tail, not by the centre of the distribution where most data lie.</w:t>
      </w:r>
    </w:p>
    <w:p>
      <w:pPr>
        <w:pStyle w:val="BodyText"/>
      </w:pPr>
      <w:r>
        <w:rPr>
          <w:bCs/>
          <w:b/>
        </w:rPr>
        <w:t xml:space="preserve">3. Maths.</w:t>
      </w:r>
    </w:p>
    <w:p>
      <w:pPr>
        <w:pStyle w:val="BodyText"/>
      </w:pPr>
      <w:r>
        <w:rPr>
          <w:bCs/>
          <w:b/>
        </w:rPr>
        <w:t xml:space="preserve">Variables used in this section:</w:t>
      </w:r>
    </w:p>
    <w:p>
      <w:pPr>
        <w:numPr>
          <w:ilvl w:val="0"/>
          <w:numId w:val="1011"/>
        </w:numPr>
        <w:pStyle w:val="Compact"/>
      </w:pPr>
      <m:oMath>
        <m:sSub>
          <m:e>
            <m:r>
              <m:t>S</m:t>
            </m:r>
          </m:e>
          <m:sub>
            <m:r>
              <m:t>t</m:t>
            </m:r>
          </m:sub>
        </m:sSub>
      </m:oMath>
      <w:r>
        <w:t xml:space="preserve">: S&amp;P 500 close on day</w:t>
      </w:r>
      <w:r>
        <w:t xml:space="preserve"> </w:t>
      </w:r>
      <w:r>
        <w:rPr>
          <w:iCs/>
          <w:i/>
        </w:rPr>
        <w:t xml:space="preserve">t</w:t>
      </w:r>
      <w:r>
        <w:t xml:space="preserve">.</w:t>
      </w:r>
    </w:p>
    <w:p>
      <w:pPr>
        <w:numPr>
          <w:ilvl w:val="0"/>
          <w:numId w:val="1011"/>
        </w:numPr>
        <w:pStyle w:val="Compact"/>
      </w:pPr>
      <m:oMath>
        <m:sSub>
          <m:e>
            <m:r>
              <m:t>x</m:t>
            </m:r>
          </m:e>
          <m:sub>
            <m:r>
              <m:t>t</m:t>
            </m:r>
          </m:sub>
        </m:sSub>
      </m:oMath>
      <w:r>
        <w:t xml:space="preserve">: daily loss in %;</w:t>
      </w:r>
      <w:r>
        <w:t xml:space="preserve"> </w:t>
      </w:r>
      <m:oMath>
        <m:r>
          <m:t>F</m:t>
        </m:r>
      </m:oMath>
      <w:r>
        <w:t xml:space="preserve">: its distribution function,</w:t>
      </w:r>
      <w:r>
        <w:t xml:space="preserve"> </w:t>
      </w:r>
      <m:oMath>
        <m:r>
          <m:t>F</m:t>
        </m:r>
        <m:d>
          <m:dPr>
            <m:begChr m:val="("/>
            <m:sepChr m:val=""/>
            <m:endChr m:val=")"/>
            <m:grow/>
          </m:dPr>
          <m:e>
            <m:r>
              <m:t>x</m:t>
            </m:r>
          </m:e>
        </m:d>
        <m:r>
          <m:rPr>
            <m:sty m:val="p"/>
          </m:rPr>
          <m:t>=</m:t>
        </m:r>
        <m:r>
          <m:t>P</m:t>
        </m:r>
        <m:d>
          <m:dPr>
            <m:begChr m:val="("/>
            <m:sepChr m:val=""/>
            <m:endChr m:val=")"/>
            <m:grow/>
          </m:dPr>
          <m:e>
            <m:r>
              <m:t>X</m:t>
            </m:r>
            <m:r>
              <m:rPr>
                <m:sty m:val="p"/>
              </m:rPr>
              <m:t>≤</m:t>
            </m:r>
            <m:r>
              <m:t>x</m:t>
            </m:r>
          </m:e>
        </m:d>
      </m:oMath>
      <w:r>
        <w:t xml:space="preserve">.</w:t>
      </w:r>
    </w:p>
    <w:p>
      <w:pPr>
        <w:numPr>
          <w:ilvl w:val="0"/>
          <w:numId w:val="1011"/>
        </w:numPr>
        <w:pStyle w:val="Compact"/>
      </w:pPr>
      <m:oMath>
        <m:acc>
          <m:accPr>
            <m:chr m:val="‾"/>
          </m:accPr>
          <m:e>
            <m:r>
              <m:t>F</m:t>
            </m:r>
          </m:e>
        </m:acc>
        <m:d>
          <m:dPr>
            <m:begChr m:val="("/>
            <m:sepChr m:val=""/>
            <m:endChr m:val=")"/>
            <m:grow/>
          </m:dPr>
          <m:e>
            <m:r>
              <m:t>x</m:t>
            </m:r>
          </m:e>
        </m:d>
        <m:r>
          <m:rPr>
            <m:sty m:val="p"/>
          </m:rPr>
          <m:t>=</m:t>
        </m:r>
        <m:r>
          <m:t>1</m:t>
        </m:r>
        <m:r>
          <m:rPr>
            <m:sty m:val="p"/>
          </m:rPr>
          <m:t>−</m:t>
        </m:r>
        <m:r>
          <m:t>F</m:t>
        </m:r>
        <m:d>
          <m:dPr>
            <m:begChr m:val="("/>
            <m:sepChr m:val=""/>
            <m:endChr m:val=")"/>
            <m:grow/>
          </m:dPr>
          <m:e>
            <m:r>
              <m:t>x</m:t>
            </m:r>
          </m:e>
        </m:d>
      </m:oMath>
      <w:r>
        <w:t xml:space="preserve">: the</w:t>
      </w:r>
      <w:r>
        <w:t xml:space="preserve"> </w:t>
      </w:r>
      <w:r>
        <w:rPr>
          <w:bCs/>
          <w:b/>
        </w:rPr>
        <w:t xml:space="preserve">tail (survival) function</w:t>
      </w:r>
      <w:r>
        <w:t xml:space="preserve">, the probability of a loss larger than</w:t>
      </w:r>
      <w:r>
        <w:t xml:space="preserve"> </w:t>
      </w:r>
      <m:oMath>
        <m:r>
          <m:t>x</m:t>
        </m:r>
      </m:oMath>
      <w:r>
        <w:t xml:space="preserve">.</w:t>
      </w:r>
    </w:p>
    <w:p>
      <w:pPr>
        <w:numPr>
          <w:ilvl w:val="0"/>
          <w:numId w:val="1011"/>
        </w:numPr>
        <w:pStyle w:val="Compact"/>
      </w:pPr>
      <m:oMath>
        <m:r>
          <m:t>q</m:t>
        </m:r>
      </m:oMath>
      <w:r>
        <w:t xml:space="preserve">: confidence level (0.99, 0.999);</w:t>
      </w:r>
      <w:r>
        <w:t xml:space="preserve"> </w:t>
      </w:r>
      <m:oMath>
        <m:r>
          <m:t>p</m:t>
        </m:r>
        <m:r>
          <m:rPr>
            <m:sty m:val="p"/>
          </m:rPr>
          <m:t>=</m:t>
        </m:r>
        <m:r>
          <m:t>1</m:t>
        </m:r>
        <m:r>
          <m:rPr>
            <m:sty m:val="p"/>
          </m:rPr>
          <m:t>−</m:t>
        </m:r>
        <m:r>
          <m:t>q</m:t>
        </m:r>
      </m:oMath>
      <w:r>
        <w:t xml:space="preserve">: tail probability.</w:t>
      </w:r>
    </w:p>
    <w:p>
      <w:pPr>
        <w:pStyle w:val="FirstParagraph"/>
      </w:pPr>
      <w:r>
        <w:rPr>
          <w:bCs/>
          <w:b/>
        </w:rPr>
        <w:t xml:space="preserve">Equation 1 – Loss:</w:t>
      </w:r>
    </w:p>
    <w:p>
      <w:pPr>
        <w:pStyle w:val="BodyText"/>
      </w:pPr>
      <m:oMathPara>
        <m:oMathParaPr>
          <m:jc m:val="center"/>
        </m:oMathParaPr>
        <m:oMath>
          <m:sSub>
            <m:e>
              <m:r>
                <m:t>x</m:t>
              </m:r>
            </m:e>
            <m:sub>
              <m:r>
                <m:t>t</m:t>
              </m:r>
            </m:sub>
          </m:sSub>
          <m:r>
            <m:rPr>
              <m:sty m:val="p"/>
            </m:rPr>
            <m:t>=</m:t>
          </m:r>
          <m:r>
            <m:rPr>
              <m:sty m:val="p"/>
            </m:rPr>
            <m:t>−</m:t>
          </m:r>
          <m:r>
            <m:t>100</m:t>
          </m:r>
          <m:r>
            <m:t> </m:t>
          </m:r>
          <m:r>
            <m:rPr>
              <m:sty m:val="p"/>
            </m:rPr>
            <m:t>ln</m:t>
          </m:r>
          <m:d>
            <m:dPr>
              <m:begChr m:val="("/>
              <m:sepChr m:val=""/>
              <m:endChr m:val=")"/>
              <m:grow/>
            </m:dPr>
            <m:e>
              <m:f>
                <m:fPr>
                  <m:type m:val="bar"/>
                </m:fPr>
                <m:num>
                  <m:sSub>
                    <m:e>
                      <m:r>
                        <m:t>S</m:t>
                      </m:r>
                    </m:e>
                    <m:sub>
                      <m:r>
                        <m:t>t</m:t>
                      </m:r>
                    </m:sub>
                  </m:sSub>
                </m:num>
                <m:den>
                  <m:sSub>
                    <m:e>
                      <m:r>
                        <m:t>S</m:t>
                      </m:r>
                    </m:e>
                    <m:sub>
                      <m:r>
                        <m:t>t</m:t>
                      </m:r>
                      <m:r>
                        <m:rPr>
                          <m:sty m:val="p"/>
                        </m:rPr>
                        <m:t>−</m:t>
                      </m:r>
                      <m:r>
                        <m:t>1</m:t>
                      </m:r>
                    </m:sub>
                  </m:sSub>
                </m:den>
              </m:f>
            </m:e>
          </m:d>
          <m:r>
            <m:rPr>
              <m:sty m:val="p"/>
            </m:rPr>
            <m:t>.</m:t>
          </m:r>
        </m:oMath>
      </m:oMathPara>
    </w:p>
    <w:p>
      <w:pPr>
        <w:pStyle w:val="FirstParagraph"/>
      </w:pPr>
      <w:r>
        <w:rPr>
          <w:iCs/>
          <w:i/>
        </w:rPr>
        <w:t xml:space="preserve">Definition:</w:t>
      </w:r>
      <w:r>
        <w:t xml:space="preserve"> </w:t>
      </w:r>
      <w:r>
        <w:t xml:space="preserve">the daily log loss in %; positive when the index falls.</w:t>
      </w:r>
    </w:p>
    <w:p>
      <w:pPr>
        <w:pStyle w:val="BodyText"/>
      </w:pPr>
      <w:r>
        <w:rPr>
          <w:bCs/>
          <w:b/>
        </w:rPr>
        <w:t xml:space="preserve">Equation 2 – VaR and ES:</w:t>
      </w:r>
    </w:p>
    <w:p>
      <w:pPr>
        <w:pStyle w:val="BodyText"/>
      </w:pPr>
      <m:oMathPara>
        <m:oMathParaPr>
          <m:jc m:val="center"/>
        </m:oMathParaPr>
        <m:oMath>
          <m:sSub>
            <m:e>
              <m:r>
                <m:rPr>
                  <m:nor/>
                </m:rPr>
                <m:t>VaR</m:t>
              </m:r>
            </m:e>
            <m:sub>
              <m:r>
                <m:t>q</m:t>
              </m:r>
            </m:sub>
          </m:sSub>
          <m:r>
            <m:rPr>
              <m:sty m:val="p"/>
            </m:rPr>
            <m:t>=</m:t>
          </m:r>
          <m:sSup>
            <m:e>
              <m:r>
                <m:t>F</m:t>
              </m:r>
            </m:e>
            <m:sup>
              <m:r>
                <m:rPr>
                  <m:sty m:val="p"/>
                </m:rPr>
                <m:t>−</m:t>
              </m:r>
              <m:r>
                <m:t>1</m:t>
              </m:r>
            </m:sup>
          </m:sSup>
          <m:d>
            <m:dPr>
              <m:begChr m:val="("/>
              <m:sepChr m:val=""/>
              <m:endChr m:val=")"/>
              <m:grow/>
            </m:dPr>
            <m:e>
              <m:r>
                <m:t>q</m:t>
              </m:r>
            </m:e>
          </m:d>
          <m:r>
            <m:rPr>
              <m:sty m:val="p"/>
            </m:rPr>
            <m:t>,</m:t>
          </m:r>
          <m:r>
            <m:t>  </m:t>
          </m:r>
          <m:sSub>
            <m:e>
              <m:r>
                <m:rPr>
                  <m:nor/>
                </m:rPr>
                <m:t>ES</m:t>
              </m:r>
            </m:e>
            <m:sub>
              <m:r>
                <m:t>q</m:t>
              </m:r>
            </m:sub>
          </m:sSub>
          <m:r>
            <m:rPr>
              <m:sty m:val="p"/>
            </m:rPr>
            <m:t>=</m:t>
          </m:r>
          <m:r>
            <m:t>E</m:t>
          </m:r>
          <m:d>
            <m:dPr>
              <m:begChr m:val="["/>
              <m:sepChr m:val=""/>
              <m:endChr m:val="]"/>
              <m:grow/>
            </m:dPr>
            <m:e>
              <m:r>
                <m:t>X</m:t>
              </m:r>
              <m:r>
                <m:rPr>
                  <m:sty m:val="p"/>
                </m:rPr>
                <m:t>∣</m:t>
              </m:r>
              <m:r>
                <m:t>X</m:t>
              </m:r>
              <m:r>
                <m:rPr>
                  <m:sty m:val="p"/>
                </m:rPr>
                <m:t>&gt;</m:t>
              </m:r>
              <m:sSub>
                <m:e>
                  <m:r>
                    <m:rPr>
                      <m:nor/>
                    </m:rPr>
                    <m:t>VaR</m:t>
                  </m:r>
                </m:e>
                <m:sub>
                  <m:r>
                    <m:t>q</m:t>
                  </m:r>
                </m:sub>
              </m:sSub>
            </m:e>
          </m:d>
          <m:r>
            <m:rPr>
              <m:sty m:val="p"/>
            </m:rPr>
            <m:t>.</m:t>
          </m:r>
        </m:oMath>
      </m:oMathPara>
    </w:p>
    <w:p>
      <w:pPr>
        <w:pStyle w:val="FirstParagraph"/>
      </w:pPr>
      <w:r>
        <w:rPr>
          <w:iCs/>
          <w:i/>
        </w:rPr>
        <w:t xml:space="preserve">Definition:</w:t>
      </w:r>
      <w:r>
        <w:t xml:space="preserve"> </w:t>
      </w:r>
      <w:r>
        <w:t xml:space="preserve">VaR is the loss exceeded with probability</w:t>
      </w:r>
      <w:r>
        <w:t xml:space="preserve"> </w:t>
      </w:r>
      <m:oMath>
        <m:r>
          <m:t>p</m:t>
        </m:r>
        <m:r>
          <m:rPr>
            <m:sty m:val="p"/>
          </m:rPr>
          <m:t>=</m:t>
        </m:r>
        <m:r>
          <m:t>1</m:t>
        </m:r>
        <m:r>
          <m:rPr>
            <m:sty m:val="p"/>
          </m:rPr>
          <m:t>−</m:t>
        </m:r>
        <m:r>
          <m:t>q</m:t>
        </m:r>
      </m:oMath>
      <w:r>
        <w:t xml:space="preserve">; ES is the average loss when VaR is exceeded.</w:t>
      </w:r>
    </w:p>
    <w:p>
      <w:pPr>
        <w:pStyle w:val="BodyText"/>
      </w:pPr>
      <w:r>
        <w:rPr>
          <w:bCs/>
          <w:b/>
        </w:rPr>
        <w:t xml:space="preserve">Equation 3 – From log loss to % loss of value:</w:t>
      </w:r>
    </w:p>
    <w:p>
      <w:pPr>
        <w:pStyle w:val="BodyText"/>
      </w:pPr>
      <m:oMathPara>
        <m:oMathParaPr>
          <m:jc m:val="center"/>
        </m:oMathParaPr>
        <m:oMath>
          <m:r>
            <m:rPr>
              <m:nor/>
            </m:rPr>
            <m:t>loss of value (%)</m:t>
          </m:r>
          <m:r>
            <m:rPr>
              <m:sty m:val="p"/>
            </m:rPr>
            <m:t>=</m:t>
          </m:r>
          <m:r>
            <m:t>100</m:t>
          </m:r>
          <m:d>
            <m:dPr>
              <m:begChr m:val="("/>
              <m:sepChr m:val=""/>
              <m:endChr m:val=")"/>
              <m:grow/>
            </m:dPr>
            <m:e>
              <m:r>
                <m:t>1</m:t>
              </m:r>
              <m:r>
                <m:rPr>
                  <m:sty m:val="p"/>
                </m:rPr>
                <m:t>−</m:t>
              </m:r>
              <m:sSup>
                <m:e>
                  <m:r>
                    <m:t>e</m:t>
                  </m:r>
                </m:e>
                <m:sup>
                  <m:r>
                    <m:rPr>
                      <m:sty m:val="p"/>
                    </m:rPr>
                    <m:t>−</m:t>
                  </m:r>
                  <m:r>
                    <m:rPr>
                      <m:nor/>
                    </m:rPr>
                    <m:t>VaR</m:t>
                  </m:r>
                  <m:r>
                    <m:rPr>
                      <m:sty m:val="p"/>
                    </m:rPr>
                    <m:t>/</m:t>
                  </m:r>
                  <m:r>
                    <m:t>100</m:t>
                  </m:r>
                </m:sup>
              </m:sSup>
            </m:e>
          </m:d>
          <m:r>
            <m:rPr>
              <m:sty m:val="p"/>
            </m:rPr>
            <m:t>.</m:t>
          </m:r>
        </m:oMath>
      </m:oMathPara>
    </w:p>
    <w:p>
      <w:pPr>
        <w:pStyle w:val="FirstParagraph"/>
      </w:pPr>
      <w:r>
        <w:rPr>
          <w:iCs/>
          <w:i/>
        </w:rPr>
        <w:t xml:space="preserve">Definition:</w:t>
      </w:r>
      <w:r>
        <w:t xml:space="preserve"> </w:t>
      </w:r>
      <w:r>
        <w:t xml:space="preserve">converts a log-loss VaR into the % of the portfolio lost; for small numbers the two are almost equal (a 5% log loss = 4.88% of value).</w:t>
      </w:r>
    </w:p>
    <w:p>
      <w:pPr>
        <w:pStyle w:val="BodyText"/>
      </w:pPr>
      <w:r>
        <w:rPr>
          <w:bCs/>
          <w:b/>
        </w:rPr>
        <w:t xml:space="preserve">4. Valid when.</w:t>
      </w:r>
      <w:r>
        <w:t xml:space="preserve"> </w:t>
      </w:r>
      <w:r>
        <w:t xml:space="preserve">Always (definitions).</w:t>
      </w:r>
    </w:p>
    <w:p>
      <w:pPr>
        <w:pStyle w:val="BodyText"/>
      </w:pPr>
      <w:r>
        <w:rPr>
          <w:bCs/>
          <w:b/>
        </w:rPr>
        <w:t xml:space="preserve">5. Limitations.</w:t>
      </w:r>
      <w:r>
        <w:t xml:space="preserve"> </w:t>
      </w:r>
      <w:r>
        <w:t xml:space="preserve">At</w:t>
      </w:r>
      <w:r>
        <w:t xml:space="preserve"> </w:t>
      </w:r>
      <m:oMath>
        <m:r>
          <m:t>q</m:t>
        </m:r>
        <m:r>
          <m:rPr>
            <m:sty m:val="p"/>
          </m:rPr>
          <m:t>=</m:t>
        </m:r>
        <m:r>
          <m:t>0.999</m:t>
        </m:r>
      </m:oMath>
      <w:r>
        <w:t xml:space="preserve">, a sample of 1,000 days has</w:t>
      </w:r>
      <w:r>
        <w:t xml:space="preserve"> </w:t>
      </w:r>
      <w:r>
        <w:rPr>
          <w:bCs/>
          <w:b/>
        </w:rPr>
        <w:t xml:space="preserve">one</w:t>
      </w:r>
      <w:r>
        <w:t xml:space="preserve"> </w:t>
      </w:r>
      <w:r>
        <w:t xml:space="preserve">observation beyond VaR on average: the empirical quantile is just the largest or second-largest loss, extremely noisy. This is the problem EVT solves.</w:t>
      </w:r>
    </w:p>
    <w:p>
      <w:pPr>
        <w:pStyle w:val="BodyText"/>
      </w:pPr>
      <w:r>
        <w:rPr>
          <w:bCs/>
          <w:b/>
        </w:rPr>
        <w:t xml:space="preserve">6. Implement, validate.</w:t>
      </w:r>
      <w:r>
        <w:t xml:space="preserve"> </w:t>
      </w:r>
      <w:r>
        <w:rPr>
          <w:rStyle w:val="VerbatimChar"/>
        </w:rPr>
        <w:t xml:space="preserve">losses(S)</w:t>
      </w:r>
      <w:r>
        <w:t xml:space="preserve">; check against known days: 19 October 1987 (−20.47% simple, 22.9% log loss), 16 March 2020 (−11.98%), and the late-October 1929 crash days.</w:t>
      </w:r>
    </w:p>
    <w:p>
      <w:pPr>
        <w:pStyle w:val="BodyText"/>
      </w:pPr>
      <w:r>
        <w:rPr>
          <w:bCs/>
          <w:b/>
        </w:rPr>
        <w:t xml:space="preserve">Example.</w:t>
      </w:r>
      <w:r>
        <w:t xml:space="preserve"> </w:t>
      </w:r>
      <w:r>
        <w:t xml:space="preserve">A USD 10m S&amp;P 500 position with a 99.9% VaR of 6.6% (log) loses more than 100 × (1 − e^(−0.066)) = 6.4% of its value, i.e. </w:t>
      </w:r>
      <w:r>
        <w:rPr>
          <w:bCs/>
          <w:b/>
        </w:rPr>
        <w:t xml:space="preserve">USD 640k</w:t>
      </w:r>
      <w:r>
        <w:t xml:space="preserve">, on about 1 day in 1,000.</w:t>
      </w:r>
    </w:p>
    <w:p>
      <w:r>
        <w:pict>
          <v:rect style="width:0;height:1.5pt" o:hralign="center" o:hrstd="t" o:hr="t"/>
        </w:pict>
      </w:r>
    </w:p>
    <w:bookmarkEnd w:id="28"/>
    <w:bookmarkStart w:id="29" w:name="X19b49b6bb7b773bce44f996d1d5a2dece56cee8"/>
    <w:p>
      <w:pPr>
        <w:pStyle w:val="Heading3"/>
      </w:pPr>
      <w:r>
        <w:t xml:space="preserve">B1. Extreme value theory: the three tail types</w:t>
      </w:r>
    </w:p>
    <w:p>
      <w:pPr>
        <w:pStyle w:val="FirstParagraph"/>
      </w:pPr>
      <w:r>
        <w:rPr>
          <w:bCs/>
          <w:b/>
        </w:rPr>
        <w:t xml:space="preserve">1. What is it?</w:t>
      </w:r>
      <w:r>
        <w:t xml:space="preserve"> </w:t>
      </w:r>
      <w:r>
        <w:t xml:space="preserve">The theory of the distribution of the</w:t>
      </w:r>
      <w:r>
        <w:t xml:space="preserve"> </w:t>
      </w:r>
      <w:r>
        <w:rPr>
          <w:bCs/>
          <w:b/>
        </w:rPr>
        <w:t xml:space="preserve">largest values</w:t>
      </w:r>
      <w:r>
        <w:t xml:space="preserve"> </w:t>
      </w:r>
      <w:r>
        <w:t xml:space="preserve">of a sample. Its main theorem (Fisher–Tippett–Gnedenko) says that, after rescaling, the maximum of many independent losses can only follow</w:t>
      </w:r>
      <w:r>
        <w:t xml:space="preserve"> </w:t>
      </w:r>
      <w:r>
        <w:rPr>
          <w:bCs/>
          <w:b/>
        </w:rPr>
        <w:t xml:space="preserve">one family</w:t>
      </w:r>
      <w:r>
        <w:t xml:space="preserve"> </w:t>
      </w:r>
      <w:r>
        <w:t xml:space="preserve">of distributions, the</w:t>
      </w:r>
      <w:r>
        <w:t xml:space="preserve"> </w:t>
      </w:r>
      <w:r>
        <w:rPr>
          <w:bCs/>
          <w:b/>
        </w:rPr>
        <w:t xml:space="preserve">Generalized Extreme Value (GEV)</w:t>
      </w:r>
      <w:r>
        <w:t xml:space="preserve"> </w:t>
      </w:r>
      <w:r>
        <w:t xml:space="preserve">distribution.</w:t>
      </w:r>
    </w:p>
    <w:p>
      <w:pPr>
        <w:pStyle w:val="BodyText"/>
      </w:pPr>
      <w:r>
        <w:rPr>
          <w:bCs/>
          <w:b/>
        </w:rPr>
        <w:t xml:space="preserve">2. Why was it developed?</w:t>
      </w:r>
      <w:r>
        <w:t xml:space="preserve"> </w:t>
      </w:r>
      <w:r>
        <w:t xml:space="preserve">For engineering (the highest flood a dyke must resist — Gumbel, 1958), insurance and hydrology: to estimate events</w:t>
      </w:r>
      <w:r>
        <w:t xml:space="preserve"> </w:t>
      </w:r>
      <w:r>
        <w:rPr>
          <w:bCs/>
          <w:b/>
        </w:rPr>
        <w:t xml:space="preserve">larger than any in the sample</w:t>
      </w:r>
      <w:r>
        <w:t xml:space="preserve">. Finance adopted it in the 1990s (Embrechts, Klüppelberg and Mikosch, 1997; Daníelsson and de Vries, 1997; McNeil and Frey, 2000).</w:t>
      </w:r>
    </w:p>
    <w:p>
      <w:pPr>
        <w:pStyle w:val="BodyText"/>
      </w:pPr>
      <w:r>
        <w:rPr>
          <w:bCs/>
          <w:b/>
        </w:rPr>
        <w:t xml:space="preserve">3. Maths.</w:t>
      </w:r>
    </w:p>
    <w:p>
      <w:pPr>
        <w:pStyle w:val="BodyText"/>
      </w:pPr>
      <w:r>
        <w:rPr>
          <w:bCs/>
          <w:b/>
        </w:rPr>
        <w:t xml:space="preserve">Variables:</w:t>
      </w:r>
    </w:p>
    <w:p>
      <w:pPr>
        <w:numPr>
          <w:ilvl w:val="0"/>
          <w:numId w:val="1012"/>
        </w:numPr>
        <w:pStyle w:val="Compact"/>
      </w:pPr>
      <m:oMath>
        <m:sSub>
          <m:e>
            <m:r>
              <m:t>M</m:t>
            </m:r>
          </m:e>
          <m:sub>
            <m:r>
              <m:t>n</m:t>
            </m:r>
          </m:sub>
        </m:sSub>
        <m:r>
          <m:rPr>
            <m:sty m:val="p"/>
          </m:rPr>
          <m:t>=</m:t>
        </m:r>
        <m:r>
          <m:rPr>
            <m:sty m:val="p"/>
          </m:rPr>
          <m:t>max</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the largest loss in a block of</w:t>
      </w:r>
      <w:r>
        <w:t xml:space="preserve"> </w:t>
      </w:r>
      <m:oMath>
        <m:r>
          <m:t>n</m:t>
        </m:r>
      </m:oMath>
      <w:r>
        <w:t xml:space="preserve"> </w:t>
      </w:r>
      <w:r>
        <w:t xml:space="preserve">days.</w:t>
      </w:r>
    </w:p>
    <w:p>
      <w:pPr>
        <w:numPr>
          <w:ilvl w:val="0"/>
          <w:numId w:val="1012"/>
        </w:numPr>
        <w:pStyle w:val="Compact"/>
      </w:pPr>
      <m:oMath>
        <m:sSub>
          <m:e>
            <m:r>
              <m:t>a</m:t>
            </m:r>
          </m:e>
          <m:sub>
            <m:r>
              <m:t>n</m:t>
            </m:r>
          </m:sub>
        </m:sSub>
        <m:r>
          <m:rPr>
            <m:sty m:val="p"/>
          </m:rPr>
          <m:t>&gt;</m:t>
        </m:r>
        <m:r>
          <m:t>0</m:t>
        </m:r>
      </m:oMath>
      <w:r>
        <w:t xml:space="preserve">,</w:t>
      </w:r>
      <w:r>
        <w:t xml:space="preserve"> </w:t>
      </w:r>
      <m:oMath>
        <m:sSub>
          <m:e>
            <m:r>
              <m:t>b</m:t>
            </m:r>
          </m:e>
          <m:sub>
            <m:r>
              <m:t>n</m:t>
            </m:r>
          </m:sub>
        </m:sSub>
      </m:oMath>
      <w:r>
        <w:t xml:space="preserve">: rescaling constants.</w:t>
      </w:r>
    </w:p>
    <w:p>
      <w:pPr>
        <w:numPr>
          <w:ilvl w:val="0"/>
          <w:numId w:val="1012"/>
        </w:numPr>
        <w:pStyle w:val="Compact"/>
      </w:pPr>
      <m:oMath>
        <m:r>
          <m:t>ξ</m:t>
        </m:r>
      </m:oMath>
      <w:r>
        <w:t xml:space="preserve">:</w:t>
      </w:r>
      <w:r>
        <w:t xml:space="preserve"> </w:t>
      </w:r>
      <w:r>
        <w:rPr>
          <w:bCs/>
          <w:b/>
        </w:rPr>
        <w:t xml:space="preserve">shape parameter</w:t>
      </w:r>
      <w:r>
        <w:t xml:space="preserve"> </w:t>
      </w:r>
      <w:r>
        <w:t xml:space="preserve">(tail index of the theory);</w:t>
      </w:r>
      <w:r>
        <w:t xml:space="preserve"> </w:t>
      </w:r>
      <m:oMath>
        <m:r>
          <m:t>α</m:t>
        </m:r>
        <m:r>
          <m:rPr>
            <m:sty m:val="p"/>
          </m:rPr>
          <m:t>=</m:t>
        </m:r>
        <m:r>
          <m:t>1</m:t>
        </m:r>
        <m:r>
          <m:rPr>
            <m:sty m:val="p"/>
          </m:rPr>
          <m:t>/</m:t>
        </m:r>
        <m:r>
          <m:t>ξ</m:t>
        </m:r>
      </m:oMath>
      <w:r>
        <w:t xml:space="preserve">:</w:t>
      </w:r>
      <w:r>
        <w:t xml:space="preserve"> </w:t>
      </w:r>
      <w:r>
        <w:rPr>
          <w:bCs/>
          <w:b/>
        </w:rPr>
        <w:t xml:space="preserve">tail index</w:t>
      </w:r>
      <w:r>
        <w:t xml:space="preserve"> </w:t>
      </w:r>
      <w:r>
        <w:t xml:space="preserve">(the power of the tail).</w:t>
      </w:r>
    </w:p>
    <w:p>
      <w:pPr>
        <w:pStyle w:val="FirstParagraph"/>
      </w:pPr>
      <w:r>
        <w:rPr>
          <w:bCs/>
          <w:b/>
        </w:rPr>
        <w:t xml:space="preserve">Equation 4 – GEV distribution (Fisher–Tippett–Gnedenko):</w:t>
      </w:r>
    </w:p>
    <w:p>
      <w:pPr>
        <w:pStyle w:val="BodyText"/>
      </w:pPr>
      <m:oMathPara>
        <m:oMathParaPr>
          <m:jc m:val="center"/>
        </m:oMathParaPr>
        <m:oMath>
          <m:r>
            <m:t>P</m:t>
          </m:r>
          <m:d>
            <m:dPr>
              <m:begChr m:val="("/>
              <m:sepChr m:val=""/>
              <m:endChr m:val=")"/>
              <m:grow/>
            </m:dPr>
            <m:e>
              <m:f>
                <m:fPr>
                  <m:type m:val="bar"/>
                </m:fPr>
                <m:num>
                  <m:sSub>
                    <m:e>
                      <m:r>
                        <m:t>M</m:t>
                      </m:r>
                    </m:e>
                    <m:sub>
                      <m:r>
                        <m:t>n</m:t>
                      </m:r>
                    </m:sub>
                  </m:sSub>
                  <m:r>
                    <m:rPr>
                      <m:sty m:val="p"/>
                    </m:rPr>
                    <m:t>−</m:t>
                  </m:r>
                  <m:sSub>
                    <m:e>
                      <m:r>
                        <m:t>b</m:t>
                      </m:r>
                    </m:e>
                    <m:sub>
                      <m:r>
                        <m:t>n</m:t>
                      </m:r>
                    </m:sub>
                  </m:sSub>
                </m:num>
                <m:den>
                  <m:sSub>
                    <m:e>
                      <m:r>
                        <m:t>a</m:t>
                      </m:r>
                    </m:e>
                    <m:sub>
                      <m:r>
                        <m:t>n</m:t>
                      </m:r>
                    </m:sub>
                  </m:sSub>
                </m:den>
              </m:f>
              <m:r>
                <m:rPr>
                  <m:sty m:val="p"/>
                </m:rPr>
                <m:t>≤</m:t>
              </m:r>
              <m:r>
                <m:t>x</m:t>
              </m:r>
            </m:e>
          </m:d>
          <m:limLow>
            <m:e>
              <m:limUpp>
                <m:e>
                  <m:r>
                    <m:rPr>
                      <m:sty m:val="p"/>
                    </m:rPr>
                    <m:t>→</m:t>
                  </m:r>
                </m:e>
                <m:lim>
                  <m:r>
                    <m:t>​</m:t>
                  </m:r>
                </m:lim>
              </m:limUpp>
            </m:e>
            <m:lim>
              <m:r>
                <m:t>n</m:t>
              </m:r>
              <m:r>
                <m:rPr>
                  <m:sty m:val="p"/>
                </m:rPr>
                <m:t>→</m:t>
              </m:r>
              <m:r>
                <m:rPr>
                  <m:sty m:val="p"/>
                </m:rPr>
                <m:t>∞</m:t>
              </m:r>
            </m:lim>
          </m:limLow>
          <m:sSub>
            <m:e>
              <m:r>
                <m:t>H</m:t>
              </m:r>
            </m:e>
            <m:sub>
              <m:r>
                <m:t>ξ</m:t>
              </m:r>
            </m:sub>
          </m:sSub>
          <m:d>
            <m:dPr>
              <m:begChr m:val="("/>
              <m:sepChr m:val=""/>
              <m:endChr m:val=")"/>
              <m:grow/>
            </m:dPr>
            <m:e>
              <m:r>
                <m:t>x</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r>
                        <m:t>x</m:t>
                      </m:r>
                    </m:e>
                  </m:d>
                </m:e>
                <m:sup>
                  <m:r>
                    <m:rPr>
                      <m:sty m:val="p"/>
                    </m:rPr>
                    <m:t>−</m:t>
                  </m:r>
                  <m:r>
                    <m:t>1</m:t>
                  </m:r>
                  <m:r>
                    <m:rPr>
                      <m:sty m:val="p"/>
                    </m:rPr>
                    <m:t>/</m:t>
                  </m:r>
                  <m:r>
                    <m:t>ξ</m:t>
                  </m:r>
                </m:sup>
              </m:sSup>
            </m:e>
          </m:d>
          <m:r>
            <m:rPr>
              <m:sty m:val="p"/>
            </m:rPr>
            <m:t>,</m:t>
          </m:r>
          <m:r>
            <m:t> </m:t>
          </m:r>
          <m:r>
            <m:t>1</m:t>
          </m:r>
          <m:r>
            <m:rPr>
              <m:sty m:val="p"/>
            </m:rPr>
            <m:t>+</m:t>
          </m:r>
          <m:r>
            <m:t>ξ</m:t>
          </m:r>
          <m:r>
            <m:t>x</m:t>
          </m:r>
          <m:r>
            <m:rPr>
              <m:sty m:val="p"/>
            </m:rPr>
            <m:t>&gt;</m:t>
          </m:r>
          <m:r>
            <m:t>0</m:t>
          </m:r>
          <m:r>
            <m:rPr>
              <m:sty m:val="p"/>
            </m:rPr>
            <m:t>.</m:t>
          </m:r>
        </m:oMath>
      </m:oMathPara>
    </w:p>
    <w:p>
      <w:pPr>
        <w:pStyle w:val="FirstParagraph"/>
      </w:pPr>
      <w:r>
        <w:rPr>
          <w:iCs/>
          <w:i/>
        </w:rPr>
        <w:t xml:space="preserve">Definition:</w:t>
      </w:r>
      <w:r>
        <w:t xml:space="preserve"> </w:t>
      </w:r>
      <w:r>
        <w:t xml:space="preserve">the only possible limit of rescaled maxima. Three cases:</w:t>
      </w:r>
    </w:p>
    <w:p>
      <w:pPr>
        <w:numPr>
          <w:ilvl w:val="0"/>
          <w:numId w:val="1013"/>
        </w:numPr>
        <w:pStyle w:val="Compact"/>
      </w:pPr>
      <m:oMath>
        <m:r>
          <m:t>ξ</m:t>
        </m:r>
        <m:r>
          <m:rPr>
            <m:sty m:val="p"/>
          </m:rPr>
          <m:t>&gt;</m:t>
        </m:r>
        <m:r>
          <m:t>0</m:t>
        </m:r>
      </m:oMath>
      <w:r>
        <w:t xml:space="preserve"> </w:t>
      </w:r>
      <w:r>
        <w:t xml:space="preserve">—</w:t>
      </w:r>
      <w:r>
        <w:t xml:space="preserve"> </w:t>
      </w:r>
      <w:r>
        <w:rPr>
          <w:bCs/>
          <w:b/>
        </w:rPr>
        <w:t xml:space="preserve">Fréchet</w:t>
      </w:r>
      <w:r>
        <w:t xml:space="preserve"> </w:t>
      </w:r>
      <w:r>
        <w:t xml:space="preserve">type:</w:t>
      </w:r>
      <w:r>
        <w:t xml:space="preserve"> </w:t>
      </w:r>
      <w:r>
        <w:rPr>
          <w:bCs/>
          <w:b/>
        </w:rPr>
        <w:t xml:space="preserve">fat (power-law) tails</w:t>
      </w:r>
      <w:r>
        <w:t xml:space="preserve">: Student-t, Pareto, and financial returns.</w:t>
      </w:r>
    </w:p>
    <w:p>
      <w:pPr>
        <w:numPr>
          <w:ilvl w:val="0"/>
          <w:numId w:val="1013"/>
        </w:numPr>
        <w:pStyle w:val="Compact"/>
      </w:pPr>
      <m:oMath>
        <m:r>
          <m:t>ξ</m:t>
        </m:r>
        <m:r>
          <m:rPr>
            <m:sty m:val="p"/>
          </m:rPr>
          <m:t>=</m:t>
        </m:r>
        <m:r>
          <m:t>0</m:t>
        </m:r>
      </m:oMath>
      <w:r>
        <w:t xml:space="preserve"> </w:t>
      </w:r>
      <w:r>
        <w:t xml:space="preserve">—</w:t>
      </w:r>
      <w:r>
        <w:t xml:space="preserve"> </w:t>
      </w:r>
      <w:r>
        <w:rPr>
          <w:bCs/>
          <w:b/>
        </w:rPr>
        <w:t xml:space="preserve">Gumbel</w:t>
      </w:r>
      <w:r>
        <w:t xml:space="preserve"> </w:t>
      </w:r>
      <w:r>
        <w:t xml:space="preserve">type (the limit</w:t>
      </w:r>
      <w:r>
        <w:t xml:space="preserve"> </w:t>
      </w:r>
      <m:oMath>
        <m:r>
          <m:rPr>
            <m:sty m:val="p"/>
          </m:rPr>
          <m:t>exp</m:t>
        </m:r>
        <m:d>
          <m:dPr>
            <m:begChr m:val="("/>
            <m:sepChr m:val=""/>
            <m:endChr m:val=")"/>
            <m:grow/>
          </m:dPr>
          <m:e>
            <m:r>
              <m:rPr>
                <m:sty m:val="p"/>
              </m:rPr>
              <m:t>−</m:t>
            </m:r>
            <m:sSup>
              <m:e>
                <m:r>
                  <m:t>e</m:t>
                </m:r>
              </m:e>
              <m:sup>
                <m:r>
                  <m:rPr>
                    <m:sty m:val="p"/>
                  </m:rPr>
                  <m:t>−</m:t>
                </m:r>
                <m:r>
                  <m:t>x</m:t>
                </m:r>
              </m:sup>
            </m:sSup>
          </m:e>
        </m:d>
      </m:oMath>
      <w:r>
        <w:t xml:space="preserve">):</w:t>
      </w:r>
      <w:r>
        <w:t xml:space="preserve"> </w:t>
      </w:r>
      <w:r>
        <w:rPr>
          <w:bCs/>
          <w:b/>
        </w:rPr>
        <w:t xml:space="preserve">thin tails</w:t>
      </w:r>
      <w:r>
        <w:t xml:space="preserve"> </w:t>
      </w:r>
      <w:r>
        <w:t xml:space="preserve">that decay exponentially: normal, log-normal.</w:t>
      </w:r>
    </w:p>
    <w:p>
      <w:pPr>
        <w:numPr>
          <w:ilvl w:val="0"/>
          <w:numId w:val="1013"/>
        </w:numPr>
        <w:pStyle w:val="Compact"/>
      </w:pPr>
      <m:oMath>
        <m:r>
          <m:t>ξ</m:t>
        </m:r>
        <m:r>
          <m:rPr>
            <m:sty m:val="p"/>
          </m:rPr>
          <m:t>&lt;</m:t>
        </m:r>
        <m:r>
          <m:t>0</m:t>
        </m:r>
      </m:oMath>
      <w:r>
        <w:t xml:space="preserve"> </w:t>
      </w:r>
      <w:r>
        <w:t xml:space="preserve">—</w:t>
      </w:r>
      <w:r>
        <w:t xml:space="preserve"> </w:t>
      </w:r>
      <w:r>
        <w:rPr>
          <w:bCs/>
          <w:b/>
        </w:rPr>
        <w:t xml:space="preserve">Weibull</w:t>
      </w:r>
      <w:r>
        <w:t xml:space="preserve"> </w:t>
      </w:r>
      <w:r>
        <w:t xml:space="preserve">type: a</w:t>
      </w:r>
      <w:r>
        <w:t xml:space="preserve"> </w:t>
      </w:r>
      <w:r>
        <w:rPr>
          <w:bCs/>
          <w:b/>
        </w:rPr>
        <w:t xml:space="preserve">finite</w:t>
      </w:r>
      <w:r>
        <w:t xml:space="preserve"> </w:t>
      </w:r>
      <w:r>
        <w:t xml:space="preserve">maximum (uniform, beta).</w:t>
      </w:r>
    </w:p>
    <w:p>
      <w:pPr>
        <w:pStyle w:val="FirstParagraph"/>
      </w:pPr>
      <w:r>
        <w:rPr>
          <w:bCs/>
          <w:b/>
        </w:rPr>
        <w:t xml:space="preserve">Equation 5 – Power-law tail:</w:t>
      </w:r>
    </w:p>
    <w:p>
      <w:pPr>
        <w:pStyle w:val="BodyText"/>
      </w:pPr>
      <m:oMathPara>
        <m:oMathParaPr>
          <m:jc m:val="center"/>
        </m:oMathParaPr>
        <m:oMath>
          <m:acc>
            <m:accPr>
              <m:chr m:val="‾"/>
            </m:accPr>
            <m:e>
              <m:r>
                <m:t>F</m:t>
              </m:r>
            </m:e>
          </m:acc>
          <m:d>
            <m:dPr>
              <m:begChr m:val="("/>
              <m:sepChr m:val=""/>
              <m:endChr m:val=")"/>
              <m:grow/>
            </m:dPr>
            <m:e>
              <m:r>
                <m:t>x</m:t>
              </m:r>
            </m:e>
          </m:d>
          <m:r>
            <m:rPr>
              <m:sty m:val="p"/>
            </m:rPr>
            <m:t>=</m:t>
          </m:r>
          <m:r>
            <m:t>P</m:t>
          </m:r>
          <m:d>
            <m:dPr>
              <m:begChr m:val="("/>
              <m:sepChr m:val=""/>
              <m:endChr m:val=")"/>
              <m:grow/>
            </m:dPr>
            <m:e>
              <m:r>
                <m:t>X</m:t>
              </m:r>
              <m:r>
                <m:rPr>
                  <m:sty m:val="p"/>
                </m:rPr>
                <m:t>&gt;</m:t>
              </m:r>
              <m:r>
                <m:t>x</m:t>
              </m:r>
            </m:e>
          </m:d>
          <m:r>
            <m:rPr>
              <m:sty m:val="p"/>
            </m:rPr>
            <m:t>≈</m:t>
          </m:r>
          <m:r>
            <m:t>C</m:t>
          </m:r>
          <m:r>
            <m:t> </m:t>
          </m:r>
          <m:sSup>
            <m:e>
              <m:r>
                <m:t>x</m:t>
              </m:r>
            </m:e>
            <m:sup>
              <m:r>
                <m:rPr>
                  <m:sty m:val="p"/>
                </m:rPr>
                <m:t>−</m:t>
              </m:r>
              <m:r>
                <m:t>α</m:t>
              </m:r>
            </m:sup>
          </m:sSup>
          <m:r>
            <m:rPr>
              <m:sty m:val="p"/>
            </m:rPr>
            <m:t>=</m:t>
          </m:r>
          <m:r>
            <m:t>C</m:t>
          </m:r>
          <m:r>
            <m:t> </m:t>
          </m:r>
          <m:sSup>
            <m:e>
              <m:r>
                <m:t>x</m:t>
              </m:r>
            </m:e>
            <m:sup>
              <m:r>
                <m:rPr>
                  <m:sty m:val="p"/>
                </m:rPr>
                <m:t>−</m:t>
              </m:r>
              <m:r>
                <m:t>1</m:t>
              </m:r>
              <m:r>
                <m:rPr>
                  <m:sty m:val="p"/>
                </m:rPr>
                <m:t>/</m:t>
              </m:r>
              <m:r>
                <m:t>ξ</m:t>
              </m:r>
            </m:sup>
          </m:sSup>
          <m:r>
            <m:t> </m:t>
          </m:r>
          <m:r>
            <m:rPr>
              <m:nor/>
            </m:rPr>
            <m:t>for large </m:t>
          </m:r>
          <m:r>
            <m:t>x</m:t>
          </m:r>
          <m:r>
            <m:rPr>
              <m:sty m:val="p"/>
            </m:rPr>
            <m:t>.</m:t>
          </m:r>
        </m:oMath>
      </m:oMathPara>
    </w:p>
    <w:p>
      <w:pPr>
        <w:pStyle w:val="FirstParagraph"/>
      </w:pPr>
      <w:r>
        <w:rPr>
          <w:iCs/>
          <w:i/>
        </w:rPr>
        <w:t xml:space="preserve">Definition:</w:t>
      </w:r>
      <w:r>
        <w:t xml:space="preserve"> </w:t>
      </w:r>
      <w:r>
        <w:t xml:space="preserve">in the Fréchet case the probability of a loss larger than</w:t>
      </w:r>
      <w:r>
        <w:t xml:space="preserve"> </w:t>
      </w:r>
      <w:r>
        <w:rPr>
          <w:iCs/>
          <w:i/>
        </w:rPr>
        <w:t xml:space="preserve">x</w:t>
      </w:r>
      <w:r>
        <w:t xml:space="preserve"> </w:t>
      </w:r>
      <w:r>
        <w:t xml:space="preserve">falls like a power of</w:t>
      </w:r>
      <w:r>
        <w:t xml:space="preserve"> </w:t>
      </w:r>
      <w:r>
        <w:rPr>
          <w:iCs/>
          <w:i/>
        </w:rPr>
        <w:t xml:space="preserve">x</w:t>
      </w:r>
      <w:r>
        <w:t xml:space="preserve">, much more slowly than the normal’s</w:t>
      </w:r>
      <w:r>
        <w:t xml:space="preserve"> </w:t>
      </w:r>
      <m:oMath>
        <m:sSup>
          <m:e>
            <m:r>
              <m:t>e</m:t>
            </m:r>
          </m:e>
          <m:sup>
            <m:r>
              <m:rPr>
                <m:sty m:val="p"/>
              </m:rPr>
              <m:t>−</m:t>
            </m:r>
            <m:sSup>
              <m:e>
                <m:r>
                  <m:t>x</m:t>
                </m:r>
              </m:e>
              <m:sup>
                <m:r>
                  <m:t>2</m:t>
                </m:r>
              </m:sup>
            </m:sSup>
            <m:r>
              <m:rPr>
                <m:sty m:val="p"/>
              </m:rPr>
              <m:t>/</m:t>
            </m:r>
            <m:r>
              <m:t>2</m:t>
            </m:r>
          </m:sup>
        </m:sSup>
      </m:oMath>
      <w:r>
        <w:t xml:space="preserve">.</w:t>
      </w:r>
    </w:p>
    <w:p>
      <w:pPr>
        <w:numPr>
          <w:ilvl w:val="0"/>
          <w:numId w:val="1014"/>
        </w:numPr>
        <w:pStyle w:val="Compact"/>
      </w:pPr>
      <w:r>
        <w:t xml:space="preserve">Moments:</w:t>
      </w:r>
      <w:r>
        <w:t xml:space="preserve"> </w:t>
      </w:r>
      <m:oMath>
        <m:r>
          <m:t>E</m:t>
        </m:r>
        <m:d>
          <m:dPr>
            <m:begChr m:val="["/>
            <m:sepChr m:val=""/>
            <m:endChr m:val="]"/>
            <m:grow/>
          </m:dPr>
          <m:e>
            <m:sSup>
              <m:e>
                <m:r>
                  <m:t>X</m:t>
                </m:r>
              </m:e>
              <m:sup>
                <m:r>
                  <m:t>k</m:t>
                </m:r>
              </m:sup>
            </m:sSup>
          </m:e>
        </m:d>
      </m:oMath>
      <w:r>
        <w:t xml:space="preserve"> </w:t>
      </w:r>
      <w:r>
        <w:t xml:space="preserve">is finite only for</w:t>
      </w:r>
      <w:r>
        <w:t xml:space="preserve"> </w:t>
      </w:r>
      <m:oMath>
        <m:r>
          <m:t>k</m:t>
        </m:r>
        <m:r>
          <m:rPr>
            <m:sty m:val="p"/>
          </m:rPr>
          <m:t>&lt;</m:t>
        </m:r>
        <m:r>
          <m:t>α</m:t>
        </m:r>
      </m:oMath>
      <w:r>
        <w:t xml:space="preserve">. With α = 4, the variance exists but the kurtosis is infinite (on paper) — one reason sample kurtosis is so unstable (Project 1).</w:t>
      </w:r>
    </w:p>
    <w:p>
      <w:pPr>
        <w:numPr>
          <w:ilvl w:val="0"/>
          <w:numId w:val="1014"/>
        </w:numPr>
        <w:pStyle w:val="Compact"/>
      </w:pPr>
      <w:r>
        <w:t xml:space="preserve">Student-t with ν degrees of freedom:</w:t>
      </w:r>
      <w:r>
        <w:t xml:space="preserve"> </w:t>
      </w:r>
      <m:oMath>
        <m:r>
          <m:t>α</m:t>
        </m:r>
        <m:r>
          <m:rPr>
            <m:sty m:val="p"/>
          </m:rPr>
          <m:t>=</m:t>
        </m:r>
        <m:r>
          <m:t>ν</m:t>
        </m:r>
      </m:oMath>
      <w:r>
        <w:t xml:space="preserve">,</w:t>
      </w:r>
      <w:r>
        <w:t xml:space="preserve"> </w:t>
      </w:r>
      <m:oMath>
        <m:r>
          <m:t>ξ</m:t>
        </m:r>
        <m:r>
          <m:rPr>
            <m:sty m:val="p"/>
          </m:rPr>
          <m:t>=</m:t>
        </m:r>
        <m:r>
          <m:t>1</m:t>
        </m:r>
        <m:r>
          <m:rPr>
            <m:sty m:val="p"/>
          </m:rPr>
          <m:t>/</m:t>
        </m:r>
        <m:r>
          <m:t>ν</m:t>
        </m:r>
      </m:oMath>
      <w:r>
        <w:t xml:space="preserve">.</w:t>
      </w:r>
    </w:p>
    <w:p>
      <w:pPr>
        <w:pStyle w:val="FirstParagraph"/>
      </w:pPr>
      <w:r>
        <w:rPr>
          <w:bCs/>
          <w:b/>
        </w:rPr>
        <w:t xml:space="preserve">4. Valid when.</w:t>
      </w:r>
      <w:r>
        <w:t xml:space="preserve"> </w:t>
      </w:r>
      <w:r>
        <w:t xml:space="preserve">The data are independent and identically distributed (i.i.d.) or weakly dependent (then an</w:t>
      </w:r>
      <w:r>
        <w:t xml:space="preserve"> </w:t>
      </w:r>
      <w:r>
        <w:rPr>
          <w:bCs/>
          <w:b/>
        </w:rPr>
        <w:t xml:space="preserve">extremal index</w:t>
      </w:r>
      <w:r>
        <w:t xml:space="preserve"> </w:t>
      </w:r>
      <w:r>
        <w:t xml:space="preserve">corrects for clustering, B6), and the sample is large.</w:t>
      </w:r>
    </w:p>
    <w:p>
      <w:pPr>
        <w:pStyle w:val="BodyText"/>
      </w:pPr>
      <w:r>
        <w:rPr>
          <w:bCs/>
          <w:b/>
        </w:rPr>
        <w:t xml:space="preserve">5. Limitations.</w:t>
      </w:r>
      <w:r>
        <w:t xml:space="preserve"> </w:t>
      </w:r>
      <w:r>
        <w:t xml:space="preserve">It is an</w:t>
      </w:r>
      <w:r>
        <w:t xml:space="preserve"> </w:t>
      </w:r>
      <w:r>
        <w:rPr>
          <w:bCs/>
          <w:b/>
        </w:rPr>
        <w:t xml:space="preserve">asymptotic</w:t>
      </w:r>
      <w:r>
        <w:t xml:space="preserve"> </w:t>
      </w:r>
      <w:r>
        <w:t xml:space="preserve">result: it tells the shape far in the tail, not where</w:t>
      </w:r>
      <w:r>
        <w:t xml:space="preserve"> </w:t>
      </w:r>
      <w:r>
        <w:t xml:space="preserve">“</w:t>
      </w:r>
      <w:r>
        <w:t xml:space="preserve">far</w:t>
      </w:r>
      <w:r>
        <w:t xml:space="preserve">”</w:t>
      </w:r>
      <w:r>
        <w:t xml:space="preserve"> </w:t>
      </w:r>
      <w:r>
        <w:t xml:space="preserve">begins (B3). It says nothing about the centre of the distribution.</w:t>
      </w:r>
    </w:p>
    <w:p>
      <w:pPr>
        <w:pStyle w:val="BodyText"/>
      </w:pPr>
      <w:r>
        <w:rPr>
          <w:bCs/>
          <w:b/>
        </w:rPr>
        <w:t xml:space="preserve">6. Implement, validate.</w:t>
      </w:r>
      <w:r>
        <w:t xml:space="preserve"> </w:t>
      </w:r>
      <w:r>
        <w:t xml:space="preserve">Not estimated directly in this project (we use the POT form, B3, which uses more data than block maxima), but used to interpret ξ.</w:t>
      </w:r>
    </w:p>
    <w:p>
      <w:pPr>
        <w:pStyle w:val="BodyText"/>
      </w:pPr>
      <w:r>
        <w:rPr>
          <w:bCs/>
          <w:b/>
        </w:rPr>
        <w:t xml:space="preserve">Example.</w:t>
      </w:r>
      <w:r>
        <w:t xml:space="preserve"> </w:t>
      </w:r>
      <w:r>
        <w:t xml:space="preserve">If daily losses have α = 4, then a loss</w:t>
      </w:r>
      <w:r>
        <w:t xml:space="preserve"> </w:t>
      </w:r>
      <w:r>
        <w:rPr>
          <w:bCs/>
          <w:b/>
        </w:rPr>
        <w:t xml:space="preserve">twice as large</w:t>
      </w:r>
      <w:r>
        <w:t xml:space="preserve"> </w:t>
      </w:r>
      <w:r>
        <w:t xml:space="preserve">is</w:t>
      </w:r>
      <w:r>
        <w:t xml:space="preserve"> </w:t>
      </w:r>
      <m:oMath>
        <m:sSup>
          <m:e>
            <m:r>
              <m:t>2</m:t>
            </m:r>
          </m:e>
          <m:sup>
            <m:r>
              <m:rPr>
                <m:sty m:val="p"/>
              </m:rPr>
              <m:t>−</m:t>
            </m:r>
            <m:r>
              <m:t>4</m:t>
            </m:r>
          </m:sup>
        </m:sSup>
        <m:r>
          <m:rPr>
            <m:sty m:val="p"/>
          </m:rPr>
          <m:t>=</m:t>
        </m:r>
        <m:r>
          <m:t>1</m:t>
        </m:r>
        <m:r>
          <m:rPr>
            <m:sty m:val="p"/>
          </m:rPr>
          <m:t>/</m:t>
        </m:r>
        <m:r>
          <m:t>16</m:t>
        </m:r>
      </m:oMath>
      <w:r>
        <w:t xml:space="preserve"> </w:t>
      </w:r>
      <w:r>
        <w:t xml:space="preserve">as likely. For the normal, going from a 3σ to a 6σ loss divides the probability by about</w:t>
      </w:r>
      <w:r>
        <w:t xml:space="preserve"> </w:t>
      </w:r>
      <w:r>
        <w:rPr>
          <w:bCs/>
          <w:b/>
        </w:rPr>
        <w:t xml:space="preserve">7 million</w:t>
      </w:r>
      <w:r>
        <w:t xml:space="preserve">. That is the whole difference between</w:t>
      </w:r>
      <w:r>
        <w:t xml:space="preserve"> </w:t>
      </w:r>
      <w:r>
        <w:t xml:space="preserve">“</w:t>
      </w:r>
      <w:r>
        <w:t xml:space="preserve">1987 cannot happen</w:t>
      </w:r>
      <w:r>
        <w:t xml:space="preserve">”</w:t>
      </w:r>
      <w:r>
        <w:t xml:space="preserve"> </w:t>
      </w:r>
      <w:r>
        <w:t xml:space="preserve">and</w:t>
      </w:r>
      <w:r>
        <w:t xml:space="preserve"> </w:t>
      </w:r>
      <w:r>
        <w:t xml:space="preserve">“</w:t>
      </w:r>
      <w:r>
        <w:t xml:space="preserve">1987 happens about once a century</w:t>
      </w:r>
      <w:r>
        <w:t xml:space="preserve">”</w:t>
      </w:r>
      <w:r>
        <w:t xml:space="preserve">.</w:t>
      </w:r>
    </w:p>
    <w:p>
      <w:r>
        <w:pict>
          <v:rect style="width:0;height:1.5pt" o:hralign="center" o:hrstd="t" o:hr="t"/>
        </w:pict>
      </w:r>
    </w:p>
    <w:bookmarkEnd w:id="29"/>
    <w:bookmarkStart w:id="30" w:name="b2.-the-hill-estimator"/>
    <w:p>
      <w:pPr>
        <w:pStyle w:val="Heading3"/>
      </w:pPr>
      <w:r>
        <w:t xml:space="preserve">B2. The Hill estimator</w:t>
      </w:r>
    </w:p>
    <w:p>
      <w:pPr>
        <w:pStyle w:val="FirstParagraph"/>
      </w:pPr>
      <w:r>
        <w:rPr>
          <w:bCs/>
          <w:b/>
        </w:rPr>
        <w:t xml:space="preserve">1. What is it?</w:t>
      </w:r>
      <w:r>
        <w:t xml:space="preserve"> </w:t>
      </w:r>
      <w:r>
        <w:t xml:space="preserve">A simple estimator of the tail index ξ (or α) from the</w:t>
      </w:r>
      <w:r>
        <w:t xml:space="preserve"> </w:t>
      </w:r>
      <w:r>
        <w:rPr>
          <w:iCs/>
          <w:i/>
        </w:rPr>
        <w:t xml:space="preserve">k</w:t>
      </w:r>
      <w:r>
        <w:t xml:space="preserve"> </w:t>
      </w:r>
      <w:r>
        <w:t xml:space="preserve">largest losses.</w:t>
      </w:r>
    </w:p>
    <w:p>
      <w:pPr>
        <w:pStyle w:val="BodyText"/>
      </w:pPr>
      <w:r>
        <w:rPr>
          <w:bCs/>
          <w:b/>
        </w:rPr>
        <w:t xml:space="preserve">2. Why was it developed?</w:t>
      </w:r>
      <w:r>
        <w:t xml:space="preserve"> </w:t>
      </w:r>
      <w:r>
        <w:t xml:space="preserve">Hill (1975) derived it as the maximum-likelihood estimator of α when the tail beyond a threshold is exactly Pareto. It needs no optimisation and is the standard first look at a tail.</w:t>
      </w:r>
    </w:p>
    <w:p>
      <w:pPr>
        <w:pStyle w:val="BodyText"/>
      </w:pPr>
      <w:r>
        <w:rPr>
          <w:bCs/>
          <w:b/>
        </w:rPr>
        <w:t xml:space="preserve">3. Maths.</w:t>
      </w:r>
    </w:p>
    <w:p>
      <w:pPr>
        <w:pStyle w:val="BodyText"/>
      </w:pPr>
      <w:r>
        <w:rPr>
          <w:bCs/>
          <w:b/>
        </w:rPr>
        <w:t xml:space="preserve">Variables:</w:t>
      </w:r>
    </w:p>
    <w:p>
      <w:pPr>
        <w:numPr>
          <w:ilvl w:val="0"/>
          <w:numId w:val="1015"/>
        </w:numPr>
        <w:pStyle w:val="Compact"/>
      </w:pPr>
      <m:oMath>
        <m:sSub>
          <m:e>
            <m:r>
              <m:t>X</m:t>
            </m:r>
          </m:e>
          <m:sub>
            <m:d>
              <m:dPr>
                <m:begChr m:val="("/>
                <m:sepChr m:val=""/>
                <m:endChr m:val=")"/>
                <m:grow/>
              </m:dPr>
              <m:e>
                <m:r>
                  <m:t>1</m:t>
                </m:r>
              </m:e>
            </m:d>
          </m:sub>
        </m:sSub>
        <m:r>
          <m:rPr>
            <m:sty m:val="p"/>
          </m:rPr>
          <m:t>≥</m:t>
        </m:r>
        <m:sSub>
          <m:e>
            <m:r>
              <m:t>X</m:t>
            </m:r>
          </m:e>
          <m:sub>
            <m:d>
              <m:dPr>
                <m:begChr m:val="("/>
                <m:sepChr m:val=""/>
                <m:endChr m:val=")"/>
                <m:grow/>
              </m:dPr>
              <m:e>
                <m:r>
                  <m:t>2</m:t>
                </m:r>
              </m:e>
            </m:d>
          </m:sub>
        </m:sSub>
        <m:r>
          <m:rPr>
            <m:sty m:val="p"/>
          </m:rPr>
          <m:t>≥</m:t>
        </m:r>
        <m:r>
          <m:rPr>
            <m:sty m:val="p"/>
          </m:rPr>
          <m:t>…</m:t>
        </m:r>
        <m:r>
          <m:rPr>
            <m:sty m:val="p"/>
          </m:rPr>
          <m:t>≥</m:t>
        </m:r>
        <m:sSub>
          <m:e>
            <m:r>
              <m:t>X</m:t>
            </m:r>
          </m:e>
          <m:sub>
            <m:d>
              <m:dPr>
                <m:begChr m:val="("/>
                <m:sepChr m:val=""/>
                <m:endChr m:val=")"/>
                <m:grow/>
              </m:dPr>
              <m:e>
                <m:r>
                  <m:t>n</m:t>
                </m:r>
              </m:e>
            </m:d>
          </m:sub>
        </m:sSub>
      </m:oMath>
      <w:r>
        <w:t xml:space="preserve">: the losses sorted from largest to smallest (order statistics).</w:t>
      </w:r>
    </w:p>
    <w:p>
      <w:pPr>
        <w:numPr>
          <w:ilvl w:val="0"/>
          <w:numId w:val="1015"/>
        </w:numPr>
        <w:pStyle w:val="Compact"/>
      </w:pPr>
      <m:oMath>
        <m:r>
          <m:t>k</m:t>
        </m:r>
      </m:oMath>
      <w:r>
        <w:t xml:space="preserve">: number of tail observations used; the threshold is</w:t>
      </w:r>
      <w:r>
        <w:t xml:space="preserve"> </w:t>
      </w:r>
      <m:oMath>
        <m:sSub>
          <m:e>
            <m:r>
              <m:t>X</m:t>
            </m:r>
          </m:e>
          <m:sub>
            <m:d>
              <m:dPr>
                <m:begChr m:val="("/>
                <m:sepChr m:val=""/>
                <m:endChr m:val=")"/>
                <m:grow/>
              </m:dPr>
              <m:e>
                <m:r>
                  <m:t>k</m:t>
                </m:r>
                <m:r>
                  <m:rPr>
                    <m:sty m:val="p"/>
                  </m:rPr>
                  <m:t>+</m:t>
                </m:r>
                <m:r>
                  <m:t>1</m:t>
                </m:r>
              </m:e>
            </m:d>
          </m:sub>
        </m:sSub>
      </m:oMath>
      <w:r>
        <w:t xml:space="preserve">.</w:t>
      </w:r>
    </w:p>
    <w:p>
      <w:pPr>
        <w:numPr>
          <w:ilvl w:val="0"/>
          <w:numId w:val="1015"/>
        </w:numPr>
        <w:pStyle w:val="Compact"/>
      </w:pPr>
      <m:oMath>
        <m:sSub>
          <m:e>
            <m:acc>
              <m:accPr>
                <m:chr m:val="̂"/>
              </m:accPr>
              <m:e>
                <m:r>
                  <m:t>ξ</m:t>
                </m:r>
              </m:e>
            </m:acc>
          </m:e>
          <m:sub>
            <m:r>
              <m:t>k</m:t>
            </m:r>
          </m:sub>
        </m:sSub>
      </m:oMath>
      <w:r>
        <w:t xml:space="preserve">: Hill estimate;</w:t>
      </w:r>
      <w:r>
        <w:t xml:space="preserve"> </w:t>
      </w:r>
      <m:oMath>
        <m:sSub>
          <m:e>
            <m:acc>
              <m:accPr>
                <m:chr m:val="̂"/>
              </m:accPr>
              <m:e>
                <m:r>
                  <m:t>α</m:t>
                </m:r>
              </m:e>
            </m:acc>
          </m:e>
          <m:sub>
            <m:r>
              <m:t>k</m:t>
            </m:r>
          </m:sub>
        </m:sSub>
        <m:r>
          <m:rPr>
            <m:sty m:val="p"/>
          </m:rPr>
          <m:t>=</m:t>
        </m:r>
        <m:r>
          <m:t>1</m:t>
        </m:r>
        <m:r>
          <m:rPr>
            <m:sty m:val="p"/>
          </m:rPr>
          <m:t>/</m:t>
        </m:r>
        <m:sSub>
          <m:e>
            <m:acc>
              <m:accPr>
                <m:chr m:val="̂"/>
              </m:accPr>
              <m:e>
                <m:r>
                  <m:t>ξ</m:t>
                </m:r>
              </m:e>
            </m:acc>
          </m:e>
          <m:sub>
            <m:r>
              <m:t>k</m:t>
            </m:r>
          </m:sub>
        </m:sSub>
      </m:oMath>
      <w:r>
        <w:t xml:space="preserve">.</w:t>
      </w:r>
    </w:p>
    <w:p>
      <w:pPr>
        <w:pStyle w:val="FirstParagraph"/>
      </w:pPr>
      <w:r>
        <w:rPr>
          <w:bCs/>
          <w:b/>
        </w:rPr>
        <w:t xml:space="preserve">Equation 6 – Hill estimator:</w:t>
      </w:r>
    </w:p>
    <w:p>
      <w:pPr>
        <w:pStyle w:val="BodyText"/>
      </w:pPr>
      <m:oMathPara>
        <m:oMathParaPr>
          <m:jc m:val="center"/>
        </m:oMathParaPr>
        <m:oMath>
          <m:sSub>
            <m:e>
              <m:acc>
                <m:accPr>
                  <m:chr m:val="̂"/>
                </m:accPr>
                <m:e>
                  <m:r>
                    <m:t>ξ</m:t>
                  </m:r>
                </m:e>
              </m:acc>
            </m:e>
            <m:sub>
              <m:r>
                <m:t>k</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d>
                <m:dPr>
                  <m:begChr m:val="["/>
                  <m:sepChr m:val=""/>
                  <m:endChr m:val="]"/>
                  <m:grow/>
                </m:dPr>
                <m:e>
                  <m:r>
                    <m:rPr>
                      <m:sty m:val="p"/>
                    </m:rPr>
                    <m:t>ln</m:t>
                  </m:r>
                  <m:sSub>
                    <m:e>
                      <m:r>
                        <m:t>X</m:t>
                      </m:r>
                    </m:e>
                    <m:sub>
                      <m:d>
                        <m:dPr>
                          <m:begChr m:val="("/>
                          <m:sepChr m:val=""/>
                          <m:endChr m:val=")"/>
                          <m:grow/>
                        </m:dPr>
                        <m:e>
                          <m:r>
                            <m:t>i</m:t>
                          </m:r>
                        </m:e>
                      </m:d>
                    </m:sub>
                  </m:sSub>
                  <m:r>
                    <m:rPr>
                      <m:sty m:val="p"/>
                    </m:rPr>
                    <m:t>−</m:t>
                  </m:r>
                  <m:r>
                    <m:rPr>
                      <m:sty m:val="p"/>
                    </m:rPr>
                    <m:t>ln</m:t>
                  </m:r>
                  <m:sSub>
                    <m:e>
                      <m:r>
                        <m:t>X</m:t>
                      </m:r>
                    </m:e>
                    <m:sub>
                      <m:d>
                        <m:dPr>
                          <m:begChr m:val="("/>
                          <m:sepChr m:val=""/>
                          <m:endChr m:val=")"/>
                          <m:grow/>
                        </m:dPr>
                        <m:e>
                          <m:r>
                            <m:t>k</m:t>
                          </m:r>
                          <m:r>
                            <m:rPr>
                              <m:sty m:val="p"/>
                            </m:rPr>
                            <m:t>+</m:t>
                          </m:r>
                          <m:r>
                            <m:t>1</m:t>
                          </m:r>
                        </m:e>
                      </m:d>
                    </m:sub>
                  </m:sSub>
                </m:e>
              </m:d>
            </m:e>
          </m:nary>
          <m:r>
            <m:rPr>
              <m:sty m:val="p"/>
            </m:rPr>
            <m:t>,</m:t>
          </m:r>
          <m:r>
            <m:t>  </m:t>
          </m:r>
          <m:sSub>
            <m:e>
              <m:acc>
                <m:accPr>
                  <m:chr m:val="̂"/>
                </m:accPr>
                <m:e>
                  <m:r>
                    <m:t>α</m:t>
                  </m:r>
                </m:e>
              </m:acc>
            </m:e>
            <m:sub>
              <m:r>
                <m:t>k</m:t>
              </m:r>
            </m:sub>
          </m:sSub>
          <m:r>
            <m:rPr>
              <m:sty m:val="p"/>
            </m:rPr>
            <m:t>=</m:t>
          </m:r>
          <m:r>
            <m:t>1</m:t>
          </m:r>
          <m:r>
            <m:rPr>
              <m:sty m:val="p"/>
            </m:rPr>
            <m:t>/</m:t>
          </m:r>
          <m:sSub>
            <m:e>
              <m:acc>
                <m:accPr>
                  <m:chr m:val="̂"/>
                </m:accPr>
                <m:e>
                  <m:r>
                    <m:t>ξ</m:t>
                  </m:r>
                </m:e>
              </m:acc>
            </m:e>
            <m:sub>
              <m:r>
                <m:t>k</m:t>
              </m:r>
            </m:sub>
          </m:sSub>
          <m:r>
            <m:rPr>
              <m:sty m:val="p"/>
            </m:rPr>
            <m:t>.</m:t>
          </m:r>
        </m:oMath>
      </m:oMathPara>
    </w:p>
    <w:p>
      <w:pPr>
        <w:pStyle w:val="FirstParagraph"/>
      </w:pPr>
      <w:r>
        <w:rPr>
          <w:iCs/>
          <w:i/>
        </w:rPr>
        <w:t xml:space="preserve">Definition:</w:t>
      </w:r>
      <w:r>
        <w:t xml:space="preserve"> </w:t>
      </w:r>
      <w:r>
        <w:t xml:space="preserve">the average log distance of the</w:t>
      </w:r>
      <w:r>
        <w:t xml:space="preserve"> </w:t>
      </w:r>
      <w:r>
        <w:rPr>
          <w:iCs/>
          <w:i/>
        </w:rPr>
        <w:t xml:space="preserve">k</w:t>
      </w:r>
      <w:r>
        <w:t xml:space="preserve"> </w:t>
      </w:r>
      <w:r>
        <w:t xml:space="preserve">largest losses above the threshold. Fat tail → the largest losses are far above the threshold → large</w:t>
      </w:r>
      <w:r>
        <w:t xml:space="preserve"> </w:t>
      </w:r>
      <m:oMath>
        <m:acc>
          <m:accPr>
            <m:chr m:val="̂"/>
          </m:accPr>
          <m:e>
            <m:r>
              <m:t>ξ</m:t>
            </m:r>
          </m:e>
        </m:acc>
      </m:oMath>
      <w:r>
        <w:t xml:space="preserve">.</w:t>
      </w:r>
    </w:p>
    <w:p>
      <w:pPr>
        <w:pStyle w:val="BodyText"/>
      </w:pPr>
      <w:r>
        <w:rPr>
          <w:bCs/>
          <w:b/>
        </w:rPr>
        <w:t xml:space="preserve">Equation 7 – Standard error:</w:t>
      </w:r>
    </w:p>
    <w:p>
      <w:pPr>
        <w:pStyle w:val="BodyText"/>
      </w:pPr>
      <m:oMathPara>
        <m:oMathParaPr>
          <m:jc m:val="center"/>
        </m:oMathParaPr>
        <m:oMath>
          <m:r>
            <m:rPr>
              <m:nor/>
            </m:rPr>
            <m:t>s.e.</m:t>
          </m:r>
          <m:d>
            <m:dPr>
              <m:begChr m:val="("/>
              <m:sepChr m:val=""/>
              <m:endChr m:val=")"/>
              <m:grow/>
            </m:dPr>
            <m:e>
              <m:sSub>
                <m:e>
                  <m:acc>
                    <m:accPr>
                      <m:chr m:val="̂"/>
                    </m:accPr>
                    <m:e>
                      <m:r>
                        <m:t>ξ</m:t>
                      </m:r>
                    </m:e>
                  </m:acc>
                </m:e>
                <m:sub>
                  <m:r>
                    <m:t>k</m:t>
                  </m:r>
                </m:sub>
              </m:sSub>
            </m:e>
          </m:d>
          <m:r>
            <m:rPr>
              <m:sty m:val="p"/>
            </m:rPr>
            <m:t>≈</m:t>
          </m:r>
          <m:f>
            <m:fPr>
              <m:type m:val="bar"/>
            </m:fPr>
            <m:num>
              <m:sSub>
                <m:e>
                  <m:acc>
                    <m:accPr>
                      <m:chr m:val="̂"/>
                    </m:accPr>
                    <m:e>
                      <m:r>
                        <m:t>ξ</m:t>
                      </m:r>
                    </m:e>
                  </m:acc>
                </m:e>
                <m:sub>
                  <m:r>
                    <m:t>k</m:t>
                  </m:r>
                </m:sub>
              </m:sSub>
            </m:num>
            <m:den>
              <m:rad>
                <m:radPr>
                  <m:degHide m:val="on"/>
                </m:radPr>
                <m:deg/>
                <m:e>
                  <m:r>
                    <m:t>k</m:t>
                  </m:r>
                </m:e>
              </m:rad>
            </m:den>
          </m:f>
          <m:r>
            <m:rPr>
              <m:sty m:val="p"/>
            </m:rPr>
            <m:t>.</m:t>
          </m:r>
        </m:oMath>
      </m:oMathPara>
    </w:p>
    <w:p>
      <w:pPr>
        <w:pStyle w:val="FirstParagraph"/>
      </w:pPr>
      <w:r>
        <w:rPr>
          <w:iCs/>
          <w:i/>
        </w:rPr>
        <w:t xml:space="preserve">Definition:</w:t>
      </w:r>
      <w:r>
        <w:t xml:space="preserve"> </w:t>
      </w:r>
      <w:r>
        <w:t xml:space="preserve">asymptotic standard error under a Pareto tail; a 95% interval is</w:t>
      </w:r>
      <w:r>
        <w:t xml:space="preserve"> </w:t>
      </w:r>
      <m:oMath>
        <m:sSub>
          <m:e>
            <m:acc>
              <m:accPr>
                <m:chr m:val="̂"/>
              </m:accPr>
              <m:e>
                <m:r>
                  <m:t>ξ</m:t>
                </m:r>
              </m:e>
            </m:acc>
          </m:e>
          <m:sub>
            <m:r>
              <m:t>k</m:t>
            </m:r>
          </m:sub>
        </m:sSub>
        <m:r>
          <m:rPr>
            <m:sty m:val="p"/>
          </m:rPr>
          <m:t>±</m:t>
        </m:r>
        <m:r>
          <m:t>1.96</m:t>
        </m:r>
        <m:r>
          <m:t> </m:t>
        </m:r>
        <m:sSub>
          <m:e>
            <m:acc>
              <m:accPr>
                <m:chr m:val="̂"/>
              </m:accPr>
              <m:e>
                <m:r>
                  <m:t>ξ</m:t>
                </m:r>
              </m:e>
            </m:acc>
          </m:e>
          <m:sub>
            <m:r>
              <m:t>k</m:t>
            </m:r>
          </m:sub>
        </m:sSub>
        <m:r>
          <m:rPr>
            <m:sty m:val="p"/>
          </m:rPr>
          <m:t>/</m:t>
        </m:r>
        <m:rad>
          <m:radPr>
            <m:degHide m:val="on"/>
          </m:radPr>
          <m:deg/>
          <m:e>
            <m:r>
              <m:t>k</m:t>
            </m:r>
          </m:e>
        </m:rad>
      </m:oMath>
      <w:r>
        <w:t xml:space="preserve">.</w:t>
      </w:r>
    </w:p>
    <w:p>
      <w:pPr>
        <w:pStyle w:val="BodyText"/>
      </w:pPr>
      <w:r>
        <w:rPr>
          <w:bCs/>
          <w:b/>
        </w:rPr>
        <w:t xml:space="preserve">Equation 8 – Hill (Weissman) quantile, VaR:</w:t>
      </w:r>
    </w:p>
    <w:p>
      <w:pPr>
        <w:pStyle w:val="BodyText"/>
      </w:pPr>
      <m:oMathPara>
        <m:oMathParaPr>
          <m:jc m:val="center"/>
        </m:oMathParaPr>
        <m:oMath>
          <m:sSub>
            <m:e>
              <m:acc>
                <m:accPr>
                  <m:chr m:val="̂"/>
                </m:accPr>
                <m:e>
                  <m:r>
                    <m:rPr>
                      <m:nor/>
                    </m:rPr>
                    <m:t>VaR</m:t>
                  </m:r>
                </m:e>
              </m:acc>
            </m:e>
            <m:sub>
              <m:r>
                <m:t>q</m:t>
              </m:r>
            </m:sub>
          </m:sSub>
          <m:r>
            <m:rPr>
              <m:sty m:val="p"/>
            </m:rPr>
            <m:t>=</m:t>
          </m:r>
          <m:sSub>
            <m:e>
              <m:r>
                <m:t>X</m:t>
              </m:r>
            </m:e>
            <m:sub>
              <m:d>
                <m:dPr>
                  <m:begChr m:val="("/>
                  <m:sepChr m:val=""/>
                  <m:endChr m:val=")"/>
                  <m:grow/>
                </m:dPr>
                <m:e>
                  <m:r>
                    <m:t>k</m:t>
                  </m:r>
                  <m:r>
                    <m:rPr>
                      <m:sty m:val="p"/>
                    </m:rPr>
                    <m:t>+</m:t>
                  </m:r>
                  <m:r>
                    <m:t>1</m:t>
                  </m:r>
                </m:e>
              </m:d>
            </m:sub>
          </m:sSub>
          <m:sSup>
            <m:e>
              <m:d>
                <m:dPr>
                  <m:begChr m:val="("/>
                  <m:sepChr m:val=""/>
                  <m:endChr m:val=")"/>
                  <m:grow/>
                </m:dPr>
                <m:e>
                  <m:f>
                    <m:fPr>
                      <m:type m:val="bar"/>
                    </m:fPr>
                    <m:num>
                      <m:r>
                        <m:t>k</m:t>
                      </m:r>
                    </m:num>
                    <m:den>
                      <m:r>
                        <m:t>n</m:t>
                      </m:r>
                      <m:r>
                        <m:t> </m:t>
                      </m:r>
                      <m:d>
                        <m:dPr>
                          <m:begChr m:val="("/>
                          <m:sepChr m:val=""/>
                          <m:endChr m:val=")"/>
                          <m:grow/>
                        </m:dPr>
                        <m:e>
                          <m:r>
                            <m:t>1</m:t>
                          </m:r>
                          <m:r>
                            <m:rPr>
                              <m:sty m:val="p"/>
                            </m:rPr>
                            <m:t>−</m:t>
                          </m:r>
                          <m:r>
                            <m:t>q</m:t>
                          </m:r>
                        </m:e>
                      </m:d>
                    </m:den>
                  </m:f>
                </m:e>
              </m:d>
            </m:e>
            <m:sup>
              <m:sSub>
                <m:e>
                  <m:acc>
                    <m:accPr>
                      <m:chr m:val="̂"/>
                    </m:accPr>
                    <m:e>
                      <m:r>
                        <m:t>ξ</m:t>
                      </m:r>
                    </m:e>
                  </m:acc>
                </m:e>
                <m:sub>
                  <m:r>
                    <m:t>k</m:t>
                  </m:r>
                </m:sub>
              </m:sSub>
            </m:sup>
          </m:sSup>
          <m:r>
            <m:rPr>
              <m:sty m:val="p"/>
            </m:rPr>
            <m:t>.</m:t>
          </m:r>
        </m:oMath>
      </m:oMathPara>
    </w:p>
    <w:p>
      <w:pPr>
        <w:pStyle w:val="FirstParagraph"/>
      </w:pPr>
      <w:r>
        <w:rPr>
          <w:iCs/>
          <w:i/>
        </w:rPr>
        <w:t xml:space="preserve">Definition:</w:t>
      </w:r>
      <w:r>
        <w:t xml:space="preserve"> </w:t>
      </w:r>
      <w:r>
        <w:t xml:space="preserve">extrapolates from the threshold to the level</w:t>
      </w:r>
      <w:r>
        <w:t xml:space="preserve"> </w:t>
      </w:r>
      <w:r>
        <w:rPr>
          <w:iCs/>
          <w:i/>
        </w:rPr>
        <w:t xml:space="preserve">q</w:t>
      </w:r>
      <w:r>
        <w:t xml:space="preserve"> </w:t>
      </w:r>
      <w:r>
        <w:t xml:space="preserve">along the fitted power law;</w:t>
      </w:r>
      <w:r>
        <w:t xml:space="preserve"> </w:t>
      </w:r>
      <m:oMath>
        <m:r>
          <m:t>k</m:t>
        </m:r>
        <m:r>
          <m:rPr>
            <m:sty m:val="p"/>
          </m:rPr>
          <m:t>/</m:t>
        </m:r>
        <m:r>
          <m:t>n</m:t>
        </m:r>
      </m:oMath>
      <w:r>
        <w:t xml:space="preserve"> </w:t>
      </w:r>
      <w:r>
        <w:t xml:space="preserve">is the empirical probability of exceeding the threshold.</w:t>
      </w:r>
    </w:p>
    <w:p>
      <w:pPr>
        <w:pStyle w:val="BodyText"/>
      </w:pPr>
      <w:r>
        <w:rPr>
          <w:bCs/>
          <w:b/>
        </w:rPr>
        <w:t xml:space="preserve">Equation 9 – Hill ES (for ξ &lt; 1):</w:t>
      </w:r>
    </w:p>
    <w:p>
      <w:pPr>
        <w:pStyle w:val="BodyText"/>
      </w:pPr>
      <m:oMathPara>
        <m:oMathParaPr>
          <m:jc m:val="center"/>
        </m:oMathParaPr>
        <m:oMath>
          <m:sSub>
            <m:e>
              <m:acc>
                <m:accPr>
                  <m:chr m:val="̂"/>
                </m:accPr>
                <m:e>
                  <m:r>
                    <m:rPr>
                      <m:nor/>
                    </m:rPr>
                    <m:t>ES</m:t>
                  </m:r>
                </m:e>
              </m:acc>
            </m:e>
            <m:sub>
              <m:r>
                <m:t>q</m:t>
              </m:r>
            </m:sub>
          </m:sSub>
          <m:r>
            <m:rPr>
              <m:sty m:val="p"/>
            </m:rPr>
            <m:t>=</m:t>
          </m:r>
          <m:f>
            <m:fPr>
              <m:type m:val="bar"/>
            </m:fPr>
            <m:num>
              <m:sSub>
                <m:e>
                  <m:acc>
                    <m:accPr>
                      <m:chr m:val="̂"/>
                    </m:accPr>
                    <m:e>
                      <m:r>
                        <m:rPr>
                          <m:nor/>
                        </m:rPr>
                        <m:t>VaR</m:t>
                      </m:r>
                    </m:e>
                  </m:acc>
                </m:e>
                <m:sub>
                  <m:r>
                    <m:t>q</m:t>
                  </m:r>
                </m:sub>
              </m:sSub>
            </m:num>
            <m:den>
              <m:r>
                <m:t>1</m:t>
              </m:r>
              <m:r>
                <m:rPr>
                  <m:sty m:val="p"/>
                </m:rPr>
                <m:t>−</m:t>
              </m:r>
              <m:sSub>
                <m:e>
                  <m:acc>
                    <m:accPr>
                      <m:chr m:val="̂"/>
                    </m:accPr>
                    <m:e>
                      <m:r>
                        <m:t>ξ</m:t>
                      </m:r>
                    </m:e>
                  </m:acc>
                </m:e>
                <m:sub>
                  <m:r>
                    <m:t>k</m:t>
                  </m:r>
                </m:sub>
              </m:sSub>
            </m:den>
          </m:f>
          <m:r>
            <m:rPr>
              <m:sty m:val="p"/>
            </m:rPr>
            <m:t>.</m:t>
          </m:r>
        </m:oMath>
      </m:oMathPara>
    </w:p>
    <w:p>
      <w:pPr>
        <w:pStyle w:val="FirstParagraph"/>
      </w:pPr>
      <w:r>
        <w:rPr>
          <w:bCs/>
          <w:b/>
        </w:rPr>
        <w:t xml:space="preserve">The Hill plot.</w:t>
      </w:r>
      <w:r>
        <w:t xml:space="preserve"> </w:t>
      </w:r>
      <m:oMath>
        <m:sSub>
          <m:e>
            <m:acc>
              <m:accPr>
                <m:chr m:val="̂"/>
              </m:accPr>
              <m:e>
                <m:r>
                  <m:t>ξ</m:t>
                </m:r>
              </m:e>
            </m:acc>
          </m:e>
          <m:sub>
            <m:r>
              <m:t>k</m:t>
            </m:r>
          </m:sub>
        </m:sSub>
      </m:oMath>
      <w:r>
        <w:t xml:space="preserve"> </w:t>
      </w:r>
      <w:r>
        <w:t xml:space="preserve">against</w:t>
      </w:r>
      <w:r>
        <w:t xml:space="preserve"> </w:t>
      </w:r>
      <w:r>
        <w:rPr>
          <w:iCs/>
          <w:i/>
        </w:rPr>
        <w:t xml:space="preserve">k</w:t>
      </w:r>
      <w:r>
        <w:t xml:space="preserve">. Small</w:t>
      </w:r>
      <w:r>
        <w:t xml:space="preserve"> </w:t>
      </w:r>
      <w:r>
        <w:rPr>
          <w:iCs/>
          <w:i/>
        </w:rPr>
        <w:t xml:space="preserve">k</w:t>
      </w:r>
      <w:r>
        <w:t xml:space="preserve">: few points, high variance. Large</w:t>
      </w:r>
      <w:r>
        <w:t xml:space="preserve"> </w:t>
      </w:r>
      <w:r>
        <w:rPr>
          <w:iCs/>
          <w:i/>
        </w:rPr>
        <w:t xml:space="preserve">k</w:t>
      </w:r>
      <w:r>
        <w:t xml:space="preserve">: points from the centre of the distribution enter, bias. We look for a</w:t>
      </w:r>
      <w:r>
        <w:t xml:space="preserve"> </w:t>
      </w:r>
      <w:r>
        <w:rPr>
          <w:bCs/>
          <w:b/>
        </w:rPr>
        <w:t xml:space="preserve">stable region</w:t>
      </w:r>
      <w:r>
        <w:t xml:space="preserve"> </w:t>
      </w:r>
      <w:r>
        <w:t xml:space="preserve">in between.</w:t>
      </w:r>
    </w:p>
    <w:p>
      <w:pPr>
        <w:pStyle w:val="BodyText"/>
      </w:pPr>
      <w:r>
        <w:rPr>
          <w:bCs/>
          <w:b/>
        </w:rPr>
        <w:t xml:space="preserve">4. Valid when.</w:t>
      </w:r>
      <w:r>
        <w:t xml:space="preserve"> </w:t>
      </w:r>
      <w:r>
        <w:t xml:space="preserve">ξ &gt; 0 (fat tail), i.i.d. data, losses positive beyond the threshold,</w:t>
      </w:r>
      <w:r>
        <w:t xml:space="preserve"> </w:t>
      </w:r>
      <w:r>
        <w:rPr>
          <w:iCs/>
          <w:i/>
        </w:rPr>
        <w:t xml:space="preserve">k</w:t>
      </w:r>
      <w:r>
        <w:t xml:space="preserve"> </w:t>
      </w:r>
      <w:r>
        <w:t xml:space="preserve">small relative to</w:t>
      </w:r>
      <w:r>
        <w:t xml:space="preserve"> </w:t>
      </w:r>
      <w:r>
        <w:rPr>
          <w:iCs/>
          <w:i/>
        </w:rPr>
        <w:t xml:space="preserve">n</w:t>
      </w:r>
      <w:r>
        <w:t xml:space="preserve"> </w:t>
      </w:r>
      <w:r>
        <w:t xml:space="preserve">but large in absolute terms.</w:t>
      </w:r>
    </w:p>
    <w:p>
      <w:pPr>
        <w:pStyle w:val="BodyText"/>
      </w:pPr>
      <w:r>
        <w:rPr>
          <w:bCs/>
          <w:b/>
        </w:rPr>
        <w:t xml:space="preserve">5. Limitations.</w:t>
      </w:r>
    </w:p>
    <w:p>
      <w:pPr>
        <w:numPr>
          <w:ilvl w:val="0"/>
          <w:numId w:val="1016"/>
        </w:numPr>
        <w:pStyle w:val="Compact"/>
      </w:pPr>
      <w:r>
        <w:rPr>
          <w:bCs/>
          <w:b/>
        </w:rPr>
        <w:t xml:space="preserve">Choice of k</w:t>
      </w:r>
      <w:r>
        <w:t xml:space="preserve"> </w:t>
      </w:r>
      <w:r>
        <w:t xml:space="preserve">is a bias–variance trade-off with no exact rule.</w:t>
      </w:r>
    </w:p>
    <w:p>
      <w:pPr>
        <w:numPr>
          <w:ilvl w:val="0"/>
          <w:numId w:val="1016"/>
        </w:numPr>
        <w:pStyle w:val="Compact"/>
      </w:pPr>
      <w:r>
        <w:t xml:space="preserve">Not</w:t>
      </w:r>
      <w:r>
        <w:t xml:space="preserve"> </w:t>
      </w:r>
      <w:r>
        <w:rPr>
          <w:bCs/>
          <w:b/>
        </w:rPr>
        <w:t xml:space="preserve">location-invariant</w:t>
      </w:r>
      <w:r>
        <w:t xml:space="preserve">: shifting the data changes</w:t>
      </w:r>
      <w:r>
        <w:t xml:space="preserve"> </w:t>
      </w:r>
      <m:oMath>
        <m:acc>
          <m:accPr>
            <m:chr m:val="̂"/>
          </m:accPr>
          <m:e>
            <m:r>
              <m:t>ξ</m:t>
            </m:r>
          </m:e>
        </m:acc>
      </m:oMath>
      <w:r>
        <w:t xml:space="preserve"> </w:t>
      </w:r>
      <w:r>
        <w:t xml:space="preserve">(the GPD does not have this problem).</w:t>
      </w:r>
    </w:p>
    <w:p>
      <w:pPr>
        <w:numPr>
          <w:ilvl w:val="0"/>
          <w:numId w:val="1016"/>
        </w:numPr>
        <w:pStyle w:val="Compact"/>
      </w:pPr>
      <w:r>
        <w:t xml:space="preserve">Only valid for ξ &gt; 0.</w:t>
      </w:r>
    </w:p>
    <w:p>
      <w:pPr>
        <w:numPr>
          <w:ilvl w:val="0"/>
          <w:numId w:val="1016"/>
        </w:numPr>
        <w:pStyle w:val="Compact"/>
      </w:pPr>
      <w:r>
        <w:t xml:space="preserve">Assumes a pure power law beyond the threshold; slow convergence for some distributions (e.g. the Student-t).</w:t>
      </w:r>
    </w:p>
    <w:p>
      <w:pPr>
        <w:pStyle w:val="FirstParagraph"/>
      </w:pPr>
      <w:r>
        <w:rPr>
          <w:bCs/>
          <w:b/>
        </w:rPr>
        <w:t xml:space="preserve">6. Implement, validate.</w:t>
      </w:r>
      <w:r>
        <w:t xml:space="preserve"> </w:t>
      </w:r>
      <w:r>
        <w:rPr>
          <w:rStyle w:val="VerbatimChar"/>
        </w:rPr>
        <w:t xml:space="preserve">hill(losses, k)</w:t>
      </w:r>
      <w:r>
        <w:t xml:space="preserve"> </w:t>
      </w:r>
      <w:r>
        <w:t xml:space="preserve">and</w:t>
      </w:r>
      <w:r>
        <w:t xml:space="preserve"> </w:t>
      </w:r>
      <w:r>
        <w:rPr>
          <w:rStyle w:val="VerbatimChar"/>
        </w:rPr>
        <w:t xml:space="preserve">hill_plot</w:t>
      </w:r>
      <w:r>
        <w:t xml:space="preserve">. Validation: simulate 25,000 Student-t(4) losses (true ξ = 0.25) and Pareto losses with ξ = 0.5; the Hill plot must sit near the truth over a range of</w:t>
      </w:r>
      <w:r>
        <w:t xml:space="preserve"> </w:t>
      </w:r>
      <w:r>
        <w:rPr>
          <w:iCs/>
          <w:i/>
        </w:rPr>
        <w:t xml:space="preserve">k</w:t>
      </w:r>
      <w:r>
        <w:t xml:space="preserve">; Weissman VaR must match the true quantile.</w:t>
      </w:r>
    </w:p>
    <w:p>
      <w:pPr>
        <w:pStyle w:val="BodyText"/>
      </w:pPr>
      <w:r>
        <w:rPr>
          <w:bCs/>
          <w:b/>
        </w:rPr>
        <w:t xml:space="preserve">Example (toy).</w:t>
      </w:r>
      <w:r>
        <w:t xml:space="preserve"> </w:t>
      </w:r>
      <w:r>
        <w:t xml:space="preserve">The five largest losses are 9, 7, 6, 5 and 4.5%, and the 6th largest (the threshold) is 4%. Logs of the ratios: ln(9/4) = 0.811, ln(7/4) = 0.560, ln(6/4) = 0.405, ln(5/4) = 0.223, ln(4.5/4) = 0.118. Average:</w:t>
      </w:r>
      <w:r>
        <w:t xml:space="preserve"> </w:t>
      </w:r>
      <m:oMath>
        <m:acc>
          <m:accPr>
            <m:chr m:val="̂"/>
          </m:accPr>
          <m:e>
            <m:r>
              <m:t>ξ</m:t>
            </m:r>
          </m:e>
        </m:acc>
        <m:r>
          <m:rPr>
            <m:sty m:val="p"/>
          </m:rPr>
          <m:t>=</m:t>
        </m:r>
        <m:r>
          <m:t>0.423</m:t>
        </m:r>
      </m:oMath>
      <w:r>
        <w:t xml:space="preserve">, i.e. </w:t>
      </w:r>
      <m:oMath>
        <m:acc>
          <m:accPr>
            <m:chr m:val="̂"/>
          </m:accPr>
          <m:e>
            <m:r>
              <m:t>α</m:t>
            </m:r>
          </m:e>
        </m:acc>
        <m:r>
          <m:rPr>
            <m:sty m:val="p"/>
          </m:rPr>
          <m:t>=</m:t>
        </m:r>
        <m:r>
          <m:t>2.36</m:t>
        </m:r>
      </m:oMath>
      <w:r>
        <w:t xml:space="preserve">, with a standard error of 0.423/√5 = 0.19 — far too uncertain with</w:t>
      </w:r>
      <w:r>
        <w:t xml:space="preserve"> </w:t>
      </w:r>
      <w:r>
        <w:rPr>
          <w:iCs/>
          <w:i/>
        </w:rPr>
        <w:t xml:space="preserve">k</w:t>
      </w:r>
      <w:r>
        <w:t xml:space="preserve"> </w:t>
      </w:r>
      <w:r>
        <w:t xml:space="preserve">= 5. With 25,000 days we will use</w:t>
      </w:r>
      <w:r>
        <w:t xml:space="preserve"> </w:t>
      </w:r>
      <w:r>
        <w:rPr>
          <w:iCs/>
          <w:i/>
        </w:rPr>
        <w:t xml:space="preserve">k</w:t>
      </w:r>
      <w:r>
        <w:t xml:space="preserve"> </w:t>
      </w:r>
      <w:r>
        <w:t xml:space="preserve">in the hundreds.</w:t>
      </w:r>
    </w:p>
    <w:p>
      <w:r>
        <w:pict>
          <v:rect style="width:0;height:1.5pt" o:hralign="center" o:hrstd="t" o:hr="t"/>
        </w:pict>
      </w:r>
    </w:p>
    <w:bookmarkEnd w:id="30"/>
    <w:bookmarkStart w:id="31" w:name="X17fdd661bd86b0e69cd7e0236cc356083f1f41e"/>
    <w:p>
      <w:pPr>
        <w:pStyle w:val="Heading3"/>
      </w:pPr>
      <w:r>
        <w:t xml:space="preserve">B3. Peaks over threshold and the Generalized Pareto Distribution</w:t>
      </w:r>
    </w:p>
    <w:p>
      <w:pPr>
        <w:pStyle w:val="FirstParagraph"/>
      </w:pPr>
      <w:r>
        <w:rPr>
          <w:bCs/>
          <w:b/>
        </w:rPr>
        <w:t xml:space="preserve">1. What is it?</w:t>
      </w:r>
      <w:r>
        <w:t xml:space="preserve"> </w:t>
      </w:r>
      <w:r>
        <w:t xml:space="preserve">Choose a high threshold</w:t>
      </w:r>
      <w:r>
        <w:t xml:space="preserve"> </w:t>
      </w:r>
      <w:r>
        <w:rPr>
          <w:iCs/>
          <w:i/>
        </w:rPr>
        <w:t xml:space="preserve">u</w:t>
      </w:r>
      <w:r>
        <w:t xml:space="preserve"> </w:t>
      </w:r>
      <w:r>
        <w:t xml:space="preserve">and model the</w:t>
      </w:r>
      <w:r>
        <w:t xml:space="preserve"> </w:t>
      </w:r>
      <w:r>
        <w:rPr>
          <w:bCs/>
          <w:b/>
        </w:rPr>
        <w:t xml:space="preserve">excesses</w:t>
      </w:r>
      <w:r>
        <w:t xml:space="preserve"> </w:t>
      </w:r>
      <m:oMath>
        <m:r>
          <m:t>y</m:t>
        </m:r>
        <m:r>
          <m:rPr>
            <m:sty m:val="p"/>
          </m:rPr>
          <m:t>=</m:t>
        </m:r>
        <m:r>
          <m:t>x</m:t>
        </m:r>
        <m:r>
          <m:rPr>
            <m:sty m:val="p"/>
          </m:rPr>
          <m:t>−</m:t>
        </m:r>
        <m:r>
          <m:t>u</m:t>
        </m:r>
      </m:oMath>
      <w:r>
        <w:t xml:space="preserve"> </w:t>
      </w:r>
      <w:r>
        <w:t xml:space="preserve">of all losses above it with the</w:t>
      </w:r>
      <w:r>
        <w:t xml:space="preserve"> </w:t>
      </w:r>
      <w:r>
        <w:rPr>
          <w:bCs/>
          <w:b/>
        </w:rPr>
        <w:t xml:space="preserve">Generalized Pareto Distribution</w:t>
      </w:r>
      <w:r>
        <w:t xml:space="preserve"> </w:t>
      </w:r>
      <w:r>
        <w:t xml:space="preserve">(GPD). Together with the frequency of exceeding</w:t>
      </w:r>
      <w:r>
        <w:t xml:space="preserve"> </w:t>
      </w:r>
      <w:r>
        <w:rPr>
          <w:iCs/>
          <w:i/>
        </w:rPr>
        <w:t xml:space="preserve">u</w:t>
      </w:r>
      <w:r>
        <w:t xml:space="preserve">, this gives the whole tail.</w:t>
      </w:r>
    </w:p>
    <w:p>
      <w:pPr>
        <w:pStyle w:val="BodyText"/>
      </w:pPr>
      <w:r>
        <w:rPr>
          <w:bCs/>
          <w:b/>
        </w:rPr>
        <w:t xml:space="preserve">2. Why was it developed?</w:t>
      </w:r>
      <w:r>
        <w:t xml:space="preserve"> </w:t>
      </w:r>
      <w:r>
        <w:t xml:space="preserve">Block maxima (B1) throw away all but one point per block. The</w:t>
      </w:r>
      <w:r>
        <w:t xml:space="preserve"> </w:t>
      </w:r>
      <w:r>
        <w:rPr>
          <w:bCs/>
          <w:b/>
        </w:rPr>
        <w:t xml:space="preserve">Pickands–Balkema–de Haan theorem</w:t>
      </w:r>
      <w:r>
        <w:t xml:space="preserve"> </w:t>
      </w:r>
      <w:r>
        <w:t xml:space="preserve">(1974–75) showed that excesses over a high threshold have a GPD limit, so all large losses can be used. Davison and Smith (1990) made POT the standard method; McNeil (1997) and McNeil and Frey (2000) brought it to finance.</w:t>
      </w:r>
    </w:p>
    <w:p>
      <w:pPr>
        <w:pStyle w:val="BodyText"/>
      </w:pPr>
      <w:r>
        <w:rPr>
          <w:bCs/>
          <w:b/>
        </w:rPr>
        <w:t xml:space="preserve">3. Maths.</w:t>
      </w:r>
    </w:p>
    <w:p>
      <w:pPr>
        <w:pStyle w:val="BodyText"/>
      </w:pPr>
      <w:r>
        <w:rPr>
          <w:bCs/>
          <w:b/>
        </w:rPr>
        <w:t xml:space="preserve">Variables:</w:t>
      </w:r>
    </w:p>
    <w:p>
      <w:pPr>
        <w:numPr>
          <w:ilvl w:val="0"/>
          <w:numId w:val="1017"/>
        </w:numPr>
        <w:pStyle w:val="Compact"/>
      </w:pPr>
      <m:oMath>
        <m:r>
          <m:t>u</m:t>
        </m:r>
      </m:oMath>
      <w:r>
        <w:t xml:space="preserve">: threshold;</w:t>
      </w:r>
      <w:r>
        <w:t xml:space="preserve"> </w:t>
      </w:r>
      <m:oMath>
        <m:sSub>
          <m:e>
            <m:r>
              <m:t>N</m:t>
            </m:r>
          </m:e>
          <m:sub>
            <m:r>
              <m:t>u</m:t>
            </m:r>
          </m:sub>
        </m:sSub>
      </m:oMath>
      <w:r>
        <w:t xml:space="preserve">: number of losses above</w:t>
      </w:r>
      <w:r>
        <w:t xml:space="preserve"> </w:t>
      </w:r>
      <w:r>
        <w:rPr>
          <w:iCs/>
          <w:i/>
        </w:rPr>
        <w:t xml:space="preserve">u</w:t>
      </w:r>
      <w:r>
        <w:t xml:space="preserve">;</w:t>
      </w:r>
      <w:r>
        <w:t xml:space="preserve"> </w:t>
      </w:r>
      <m:oMath>
        <m:r>
          <m:t>n</m:t>
        </m:r>
      </m:oMath>
      <w:r>
        <w:t xml:space="preserve">: sample size.</w:t>
      </w:r>
    </w:p>
    <w:p>
      <w:pPr>
        <w:numPr>
          <w:ilvl w:val="0"/>
          <w:numId w:val="1017"/>
        </w:numPr>
        <w:pStyle w:val="Compact"/>
      </w:pPr>
      <m:oMath>
        <m:sSub>
          <m:e>
            <m:r>
              <m:t>y</m:t>
            </m:r>
          </m:e>
          <m:sub>
            <m:r>
              <m:t>i</m:t>
            </m:r>
          </m:sub>
        </m:sSub>
        <m:r>
          <m:rPr>
            <m:sty m:val="p"/>
          </m:rPr>
          <m:t>=</m:t>
        </m:r>
        <m:sSub>
          <m:e>
            <m:r>
              <m:t>x</m:t>
            </m:r>
          </m:e>
          <m:sub>
            <m:r>
              <m:t>i</m:t>
            </m:r>
          </m:sub>
        </m:sSub>
        <m:r>
          <m:rPr>
            <m:sty m:val="p"/>
          </m:rPr>
          <m:t>−</m:t>
        </m:r>
        <m:r>
          <m:t>u</m:t>
        </m:r>
        <m:r>
          <m:rPr>
            <m:sty m:val="p"/>
          </m:rPr>
          <m:t>&gt;</m:t>
        </m:r>
        <m:r>
          <m:t>0</m:t>
        </m:r>
      </m:oMath>
      <w:r>
        <w:t xml:space="preserve">: excesses.</w:t>
      </w:r>
    </w:p>
    <w:p>
      <w:pPr>
        <w:numPr>
          <w:ilvl w:val="0"/>
          <w:numId w:val="1017"/>
        </w:numPr>
        <w:pStyle w:val="Compact"/>
      </w:pPr>
      <m:oMath>
        <m:r>
          <m:t>ξ</m:t>
        </m:r>
      </m:oMath>
      <w:r>
        <w:t xml:space="preserve">: shape (the same ξ as in B1–B2);</w:t>
      </w:r>
      <w:r>
        <w:t xml:space="preserve"> </w:t>
      </w:r>
      <m:oMath>
        <m:r>
          <m:t>β</m:t>
        </m:r>
        <m:r>
          <m:rPr>
            <m:sty m:val="p"/>
          </m:rPr>
          <m:t>&gt;</m:t>
        </m:r>
        <m:r>
          <m:t>0</m:t>
        </m:r>
      </m:oMath>
      <w:r>
        <w:t xml:space="preserve">: scale (in % of loss).</w:t>
      </w:r>
    </w:p>
    <w:p>
      <w:pPr>
        <w:pStyle w:val="FirstParagraph"/>
      </w:pPr>
      <w:r>
        <w:rPr>
          <w:bCs/>
          <w:b/>
        </w:rPr>
        <w:t xml:space="preserve">Equation 10 – Excess distribution and its limit (Pickands–Balkema–de Haan):</w:t>
      </w:r>
    </w:p>
    <w:p>
      <w:pPr>
        <w:pStyle w:val="BodyText"/>
      </w:pPr>
      <m:oMathPara>
        <m:oMathParaPr>
          <m:jc m:val="center"/>
        </m:oMathParaPr>
        <m:oMath>
          <m:sSub>
            <m:e>
              <m:r>
                <m:t>F</m:t>
              </m:r>
            </m:e>
            <m:sub>
              <m:r>
                <m:t>u</m:t>
              </m:r>
            </m:sub>
          </m:sSub>
          <m:d>
            <m:dPr>
              <m:begChr m:val="("/>
              <m:sepChr m:val=""/>
              <m:endChr m:val=")"/>
              <m:grow/>
            </m:dPr>
            <m:e>
              <m:r>
                <m:t>y</m:t>
              </m:r>
            </m:e>
          </m:d>
          <m:r>
            <m:rPr>
              <m:sty m:val="p"/>
            </m:rPr>
            <m:t>=</m:t>
          </m:r>
          <m:r>
            <m:t>P</m:t>
          </m:r>
          <m:d>
            <m:dPr>
              <m:begChr m:val="("/>
              <m:sepChr m:val=""/>
              <m:endChr m:val=")"/>
              <m:grow/>
            </m:dPr>
            <m:e>
              <m:r>
                <m:t>X</m:t>
              </m:r>
              <m:r>
                <m:rPr>
                  <m:sty m:val="p"/>
                </m:rPr>
                <m:t>−</m:t>
              </m:r>
              <m:r>
                <m:t>u</m:t>
              </m:r>
              <m:r>
                <m:rPr>
                  <m:sty m:val="p"/>
                </m:rPr>
                <m:t>≤</m:t>
              </m:r>
              <m:r>
                <m:t>y</m:t>
              </m:r>
              <m:r>
                <m:rPr>
                  <m:sty m:val="p"/>
                </m:rPr>
                <m:t>∣</m:t>
              </m:r>
              <m:r>
                <m:t>X</m:t>
              </m:r>
              <m:r>
                <m:rPr>
                  <m:sty m:val="p"/>
                </m:rPr>
                <m:t>&gt;</m:t>
              </m:r>
              <m:r>
                <m:t>u</m:t>
              </m:r>
            </m:e>
          </m:d>
          <m:r>
            <m:rPr>
              <m:sty m:val="p"/>
            </m:rPr>
            <m:t>≈</m:t>
          </m:r>
          <m:sSub>
            <m:e>
              <m:r>
                <m:t>G</m:t>
              </m:r>
            </m:e>
            <m:sub>
              <m:r>
                <m:t>ξ</m:t>
              </m:r>
              <m:r>
                <m:rPr>
                  <m:sty m:val="p"/>
                </m:rPr>
                <m:t>,</m:t>
              </m:r>
              <m:r>
                <m:t>β</m:t>
              </m:r>
            </m:sub>
          </m:sSub>
          <m:d>
            <m:dPr>
              <m:begChr m:val="("/>
              <m:sepChr m:val=""/>
              <m:endChr m:val=")"/>
              <m:grow/>
            </m:dPr>
            <m:e>
              <m:r>
                <m:t>y</m:t>
              </m:r>
            </m:e>
          </m:d>
          <m:r>
            <m:rPr>
              <m:sty m:val="p"/>
            </m:rPr>
            <m:t>=</m:t>
          </m:r>
          <m:r>
            <m:t>1</m:t>
          </m:r>
          <m:r>
            <m:rPr>
              <m:sty m:val="p"/>
            </m:rPr>
            <m:t>−</m:t>
          </m:r>
          <m:sSup>
            <m:e>
              <m:d>
                <m:dPr>
                  <m:begChr m:val="("/>
                  <m:sepChr m:val=""/>
                  <m:endChr m:val=")"/>
                  <m:grow/>
                </m:dPr>
                <m:e>
                  <m:r>
                    <m:t>1</m:t>
                  </m:r>
                  <m:r>
                    <m:rPr>
                      <m:sty m:val="p"/>
                    </m:rPr>
                    <m:t>+</m:t>
                  </m:r>
                  <m:f>
                    <m:fPr>
                      <m:type m:val="bar"/>
                    </m:fPr>
                    <m:num>
                      <m:r>
                        <m:t>ξ</m:t>
                      </m:r>
                      <m:r>
                        <m:t>y</m:t>
                      </m:r>
                    </m:num>
                    <m:den>
                      <m:r>
                        <m:t>β</m:t>
                      </m:r>
                    </m:den>
                  </m:f>
                </m:e>
              </m:d>
            </m:e>
            <m:sup>
              <m:r>
                <m:rPr>
                  <m:sty m:val="p"/>
                </m:rPr>
                <m:t>−</m:t>
              </m:r>
              <m:r>
                <m:t>1</m:t>
              </m:r>
              <m:r>
                <m:rPr>
                  <m:sty m:val="p"/>
                </m:rPr>
                <m:t>/</m:t>
              </m:r>
              <m:r>
                <m:t>ξ</m:t>
              </m:r>
            </m:sup>
          </m:sSup>
          <m:r>
            <m:rPr>
              <m:sty m:val="p"/>
            </m:rPr>
            <m:t>,</m:t>
          </m:r>
          <m:r>
            <m:t> </m:t>
          </m:r>
          <m:r>
            <m:t>y</m:t>
          </m:r>
          <m:r>
            <m:rPr>
              <m:sty m:val="p"/>
            </m:rPr>
            <m:t>≥</m:t>
          </m:r>
          <m:r>
            <m:t>0</m:t>
          </m:r>
          <m:r>
            <m:rPr>
              <m:sty m:val="p"/>
            </m:rPr>
            <m:t>.</m:t>
          </m:r>
        </m:oMath>
      </m:oMathPara>
    </w:p>
    <w:p>
      <w:pPr>
        <w:pStyle w:val="FirstParagraph"/>
      </w:pPr>
      <w:r>
        <w:rPr>
          <w:iCs/>
          <w:i/>
        </w:rPr>
        <w:t xml:space="preserve">Definition:</w:t>
      </w:r>
      <w:r>
        <w:t xml:space="preserve"> </w:t>
      </w:r>
      <w:r>
        <w:t xml:space="preserve">for a high enough threshold, the distribution of the excess is a GPD. ξ &gt; 0: Pareto-type power tail; ξ = 0: exponential,</w:t>
      </w:r>
      <w:r>
        <w:t xml:space="preserve"> </w:t>
      </w:r>
      <m:oMath>
        <m:r>
          <m:t>1</m:t>
        </m:r>
        <m:r>
          <m:rPr>
            <m:sty m:val="p"/>
          </m:rPr>
          <m:t>−</m:t>
        </m:r>
        <m:sSup>
          <m:e>
            <m:r>
              <m:t>e</m:t>
            </m:r>
          </m:e>
          <m:sup>
            <m:r>
              <m:rPr>
                <m:sty m:val="p"/>
              </m:rPr>
              <m:t>−</m:t>
            </m:r>
            <m:r>
              <m:t>y</m:t>
            </m:r>
            <m:r>
              <m:rPr>
                <m:sty m:val="p"/>
              </m:rPr>
              <m:t>/</m:t>
            </m:r>
            <m:r>
              <m:t>β</m:t>
            </m:r>
          </m:sup>
        </m:sSup>
      </m:oMath>
      <w:r>
        <w:t xml:space="preserve">; ξ &lt; 0: bounded.</w:t>
      </w:r>
    </w:p>
    <w:p>
      <w:pPr>
        <w:pStyle w:val="BodyText"/>
      </w:pPr>
      <w:r>
        <w:rPr>
          <w:bCs/>
          <w:b/>
        </w:rPr>
        <w:t xml:space="preserve">Equation 11 – Log-likelihood of the excesses:</w:t>
      </w:r>
    </w:p>
    <w:p>
      <w:pPr>
        <w:pStyle w:val="BodyText"/>
      </w:pPr>
      <m:oMathPara>
        <m:oMathParaPr>
          <m:jc m:val="center"/>
        </m:oMathParaPr>
        <m:oMath>
          <m:r>
            <m:rPr>
              <m:sty m:val="p"/>
            </m:rPr>
            <m:t>ℓ</m:t>
          </m:r>
          <m:d>
            <m:dPr>
              <m:begChr m:val="("/>
              <m:sepChr m:val=""/>
              <m:endChr m:val=")"/>
              <m:grow/>
            </m:dPr>
            <m:e>
              <m:r>
                <m:t>ξ</m:t>
              </m:r>
              <m:r>
                <m:rPr>
                  <m:sty m:val="p"/>
                </m:rPr>
                <m:t>,</m:t>
              </m:r>
              <m:r>
                <m:t>β</m:t>
              </m:r>
            </m:e>
          </m:d>
          <m:r>
            <m:rPr>
              <m:sty m:val="p"/>
            </m:rPr>
            <m:t>=</m:t>
          </m:r>
          <m:r>
            <m:rPr>
              <m:sty m:val="p"/>
            </m:rPr>
            <m:t>−</m:t>
          </m:r>
          <m:sSub>
            <m:e>
              <m:r>
                <m:t>N</m:t>
              </m:r>
            </m:e>
            <m:sub>
              <m:r>
                <m:t>u</m:t>
              </m:r>
            </m:sub>
          </m:sSub>
          <m:r>
            <m:rPr>
              <m:sty m:val="p"/>
            </m:rPr>
            <m:t>ln</m:t>
          </m:r>
          <m:r>
            <m:t>β</m:t>
          </m:r>
          <m:r>
            <m:rPr>
              <m:sty m:val="p"/>
            </m:rPr>
            <m:t>−</m:t>
          </m:r>
          <m:d>
            <m:dPr>
              <m:begChr m:val="("/>
              <m:sepChr m:val=""/>
              <m:endChr m:val=")"/>
              <m:grow/>
            </m:dPr>
            <m:e>
              <m:r>
                <m:t>1</m:t>
              </m:r>
              <m:r>
                <m:rPr>
                  <m:sty m:val="p"/>
                </m:rPr>
                <m:t>+</m:t>
              </m:r>
              <m:f>
                <m:fPr>
                  <m:type m:val="bar"/>
                </m:fPr>
                <m:num>
                  <m:r>
                    <m:t>1</m:t>
                  </m:r>
                </m:num>
                <m:den>
                  <m:r>
                    <m:t>ξ</m:t>
                  </m:r>
                </m:den>
              </m:f>
            </m:e>
          </m:d>
          <m:nary>
            <m:naryPr>
              <m:chr m:val="∑"/>
              <m:limLoc m:val="undOvr"/>
              <m:subHide m:val="off"/>
              <m:supHide m:val="off"/>
            </m:naryPr>
            <m:sub>
              <m:r>
                <m:t>i</m:t>
              </m:r>
              <m:r>
                <m:rPr>
                  <m:sty m:val="p"/>
                </m:rPr>
                <m:t>=</m:t>
              </m:r>
              <m:r>
                <m:t>1</m:t>
              </m:r>
            </m:sub>
            <m:sup>
              <m:sSub>
                <m:e>
                  <m:r>
                    <m:t>N</m:t>
                  </m:r>
                </m:e>
                <m:sub>
                  <m:r>
                    <m:t>u</m:t>
                  </m:r>
                </m:sub>
              </m:sSub>
            </m:sup>
            <m:e>
              <m:r>
                <m:rPr>
                  <m:sty m:val="p"/>
                </m:rPr>
                <m:t>ln</m:t>
              </m:r>
            </m:e>
          </m:nary>
          <m:d>
            <m:dPr>
              <m:begChr m:val="("/>
              <m:sepChr m:val=""/>
              <m:endChr m:val=")"/>
              <m:grow/>
            </m:dPr>
            <m:e>
              <m:r>
                <m:t>1</m:t>
              </m:r>
              <m:r>
                <m:rPr>
                  <m:sty m:val="p"/>
                </m:rPr>
                <m:t>+</m:t>
              </m:r>
              <m:f>
                <m:fPr>
                  <m:type m:val="bar"/>
                </m:fPr>
                <m:num>
                  <m:r>
                    <m:t>ξ</m:t>
                  </m:r>
                  <m:sSub>
                    <m:e>
                      <m:r>
                        <m:t>y</m:t>
                      </m:r>
                    </m:e>
                    <m:sub>
                      <m:r>
                        <m:t>i</m:t>
                      </m:r>
                    </m:sub>
                  </m:sSub>
                </m:num>
                <m:den>
                  <m:r>
                    <m:t>β</m:t>
                  </m:r>
                </m:den>
              </m:f>
            </m:e>
          </m:d>
          <m:r>
            <m:rPr>
              <m:sty m:val="p"/>
            </m:rPr>
            <m:t>.</m:t>
          </m:r>
        </m:oMath>
      </m:oMathPara>
    </w:p>
    <w:p>
      <w:pPr>
        <w:pStyle w:val="FirstParagraph"/>
      </w:pPr>
      <w:r>
        <w:rPr>
          <w:iCs/>
          <w:i/>
        </w:rPr>
        <w:t xml:space="preserve">Definition:</w:t>
      </w:r>
      <w:r>
        <w:t xml:space="preserve"> </w:t>
      </w:r>
      <w:r>
        <w:t xml:space="preserve">maximised over ξ and β (numerically) to fit the GPD. Standard errors come from the inverse Hessian (the observed information).</w:t>
      </w:r>
    </w:p>
    <w:p>
      <w:pPr>
        <w:pStyle w:val="BodyText"/>
      </w:pPr>
      <w:r>
        <w:rPr>
          <w:bCs/>
          <w:b/>
        </w:rPr>
        <w:t xml:space="preserve">Equation 12 – Tail estimator:</w:t>
      </w:r>
    </w:p>
    <w:p>
      <w:pPr>
        <w:pStyle w:val="BodyText"/>
      </w:pPr>
      <m:oMathPara>
        <m:oMathParaPr>
          <m:jc m:val="center"/>
        </m:oMathParaPr>
        <m:oMath>
          <m:acc>
            <m:accPr>
              <m:chr m:val="̂"/>
            </m:accPr>
            <m:e>
              <m:acc>
                <m:accPr>
                  <m:chr m:val="‾"/>
                </m:accPr>
                <m:e>
                  <m:r>
                    <m:t>F</m:t>
                  </m:r>
                </m:e>
              </m:acc>
            </m:e>
          </m:acc>
          <m:d>
            <m:dPr>
              <m:begChr m:val="("/>
              <m:sepChr m:val=""/>
              <m:endChr m:val=")"/>
              <m:grow/>
            </m:dPr>
            <m:e>
              <m:r>
                <m:t>x</m:t>
              </m:r>
            </m:e>
          </m:d>
          <m:r>
            <m:rPr>
              <m:sty m:val="p"/>
            </m:rPr>
            <m:t>=</m:t>
          </m:r>
          <m:f>
            <m:fPr>
              <m:type m:val="bar"/>
            </m:fPr>
            <m:num>
              <m:sSub>
                <m:e>
                  <m:r>
                    <m:t>N</m:t>
                  </m:r>
                </m:e>
                <m:sub>
                  <m:r>
                    <m:t>u</m:t>
                  </m:r>
                </m:sub>
              </m:sSub>
            </m:num>
            <m:den>
              <m:r>
                <m:t>n</m:t>
              </m:r>
            </m:den>
          </m:f>
          <m:sSup>
            <m:e>
              <m:d>
                <m:dPr>
                  <m:begChr m:val="("/>
                  <m:sepChr m:val=""/>
                  <m:endChr m:val=")"/>
                  <m:grow/>
                </m:dPr>
                <m:e>
                  <m:r>
                    <m:t>1</m:t>
                  </m:r>
                  <m:r>
                    <m:rPr>
                      <m:sty m:val="p"/>
                    </m:rPr>
                    <m:t>+</m:t>
                  </m:r>
                  <m:acc>
                    <m:accPr>
                      <m:chr m:val="̂"/>
                    </m:accPr>
                    <m:e>
                      <m:r>
                        <m:t>ξ</m:t>
                      </m:r>
                    </m:e>
                  </m:acc>
                  <m:r>
                    <m:t> </m:t>
                  </m:r>
                  <m:f>
                    <m:fPr>
                      <m:type m:val="bar"/>
                    </m:fPr>
                    <m:num>
                      <m:r>
                        <m:t>x</m:t>
                      </m:r>
                      <m:r>
                        <m:rPr>
                          <m:sty m:val="p"/>
                        </m:rPr>
                        <m:t>−</m:t>
                      </m:r>
                      <m:r>
                        <m:t>u</m:t>
                      </m:r>
                    </m:num>
                    <m:den>
                      <m:acc>
                        <m:accPr>
                          <m:chr m:val="̂"/>
                        </m:accPr>
                        <m:e>
                          <m:r>
                            <m:t>β</m:t>
                          </m:r>
                        </m:e>
                      </m:acc>
                    </m:den>
                  </m:f>
                </m:e>
              </m:d>
            </m:e>
            <m:sup>
              <m:r>
                <m:rPr>
                  <m:sty m:val="p"/>
                </m:rPr>
                <m:t>−</m:t>
              </m:r>
              <m:r>
                <m:t>1</m:t>
              </m:r>
              <m:r>
                <m:rPr>
                  <m:sty m:val="p"/>
                </m:rPr>
                <m:t>/</m:t>
              </m:r>
              <m:acc>
                <m:accPr>
                  <m:chr m:val="̂"/>
                </m:accPr>
                <m:e>
                  <m:r>
                    <m:t>ξ</m:t>
                  </m:r>
                </m:e>
              </m:acc>
            </m:sup>
          </m:sSup>
          <m:r>
            <m:rPr>
              <m:sty m:val="p"/>
            </m:rPr>
            <m:t>,</m:t>
          </m:r>
          <m:r>
            <m:t> </m:t>
          </m:r>
          <m:r>
            <m:t>x</m:t>
          </m:r>
          <m:r>
            <m:rPr>
              <m:sty m:val="p"/>
            </m:rPr>
            <m:t>&gt;</m:t>
          </m:r>
          <m:r>
            <m:t>u</m:t>
          </m:r>
          <m:r>
            <m:rPr>
              <m:sty m:val="p"/>
            </m:rPr>
            <m:t>.</m:t>
          </m:r>
        </m:oMath>
      </m:oMathPara>
    </w:p>
    <w:p>
      <w:pPr>
        <w:pStyle w:val="FirstParagraph"/>
      </w:pPr>
      <w:r>
        <w:rPr>
          <w:iCs/>
          <w:i/>
        </w:rPr>
        <w:t xml:space="preserve">Definition:</w:t>
      </w:r>
      <w:r>
        <w:t xml:space="preserve"> </w:t>
      </w:r>
      <w:r>
        <w:t xml:space="preserve">probability of a loss larger than</w:t>
      </w:r>
      <w:r>
        <w:t xml:space="preserve"> </w:t>
      </w:r>
      <w:r>
        <w:rPr>
          <w:iCs/>
          <w:i/>
        </w:rPr>
        <w:t xml:space="preserve">x</w:t>
      </w:r>
      <w:r>
        <w:t xml:space="preserve">: (probability of exceeding</w:t>
      </w:r>
      <w:r>
        <w:t xml:space="preserve"> </w:t>
      </w:r>
      <w:r>
        <w:rPr>
          <w:iCs/>
          <w:i/>
        </w:rPr>
        <w:t xml:space="preserve">u</w:t>
      </w:r>
      <w:r>
        <w:t xml:space="preserve">, estimated empirically) × (GPD probability of exceeding</w:t>
      </w:r>
      <w:r>
        <w:t xml:space="preserve"> </w:t>
      </w:r>
      <w:r>
        <w:rPr>
          <w:iCs/>
          <w:i/>
        </w:rPr>
        <w:t xml:space="preserve">x</w:t>
      </w:r>
      <w:r>
        <w:t xml:space="preserve"> </w:t>
      </w:r>
      <w:r>
        <w:t xml:space="preserve">given that</w:t>
      </w:r>
      <w:r>
        <w:t xml:space="preserve"> </w:t>
      </w:r>
      <w:r>
        <w:rPr>
          <w:iCs/>
          <w:i/>
        </w:rPr>
        <w:t xml:space="preserve">u</w:t>
      </w:r>
      <w:r>
        <w:t xml:space="preserve"> </w:t>
      </w:r>
      <w:r>
        <w:t xml:space="preserve">is exceeded).</w:t>
      </w:r>
    </w:p>
    <w:p>
      <w:pPr>
        <w:pStyle w:val="BodyText"/>
      </w:pPr>
      <w:r>
        <w:rPr>
          <w:bCs/>
          <w:b/>
        </w:rPr>
        <w:t xml:space="preserve">Equation 13 – GPD VaR:</w:t>
      </w:r>
    </w:p>
    <w:p>
      <w:pPr>
        <w:pStyle w:val="BodyText"/>
      </w:pPr>
      <m:oMathPara>
        <m:oMathParaPr>
          <m:jc m:val="center"/>
        </m:oMathParaPr>
        <m:oMath>
          <m:sSub>
            <m:e>
              <m:acc>
                <m:accPr>
                  <m:chr m:val="̂"/>
                </m:accPr>
                <m:e>
                  <m:r>
                    <m:rPr>
                      <m:nor/>
                    </m:rPr>
                    <m:t>VaR</m:t>
                  </m:r>
                </m:e>
              </m:acc>
            </m:e>
            <m:sub>
              <m:r>
                <m:t>q</m:t>
              </m:r>
            </m:sub>
          </m:sSub>
          <m:r>
            <m:rPr>
              <m:sty m:val="p"/>
            </m:rPr>
            <m:t>=</m:t>
          </m:r>
          <m:r>
            <m:t>u</m:t>
          </m:r>
          <m:r>
            <m:rPr>
              <m:sty m:val="p"/>
            </m:rPr>
            <m:t>+</m:t>
          </m:r>
          <m:f>
            <m:fPr>
              <m:type m:val="bar"/>
            </m:fPr>
            <m:num>
              <m:acc>
                <m:accPr>
                  <m:chr m:val="̂"/>
                </m:accPr>
                <m:e>
                  <m:r>
                    <m:t>β</m:t>
                  </m:r>
                </m:e>
              </m:acc>
            </m:num>
            <m:den>
              <m:acc>
                <m:accPr>
                  <m:chr m:val="̂"/>
                </m:accPr>
                <m:e>
                  <m:r>
                    <m:t>ξ</m:t>
                  </m:r>
                </m:e>
              </m:acc>
            </m:den>
          </m:f>
          <m:d>
            <m:dPr>
              <m:begChr m:val="["/>
              <m:sepChr m:val=""/>
              <m:endChr m:val="]"/>
              <m:grow/>
            </m:dPr>
            <m:e>
              <m:sSup>
                <m:e>
                  <m:d>
                    <m:dPr>
                      <m:begChr m:val="("/>
                      <m:sepChr m:val=""/>
                      <m:endChr m:val=")"/>
                      <m:grow/>
                    </m:dPr>
                    <m:e>
                      <m:f>
                        <m:fPr>
                          <m:type m:val="bar"/>
                        </m:fPr>
                        <m:num>
                          <m:r>
                            <m:t>n</m:t>
                          </m:r>
                        </m:num>
                        <m:den>
                          <m:sSub>
                            <m:e>
                              <m:r>
                                <m:t>N</m:t>
                              </m:r>
                            </m:e>
                            <m:sub>
                              <m:r>
                                <m:t>u</m:t>
                              </m:r>
                            </m:sub>
                          </m:sSub>
                        </m:den>
                      </m:f>
                      <m:d>
                        <m:dPr>
                          <m:begChr m:val="("/>
                          <m:sepChr m:val=""/>
                          <m:endChr m:val=")"/>
                          <m:grow/>
                        </m:dPr>
                        <m:e>
                          <m:r>
                            <m:t>1</m:t>
                          </m:r>
                          <m:r>
                            <m:rPr>
                              <m:sty m:val="p"/>
                            </m:rPr>
                            <m:t>−</m:t>
                          </m:r>
                          <m:r>
                            <m:t>q</m:t>
                          </m:r>
                        </m:e>
                      </m:d>
                    </m:e>
                  </m:d>
                </m:e>
                <m:sup>
                  <m:r>
                    <m:rPr>
                      <m:sty m:val="p"/>
                    </m:rPr>
                    <m:t>−</m:t>
                  </m:r>
                  <m:acc>
                    <m:accPr>
                      <m:chr m:val="̂"/>
                    </m:accPr>
                    <m:e>
                      <m:r>
                        <m:t>ξ</m:t>
                      </m:r>
                    </m:e>
                  </m:acc>
                </m:sup>
              </m:sSup>
              <m:r>
                <m:rPr>
                  <m:sty m:val="p"/>
                </m:rPr>
                <m:t>−</m:t>
              </m:r>
              <m:r>
                <m:t>1</m:t>
              </m:r>
            </m:e>
          </m:d>
          <m:r>
            <m:rPr>
              <m:sty m:val="p"/>
            </m:rPr>
            <m:t>.</m:t>
          </m:r>
        </m:oMath>
      </m:oMathPara>
    </w:p>
    <w:p>
      <w:pPr>
        <w:pStyle w:val="FirstParagraph"/>
      </w:pPr>
      <w:r>
        <w:rPr>
          <w:iCs/>
          <w:i/>
        </w:rPr>
        <w:t xml:space="preserve">Definition:</w:t>
      </w:r>
      <w:r>
        <w:t xml:space="preserve"> </w:t>
      </w:r>
      <w:r>
        <w:t xml:space="preserve">Equation 12 solved for the loss whose exceedance probability is</w:t>
      </w:r>
      <w:r>
        <w:t xml:space="preserve"> </w:t>
      </w:r>
      <m:oMath>
        <m:r>
          <m:t>1</m:t>
        </m:r>
        <m:r>
          <m:rPr>
            <m:sty m:val="p"/>
          </m:rPr>
          <m:t>−</m:t>
        </m:r>
        <m:r>
          <m:t>q</m:t>
        </m:r>
      </m:oMath>
      <w:r>
        <w:t xml:space="preserve">.</w:t>
      </w:r>
    </w:p>
    <w:p>
      <w:pPr>
        <w:pStyle w:val="BodyText"/>
      </w:pPr>
      <w:r>
        <w:rPr>
          <w:bCs/>
          <w:b/>
        </w:rPr>
        <w:t xml:space="preserve">Equation 14 – GPD ES (for ξ &lt; 1):</w:t>
      </w:r>
    </w:p>
    <w:p>
      <w:pPr>
        <w:pStyle w:val="BodyText"/>
      </w:pPr>
      <m:oMathPara>
        <m:oMathParaPr>
          <m:jc m:val="center"/>
        </m:oMathParaPr>
        <m:oMath>
          <m:sSub>
            <m:e>
              <m:acc>
                <m:accPr>
                  <m:chr m:val="̂"/>
                </m:accPr>
                <m:e>
                  <m:r>
                    <m:rPr>
                      <m:nor/>
                    </m:rPr>
                    <m:t>ES</m:t>
                  </m:r>
                </m:e>
              </m:acc>
            </m:e>
            <m:sub>
              <m:r>
                <m:t>q</m:t>
              </m:r>
            </m:sub>
          </m:sSub>
          <m:r>
            <m:rPr>
              <m:sty m:val="p"/>
            </m:rPr>
            <m:t>=</m:t>
          </m:r>
          <m:f>
            <m:fPr>
              <m:type m:val="bar"/>
            </m:fPr>
            <m:num>
              <m:sSub>
                <m:e>
                  <m:acc>
                    <m:accPr>
                      <m:chr m:val="̂"/>
                    </m:accPr>
                    <m:e>
                      <m:r>
                        <m:rPr>
                          <m:nor/>
                        </m:rPr>
                        <m:t>VaR</m:t>
                      </m:r>
                    </m:e>
                  </m:acc>
                </m:e>
                <m:sub>
                  <m:r>
                    <m:t>q</m:t>
                  </m:r>
                </m:sub>
              </m:sSub>
            </m:num>
            <m:den>
              <m:r>
                <m:t>1</m:t>
              </m:r>
              <m:r>
                <m:rPr>
                  <m:sty m:val="p"/>
                </m:rPr>
                <m:t>−</m:t>
              </m:r>
              <m:acc>
                <m:accPr>
                  <m:chr m:val="̂"/>
                </m:accPr>
                <m:e>
                  <m:r>
                    <m:t>ξ</m:t>
                  </m:r>
                </m:e>
              </m:acc>
            </m:den>
          </m:f>
          <m:r>
            <m:rPr>
              <m:sty m:val="p"/>
            </m:rPr>
            <m:t>+</m:t>
          </m:r>
          <m:f>
            <m:fPr>
              <m:type m:val="bar"/>
            </m:fPr>
            <m:num>
              <m:acc>
                <m:accPr>
                  <m:chr m:val="̂"/>
                </m:accPr>
                <m:e>
                  <m:r>
                    <m:t>β</m:t>
                  </m:r>
                </m:e>
              </m:acc>
              <m:r>
                <m:rPr>
                  <m:sty m:val="p"/>
                </m:rPr>
                <m:t>−</m:t>
              </m:r>
              <m:acc>
                <m:accPr>
                  <m:chr m:val="̂"/>
                </m:accPr>
                <m:e>
                  <m:r>
                    <m:t>ξ</m:t>
                  </m:r>
                </m:e>
              </m:acc>
              <m:r>
                <m:t>u</m:t>
              </m:r>
            </m:num>
            <m:den>
              <m:r>
                <m:t>1</m:t>
              </m:r>
              <m:r>
                <m:rPr>
                  <m:sty m:val="p"/>
                </m:rPr>
                <m:t>−</m:t>
              </m:r>
              <m:acc>
                <m:accPr>
                  <m:chr m:val="̂"/>
                </m:accPr>
                <m:e>
                  <m:r>
                    <m:t>ξ</m:t>
                  </m:r>
                </m:e>
              </m:acc>
            </m:den>
          </m:f>
          <m:r>
            <m:rPr>
              <m:sty m:val="p"/>
            </m:rPr>
            <m:t>.</m:t>
          </m:r>
        </m:oMath>
      </m:oMathPara>
    </w:p>
    <w:p>
      <w:pPr>
        <w:pStyle w:val="FirstParagraph"/>
      </w:pPr>
      <w:r>
        <w:rPr>
          <w:iCs/>
          <w:i/>
        </w:rPr>
        <w:t xml:space="preserve">Definition:</w:t>
      </w:r>
      <w:r>
        <w:t xml:space="preserve"> </w:t>
      </w:r>
      <w:r>
        <w:t xml:space="preserve">uses the fact that the excesses over a higher threshold are again GPD with the same ξ.</w:t>
      </w:r>
    </w:p>
    <w:p>
      <w:pPr>
        <w:pStyle w:val="BodyText"/>
      </w:pPr>
      <w:r>
        <w:rPr>
          <w:bCs/>
          <w:b/>
        </w:rPr>
        <w:t xml:space="preserve">Equation 15 – Mean excess function:</w:t>
      </w:r>
    </w:p>
    <w:p>
      <w:pPr>
        <w:pStyle w:val="BodyText"/>
      </w:pPr>
      <m:oMathPara>
        <m:oMathParaPr>
          <m:jc m:val="center"/>
        </m:oMathParaPr>
        <m:oMath>
          <m:r>
            <m:t>e</m:t>
          </m:r>
          <m:d>
            <m:dPr>
              <m:begChr m:val="("/>
              <m:sepChr m:val=""/>
              <m:endChr m:val=")"/>
              <m:grow/>
            </m:dPr>
            <m:e>
              <m:r>
                <m:t>u</m:t>
              </m:r>
            </m:e>
          </m:d>
          <m:r>
            <m:rPr>
              <m:sty m:val="p"/>
            </m:rPr>
            <m:t>=</m:t>
          </m:r>
          <m:r>
            <m:t>E</m:t>
          </m:r>
          <m:d>
            <m:dPr>
              <m:begChr m:val="["/>
              <m:sepChr m:val=""/>
              <m:endChr m:val="]"/>
              <m:grow/>
            </m:dPr>
            <m:e>
              <m:r>
                <m:t>X</m:t>
              </m:r>
              <m:r>
                <m:rPr>
                  <m:sty m:val="p"/>
                </m:rPr>
                <m:t>−</m:t>
              </m:r>
              <m:r>
                <m:t>u</m:t>
              </m:r>
              <m:r>
                <m:rPr>
                  <m:sty m:val="p"/>
                </m:rPr>
                <m:t>∣</m:t>
              </m:r>
              <m:r>
                <m:t>X</m:t>
              </m:r>
              <m:r>
                <m:rPr>
                  <m:sty m:val="p"/>
                </m:rPr>
                <m:t>&gt;</m:t>
              </m:r>
              <m:r>
                <m:t>u</m:t>
              </m:r>
            </m:e>
          </m:d>
          <m:r>
            <m:rPr>
              <m:sty m:val="p"/>
            </m:rPr>
            <m:t>=</m:t>
          </m:r>
          <m:f>
            <m:fPr>
              <m:type m:val="bar"/>
            </m:fPr>
            <m:num>
              <m:r>
                <m:t>β</m:t>
              </m:r>
              <m:r>
                <m:rPr>
                  <m:sty m:val="p"/>
                </m:rPr>
                <m:t>+</m:t>
              </m:r>
              <m:r>
                <m:t>ξ</m:t>
              </m:r>
              <m:r>
                <m:t>u</m:t>
              </m:r>
            </m:num>
            <m:den>
              <m:r>
                <m:t>1</m:t>
              </m:r>
              <m:r>
                <m:rPr>
                  <m:sty m:val="p"/>
                </m:rPr>
                <m:t>−</m:t>
              </m:r>
              <m:r>
                <m:t>ξ</m:t>
              </m:r>
            </m:den>
          </m:f>
          <m:r>
            <m:rPr>
              <m:sty m:val="p"/>
            </m:rPr>
            <m:t>.</m:t>
          </m:r>
        </m:oMath>
      </m:oMathPara>
    </w:p>
    <w:p>
      <w:pPr>
        <w:pStyle w:val="FirstParagraph"/>
      </w:pPr>
      <w:r>
        <w:rPr>
          <w:iCs/>
          <w:i/>
        </w:rPr>
        <w:t xml:space="preserve">Definition:</w:t>
      </w:r>
      <w:r>
        <w:t xml:space="preserve"> </w:t>
      </w:r>
      <w:r>
        <w:t xml:space="preserve">for a GPD tail the mean excess is a</w:t>
      </w:r>
      <w:r>
        <w:t xml:space="preserve"> </w:t>
      </w:r>
      <w:r>
        <w:rPr>
          <w:bCs/>
          <w:b/>
        </w:rPr>
        <w:t xml:space="preserve">straight line</w:t>
      </w:r>
      <w:r>
        <w:t xml:space="preserve"> </w:t>
      </w:r>
      <w:r>
        <w:t xml:space="preserve">in</w:t>
      </w:r>
      <w:r>
        <w:t xml:space="preserve"> </w:t>
      </w:r>
      <w:r>
        <w:rPr>
          <w:iCs/>
          <w:i/>
        </w:rPr>
        <w:t xml:space="preserve">u</w:t>
      </w:r>
      <w:r>
        <w:t xml:space="preserve"> </w:t>
      </w:r>
      <w:r>
        <w:t xml:space="preserve">with slope ξ/(1 − ξ) (rising if ξ &gt; 0). The</w:t>
      </w:r>
      <w:r>
        <w:t xml:space="preserve"> </w:t>
      </w:r>
      <w:r>
        <w:rPr>
          <w:bCs/>
          <w:b/>
        </w:rPr>
        <w:t xml:space="preserve">mean excess plot</w:t>
      </w:r>
      <w:r>
        <w:t xml:space="preserve"> </w:t>
      </w:r>
      <w:r>
        <w:t xml:space="preserve">(empirical mean excess against</w:t>
      </w:r>
      <w:r>
        <w:t xml:space="preserve"> </w:t>
      </w:r>
      <w:r>
        <w:rPr>
          <w:iCs/>
          <w:i/>
        </w:rPr>
        <w:t xml:space="preserve">u</w:t>
      </w:r>
      <w:r>
        <w:t xml:space="preserve">) is therefore a tool to choose</w:t>
      </w:r>
      <w:r>
        <w:t xml:space="preserve"> </w:t>
      </w:r>
      <w:r>
        <w:rPr>
          <w:iCs/>
          <w:i/>
        </w:rPr>
        <w:t xml:space="preserve">u</w:t>
      </w:r>
      <w:r>
        <w:t xml:space="preserve">: the GPD is plausible from the point where the plot becomes linear.</w:t>
      </w:r>
    </w:p>
    <w:p>
      <w:pPr>
        <w:pStyle w:val="BodyText"/>
      </w:pPr>
      <w:r>
        <w:rPr>
          <w:bCs/>
          <w:b/>
        </w:rPr>
        <w:t xml:space="preserve">Equation 16 – Return level (</w:t>
      </w:r>
      <w:r>
        <w:rPr>
          <w:bCs/>
          <w:b/>
        </w:rPr>
        <w:t xml:space="preserve">“</w:t>
      </w:r>
      <w:r>
        <w:rPr>
          <w:bCs/>
          <w:b/>
        </w:rPr>
        <w:t xml:space="preserve">once in N years</w:t>
      </w:r>
      <w:r>
        <w:rPr>
          <w:bCs/>
          <w:b/>
        </w:rPr>
        <w:t xml:space="preserve">”</w:t>
      </w:r>
      <w:r>
        <w:rPr>
          <w:bCs/>
          <w:b/>
        </w:rPr>
        <w:t xml:space="preserve">):</w:t>
      </w:r>
    </w:p>
    <w:p>
      <w:pPr>
        <w:pStyle w:val="BodyText"/>
      </w:pPr>
      <m:oMathPara>
        <m:oMathParaPr>
          <m:jc m:val="center"/>
        </m:oMathParaPr>
        <m:oMath>
          <m:sSub>
            <m:e>
              <m:r>
                <m:t>x</m:t>
              </m:r>
            </m:e>
            <m:sub>
              <m:r>
                <m:t>N</m:t>
              </m:r>
            </m:sub>
          </m:sSub>
          <m:r>
            <m:rPr>
              <m:sty m:val="p"/>
            </m:rPr>
            <m:t>=</m:t>
          </m:r>
          <m:sSub>
            <m:e>
              <m:acc>
                <m:accPr>
                  <m:chr m:val="̂"/>
                </m:accPr>
                <m:e>
                  <m:r>
                    <m:rPr>
                      <m:nor/>
                    </m:rPr>
                    <m:t>VaR</m:t>
                  </m:r>
                </m:e>
              </m:acc>
            </m:e>
            <m:sub>
              <m:r>
                <m:t>q</m:t>
              </m:r>
            </m:sub>
          </m:sSub>
          <m:r>
            <m:rPr>
              <m:sty m:val="p"/>
            </m:rPr>
            <m:t>,</m:t>
          </m:r>
          <m:r>
            <m:t> </m:t>
          </m:r>
          <m:r>
            <m:t>q</m:t>
          </m:r>
          <m:r>
            <m:rPr>
              <m:sty m:val="p"/>
            </m:rPr>
            <m:t>=</m:t>
          </m:r>
          <m:r>
            <m:t>1</m:t>
          </m:r>
          <m:r>
            <m:rPr>
              <m:sty m:val="p"/>
            </m:rPr>
            <m:t>−</m:t>
          </m:r>
          <m:f>
            <m:fPr>
              <m:type m:val="bar"/>
            </m:fPr>
            <m:num>
              <m:r>
                <m:t>1</m:t>
              </m:r>
            </m:num>
            <m:den>
              <m:r>
                <m:t>252</m:t>
              </m:r>
              <m:r>
                <m:t> </m:t>
              </m:r>
              <m:r>
                <m:t>N</m:t>
              </m:r>
            </m:den>
          </m:f>
          <m:r>
            <m:rPr>
              <m:sty m:val="p"/>
            </m:rPr>
            <m:t>.</m:t>
          </m:r>
        </m:oMath>
      </m:oMathPara>
    </w:p>
    <w:p>
      <w:pPr>
        <w:pStyle w:val="FirstParagraph"/>
      </w:pPr>
      <w:r>
        <w:rPr>
          <w:iCs/>
          <w:i/>
        </w:rPr>
        <w:t xml:space="preserve">Definition:</w:t>
      </w:r>
      <w:r>
        <w:t xml:space="preserve"> </w:t>
      </w:r>
      <w:r>
        <w:t xml:space="preserve">the daily loss exceeded on average once every</w:t>
      </w:r>
      <w:r>
        <w:t xml:space="preserve"> </w:t>
      </w:r>
      <w:r>
        <w:rPr>
          <w:iCs/>
          <w:i/>
        </w:rPr>
        <w:t xml:space="preserve">N</w:t>
      </w:r>
      <w:r>
        <w:t xml:space="preserve"> </w:t>
      </w:r>
      <w:r>
        <w:t xml:space="preserve">years (252 trading days a year).</w:t>
      </w:r>
    </w:p>
    <w:p>
      <w:pPr>
        <w:pStyle w:val="BodyText"/>
      </w:pPr>
      <w:r>
        <w:rPr>
          <w:bCs/>
          <w:b/>
        </w:rPr>
        <w:t xml:space="preserve">Choosing the threshold.</w:t>
      </w:r>
      <w:r>
        <w:t xml:space="preserve"> </w:t>
      </w:r>
      <w:r>
        <w:t xml:space="preserve">Too low: the GPD approximation does not hold yet (bias). Too high: few excesses (variance). We combine:</w:t>
      </w:r>
    </w:p>
    <w:p>
      <w:pPr>
        <w:numPr>
          <w:ilvl w:val="0"/>
          <w:numId w:val="1018"/>
        </w:numPr>
        <w:pStyle w:val="Compact"/>
      </w:pPr>
      <w:r>
        <w:t xml:space="preserve">the</w:t>
      </w:r>
      <w:r>
        <w:t xml:space="preserve"> </w:t>
      </w:r>
      <w:r>
        <w:rPr>
          <w:bCs/>
          <w:b/>
        </w:rPr>
        <w:t xml:space="preserve">mean excess plot</w:t>
      </w:r>
      <w:r>
        <w:t xml:space="preserve"> </w:t>
      </w:r>
      <w:r>
        <w:t xml:space="preserve">(linear from</w:t>
      </w:r>
      <w:r>
        <w:t xml:space="preserve"> </w:t>
      </w:r>
      <w:r>
        <w:rPr>
          <w:iCs/>
          <w:i/>
        </w:rPr>
        <w:t xml:space="preserve">u</w:t>
      </w:r>
      <w:r>
        <w:t xml:space="preserve"> </w:t>
      </w:r>
      <w:r>
        <w:t xml:space="preserve">onwards),</w:t>
      </w:r>
    </w:p>
    <w:p>
      <w:pPr>
        <w:numPr>
          <w:ilvl w:val="0"/>
          <w:numId w:val="1018"/>
        </w:numPr>
        <w:pStyle w:val="Compact"/>
      </w:pPr>
      <w:r>
        <w:rPr>
          <w:bCs/>
          <w:b/>
        </w:rPr>
        <w:t xml:space="preserve">parameter stability</w:t>
      </w:r>
      <w:r>
        <w:t xml:space="preserve">:</w:t>
      </w:r>
      <w:r>
        <w:t xml:space="preserve"> </w:t>
      </w:r>
      <m:oMath>
        <m:acc>
          <m:accPr>
            <m:chr m:val="̂"/>
          </m:accPr>
          <m:e>
            <m:r>
              <m:t>ξ</m:t>
            </m:r>
          </m:e>
        </m:acc>
      </m:oMath>
      <w:r>
        <w:t xml:space="preserve"> </w:t>
      </w:r>
      <w:r>
        <w:t xml:space="preserve">and the modified scale</w:t>
      </w:r>
      <w:r>
        <w:t xml:space="preserve"> </w:t>
      </w:r>
      <m:oMath>
        <m:acc>
          <m:accPr>
            <m:chr m:val="̂"/>
          </m:accPr>
          <m:e>
            <m:r>
              <m:t>β</m:t>
            </m:r>
          </m:e>
        </m:acc>
        <m:r>
          <m:rPr>
            <m:sty m:val="p"/>
          </m:rPr>
          <m:t>−</m:t>
        </m:r>
        <m:acc>
          <m:accPr>
            <m:chr m:val="̂"/>
          </m:accPr>
          <m:e>
            <m:r>
              <m:t>ξ</m:t>
            </m:r>
          </m:e>
        </m:acc>
        <m:r>
          <m:t>u</m:t>
        </m:r>
      </m:oMath>
      <w:r>
        <w:t xml:space="preserve"> </w:t>
      </w:r>
      <w:r>
        <w:t xml:space="preserve">should be constant above a valid threshold,</w:t>
      </w:r>
    </w:p>
    <w:p>
      <w:pPr>
        <w:numPr>
          <w:ilvl w:val="0"/>
          <w:numId w:val="1018"/>
        </w:numPr>
        <w:pStyle w:val="Compact"/>
      </w:pPr>
      <w:r>
        <w:rPr>
          <w:bCs/>
          <w:b/>
        </w:rPr>
        <w:t xml:space="preserve">QQ plots</w:t>
      </w:r>
      <w:r>
        <w:t xml:space="preserve"> </w:t>
      </w:r>
      <w:r>
        <w:t xml:space="preserve">of the excesses against the fitted GPD,</w:t>
      </w:r>
    </w:p>
    <w:p>
      <w:pPr>
        <w:numPr>
          <w:ilvl w:val="0"/>
          <w:numId w:val="1018"/>
        </w:numPr>
        <w:pStyle w:val="Compact"/>
      </w:pPr>
      <w:r>
        <w:t xml:space="preserve">a practical rule used in the literature (the top 5–10% of losses), checked against the three diagnostics.</w:t>
      </w:r>
    </w:p>
    <w:p>
      <w:pPr>
        <w:pStyle w:val="FirstParagraph"/>
      </w:pPr>
      <w:r>
        <w:rPr>
          <w:bCs/>
          <w:b/>
        </w:rPr>
        <w:t xml:space="preserve">4. Valid when.</w:t>
      </w:r>
      <w:r>
        <w:t xml:space="preserve"> </w:t>
      </w:r>
      <w:r>
        <w:t xml:space="preserve">The threshold is high enough, the excesses are (close to) i.i.d., and ξ &lt; 1 for ES to exist (ξ &lt; 0.5 for a finite variance of the losses).</w:t>
      </w:r>
    </w:p>
    <w:p>
      <w:pPr>
        <w:pStyle w:val="BodyText"/>
      </w:pPr>
      <w:r>
        <w:rPr>
          <w:bCs/>
          <w:b/>
        </w:rPr>
        <w:t xml:space="preserve">5. Limitations.</w:t>
      </w:r>
    </w:p>
    <w:p>
      <w:pPr>
        <w:numPr>
          <w:ilvl w:val="0"/>
          <w:numId w:val="1019"/>
        </w:numPr>
        <w:pStyle w:val="Compact"/>
      </w:pPr>
      <w:r>
        <w:t xml:space="preserve">Threshold choice remains partly judgement.</w:t>
      </w:r>
    </w:p>
    <w:p>
      <w:pPr>
        <w:numPr>
          <w:ilvl w:val="0"/>
          <w:numId w:val="1019"/>
        </w:numPr>
        <w:pStyle w:val="Compact"/>
      </w:pPr>
      <w:r>
        <w:t xml:space="preserve">Maximum likelihood is irregular for ξ &lt; −0.5 (not a concern for financial losses).</w:t>
      </w:r>
    </w:p>
    <w:p>
      <w:pPr>
        <w:numPr>
          <w:ilvl w:val="0"/>
          <w:numId w:val="1019"/>
        </w:numPr>
        <w:pStyle w:val="Compact"/>
      </w:pPr>
      <w:r>
        <w:t xml:space="preserve">Clustering of extremes violates independence (B6).</w:t>
      </w:r>
    </w:p>
    <w:p>
      <w:pPr>
        <w:numPr>
          <w:ilvl w:val="0"/>
          <w:numId w:val="1019"/>
        </w:numPr>
        <w:pStyle w:val="Compact"/>
      </w:pPr>
      <w:r>
        <w:t xml:space="preserve">Extrapolation far beyond the data (a 1-in-100-years loss from 97 years of data) carries very wide confidence intervals.</w:t>
      </w:r>
    </w:p>
    <w:p>
      <w:pPr>
        <w:pStyle w:val="FirstParagraph"/>
      </w:pPr>
      <w:r>
        <w:rPr>
          <w:bCs/>
          <w:b/>
        </w:rPr>
        <w:t xml:space="preserve">6. Implement, validate.</w:t>
      </w:r>
      <w:r>
        <w:t xml:space="preserve"> </w:t>
      </w:r>
      <w:r>
        <w:rPr>
          <w:rStyle w:val="VerbatimChar"/>
        </w:rPr>
        <w:t xml:space="preserve">fit_gpd(excesses)</w:t>
      </w:r>
      <w:r>
        <w:t xml:space="preserve"> </w:t>
      </w:r>
      <w:r>
        <w:t xml:space="preserve">by maximum likelihood with</w:t>
      </w:r>
      <w:r>
        <w:t xml:space="preserve"> </w:t>
      </w:r>
      <w:r>
        <w:rPr>
          <w:rStyle w:val="VerbatimChar"/>
        </w:rPr>
        <w:t xml:space="preserve">scipy.optimize</w:t>
      </w:r>
      <w:r>
        <w:t xml:space="preserve">; validated against</w:t>
      </w:r>
      <w:r>
        <w:t xml:space="preserve"> </w:t>
      </w:r>
      <w:r>
        <w:rPr>
          <w:rStyle w:val="VerbatimChar"/>
        </w:rPr>
        <w:t xml:space="preserve">scipy.stats.genpareto.fit</w:t>
      </w:r>
      <w:r>
        <w:t xml:space="preserve"> </w:t>
      </w:r>
      <w:r>
        <w:t xml:space="preserve">and on simulated GPD and Student-t data;</w:t>
      </w:r>
      <w:r>
        <w:t xml:space="preserve"> </w:t>
      </w:r>
      <w:r>
        <w:rPr>
          <w:rStyle w:val="VerbatimChar"/>
        </w:rPr>
        <w:t xml:space="preserve">gpd_var_es</w:t>
      </w:r>
      <w:r>
        <w:t xml:space="preserve"> </w:t>
      </w:r>
      <w:r>
        <w:t xml:space="preserve">checked against the empirical quantiles of a very large simulated sample;</w:t>
      </w:r>
      <w:r>
        <w:t xml:space="preserve"> </w:t>
      </w:r>
      <w:r>
        <w:rPr>
          <w:rStyle w:val="VerbatimChar"/>
        </w:rPr>
        <w:t xml:space="preserve">mean_excess</w:t>
      </w:r>
      <w:r>
        <w:t xml:space="preserve"> </w:t>
      </w:r>
      <w:r>
        <w:t xml:space="preserve">and</w:t>
      </w:r>
      <w:r>
        <w:t xml:space="preserve"> </w:t>
      </w:r>
      <w:r>
        <w:rPr>
          <w:rStyle w:val="VerbatimChar"/>
        </w:rPr>
        <w:t xml:space="preserve">threshold_stability</w:t>
      </w:r>
      <w:r>
        <w:t xml:space="preserve"> </w:t>
      </w:r>
      <w:r>
        <w:t xml:space="preserve">for the plots.</w:t>
      </w:r>
    </w:p>
    <w:p>
      <w:pPr>
        <w:pStyle w:val="BodyText"/>
      </w:pPr>
      <w:r>
        <w:rPr>
          <w:bCs/>
          <w:b/>
        </w:rPr>
        <w:t xml:space="preserve">Example.</w:t>
      </w:r>
      <w:r>
        <w:t xml:space="preserve"> </w:t>
      </w:r>
      <w:r>
        <w:t xml:space="preserve">Suppose</w:t>
      </w:r>
      <w:r>
        <w:t xml:space="preserve"> </w:t>
      </w:r>
      <w:r>
        <w:rPr>
          <w:iCs/>
          <w:i/>
        </w:rPr>
        <w:t xml:space="preserve">n</w:t>
      </w:r>
      <w:r>
        <w:t xml:space="preserve"> </w:t>
      </w:r>
      <w:r>
        <w:t xml:space="preserve">= 10,000 days, threshold</w:t>
      </w:r>
      <w:r>
        <w:t xml:space="preserve"> </w:t>
      </w:r>
      <w:r>
        <w:rPr>
          <w:iCs/>
          <w:i/>
        </w:rPr>
        <w:t xml:space="preserve">u</w:t>
      </w:r>
      <w:r>
        <w:t xml:space="preserve"> </w:t>
      </w:r>
      <w:r>
        <w:t xml:space="preserve">= 2.0% exceeded on</w:t>
      </w:r>
      <w:r>
        <w:t xml:space="preserve"> </w:t>
      </w:r>
      <m:oMath>
        <m:sSub>
          <m:e>
            <m:r>
              <m:t>N</m:t>
            </m:r>
          </m:e>
          <m:sub>
            <m:r>
              <m:t>u</m:t>
            </m:r>
          </m:sub>
        </m:sSub>
      </m:oMath>
      <w:r>
        <w:t xml:space="preserve"> </w:t>
      </w:r>
      <w:r>
        <w:t xml:space="preserve">= 500 days (5%), fitted ξ = 0.25 and β = 0.7.</w:t>
      </w:r>
    </w:p>
    <w:p>
      <w:pPr>
        <w:numPr>
          <w:ilvl w:val="0"/>
          <w:numId w:val="1020"/>
        </w:numPr>
        <w:pStyle w:val="Compact"/>
      </w:pPr>
      <w:r>
        <w:t xml:space="preserve">99% VaR:</w:t>
      </w:r>
      <w:r>
        <w:t xml:space="preserve"> </w:t>
      </w:r>
      <m:oMath>
        <m:d>
          <m:dPr>
            <m:begChr m:val="("/>
            <m:sepChr m:val=""/>
            <m:endChr m:val=")"/>
            <m:grow/>
          </m:dPr>
          <m:e>
            <m:r>
              <m:t>n</m:t>
            </m:r>
            <m:r>
              <m:rPr>
                <m:sty m:val="p"/>
              </m:rPr>
              <m:t>/</m:t>
            </m:r>
            <m:sSub>
              <m:e>
                <m:r>
                  <m:t>N</m:t>
                </m:r>
              </m:e>
              <m:sub>
                <m:r>
                  <m:t>u</m:t>
                </m:r>
              </m:sub>
            </m:sSub>
          </m:e>
        </m:d>
        <m:d>
          <m:dPr>
            <m:begChr m:val="("/>
            <m:sepChr m:val=""/>
            <m:endChr m:val=")"/>
            <m:grow/>
          </m:dPr>
          <m:e>
            <m:r>
              <m:t>1</m:t>
            </m:r>
            <m:r>
              <m:rPr>
                <m:sty m:val="p"/>
              </m:rPr>
              <m:t>−</m:t>
            </m:r>
            <m:r>
              <m:t>q</m:t>
            </m:r>
          </m:e>
        </m:d>
        <m:r>
          <m:rPr>
            <m:sty m:val="p"/>
          </m:rPr>
          <m:t>=</m:t>
        </m:r>
        <m:r>
          <m:t>20</m:t>
        </m:r>
        <m:r>
          <m:rPr>
            <m:sty m:val="p"/>
          </m:rPr>
          <m:t>×</m:t>
        </m:r>
        <m:r>
          <m:t>0.01</m:t>
        </m:r>
        <m:r>
          <m:rPr>
            <m:sty m:val="p"/>
          </m:rPr>
          <m:t>=</m:t>
        </m:r>
        <m:r>
          <m:t>0.2</m:t>
        </m:r>
      </m:oMath>
      <w:r>
        <w:t xml:space="preserve">;</w:t>
      </w:r>
      <w:r>
        <w:t xml:space="preserve"> </w:t>
      </w:r>
      <m:oMath>
        <m:sSup>
          <m:e>
            <m:r>
              <m:t>0.2</m:t>
            </m:r>
          </m:e>
          <m:sup>
            <m:r>
              <m:rPr>
                <m:sty m:val="p"/>
              </m:rPr>
              <m:t>−</m:t>
            </m:r>
            <m:r>
              <m:t>0.25</m:t>
            </m:r>
          </m:sup>
        </m:sSup>
        <m:r>
          <m:rPr>
            <m:sty m:val="p"/>
          </m:rPr>
          <m:t>=</m:t>
        </m:r>
        <m:r>
          <m:t>1.495</m:t>
        </m:r>
      </m:oMath>
      <w:r>
        <w:t xml:space="preserve">; VaR = 2.0 + (0.7/0.25)(1.495 − 1) =</w:t>
      </w:r>
      <w:r>
        <w:t xml:space="preserve"> </w:t>
      </w:r>
      <w:r>
        <w:rPr>
          <w:bCs/>
          <w:b/>
        </w:rPr>
        <w:t xml:space="preserve">3.39%</w:t>
      </w:r>
      <w:r>
        <w:t xml:space="preserve">.</w:t>
      </w:r>
    </w:p>
    <w:p>
      <w:pPr>
        <w:numPr>
          <w:ilvl w:val="0"/>
          <w:numId w:val="1020"/>
        </w:numPr>
        <w:pStyle w:val="Compact"/>
      </w:pPr>
      <w:r>
        <w:t xml:space="preserve">99.9% VaR:</w:t>
      </w:r>
      <w:r>
        <w:t xml:space="preserve"> </w:t>
      </w:r>
      <m:oMath>
        <m:r>
          <m:t>20</m:t>
        </m:r>
        <m:r>
          <m:rPr>
            <m:sty m:val="p"/>
          </m:rPr>
          <m:t>×</m:t>
        </m:r>
        <m:r>
          <m:t>0.001</m:t>
        </m:r>
        <m:r>
          <m:rPr>
            <m:sty m:val="p"/>
          </m:rPr>
          <m:t>=</m:t>
        </m:r>
        <m:r>
          <m:t>0.02</m:t>
        </m:r>
      </m:oMath>
      <w:r>
        <w:t xml:space="preserve">;</w:t>
      </w:r>
      <w:r>
        <w:t xml:space="preserve"> </w:t>
      </w:r>
      <m:oMath>
        <m:sSup>
          <m:e>
            <m:r>
              <m:t>0.02</m:t>
            </m:r>
          </m:e>
          <m:sup>
            <m:r>
              <m:rPr>
                <m:sty m:val="p"/>
              </m:rPr>
              <m:t>−</m:t>
            </m:r>
            <m:r>
              <m:t>0.25</m:t>
            </m:r>
          </m:sup>
        </m:sSup>
        <m:r>
          <m:rPr>
            <m:sty m:val="p"/>
          </m:rPr>
          <m:t>=</m:t>
        </m:r>
        <m:r>
          <m:t>2.659</m:t>
        </m:r>
      </m:oMath>
      <w:r>
        <w:t xml:space="preserve">; VaR = 2.0 + 2.8 × 1.659 =</w:t>
      </w:r>
      <w:r>
        <w:t xml:space="preserve"> </w:t>
      </w:r>
      <w:r>
        <w:rPr>
          <w:bCs/>
          <w:b/>
        </w:rPr>
        <w:t xml:space="preserve">6.65%</w:t>
      </w:r>
      <w:r>
        <w:t xml:space="preserve">; ES = (6.65 + 0.7 − 0.25 × 2.0) / 0.75 =</w:t>
      </w:r>
      <w:r>
        <w:t xml:space="preserve"> </w:t>
      </w:r>
      <w:r>
        <w:rPr>
          <w:bCs/>
          <w:b/>
        </w:rPr>
        <w:t xml:space="preserve">9.13%</w:t>
      </w:r>
      <w:r>
        <w:t xml:space="preserve">.</w:t>
      </w:r>
    </w:p>
    <w:p>
      <w:pPr>
        <w:numPr>
          <w:ilvl w:val="0"/>
          <w:numId w:val="1020"/>
        </w:numPr>
        <w:pStyle w:val="Compact"/>
      </w:pPr>
      <w:r>
        <w:t xml:space="preserve">Normal with the same daily volatility of 1.2%: 99% VaR 2.79%, 99.9% VaR</w:t>
      </w:r>
      <w:r>
        <w:t xml:space="preserve"> </w:t>
      </w:r>
      <w:r>
        <w:rPr>
          <w:bCs/>
          <w:b/>
        </w:rPr>
        <w:t xml:space="preserve">3.71%</w:t>
      </w:r>
      <w:r>
        <w:t xml:space="preserve"> </w:t>
      </w:r>
      <w:r>
        <w:t xml:space="preserve">(ES 4.04%).</w:t>
      </w:r>
    </w:p>
    <w:p>
      <w:pPr>
        <w:numPr>
          <w:ilvl w:val="0"/>
          <w:numId w:val="1020"/>
        </w:numPr>
        <w:pStyle w:val="Compact"/>
      </w:pPr>
      <w:r>
        <w:t xml:space="preserve">On USD 10m: EVT says a once-in-four-years day costs about</w:t>
      </w:r>
      <w:r>
        <w:t xml:space="preserve"> </w:t>
      </w:r>
      <w:r>
        <w:rPr>
          <w:bCs/>
          <w:b/>
        </w:rPr>
        <w:t xml:space="preserve">USD 640k</w:t>
      </w:r>
      <w:r>
        <w:t xml:space="preserve">; the normal says USD 360k.</w:t>
      </w:r>
    </w:p>
    <w:p>
      <w:pPr>
        <w:numPr>
          <w:ilvl w:val="0"/>
          <w:numId w:val="1020"/>
        </w:numPr>
        <w:pStyle w:val="Compact"/>
      </w:pPr>
      <w:r>
        <w:t xml:space="preserve">The 1987 crash (a 20.5% loss): probability per day 1.5 × 10⁻⁵ under this GPD (about</w:t>
      </w:r>
      <w:r>
        <w:t xml:space="preserve"> </w:t>
      </w:r>
      <w:r>
        <w:rPr>
          <w:bCs/>
          <w:b/>
        </w:rPr>
        <w:t xml:space="preserve">once in 260 years</w:t>
      </w:r>
      <w:r>
        <w:t xml:space="preserve">), but 10⁻⁶⁵ under the normal (never in the life of the universe).</w:t>
      </w:r>
    </w:p>
    <w:p>
      <w:r>
        <w:pict>
          <v:rect style="width:0;height:1.5pt" o:hralign="center" o:hrstd="t" o:hr="t"/>
        </w:pict>
      </w:r>
    </w:p>
    <w:bookmarkEnd w:id="31"/>
    <w:bookmarkStart w:id="32" w:name="Xf077d4ed759d2c9ac9b2482d078b3cba4566f84"/>
    <w:p>
      <w:pPr>
        <w:pStyle w:val="Heading3"/>
      </w:pPr>
      <w:r>
        <w:t xml:space="preserve">B4. The benchmarks: normal, Student-t and historical</w:t>
      </w:r>
    </w:p>
    <w:p>
      <w:pPr>
        <w:pStyle w:val="FirstParagraph"/>
      </w:pPr>
      <w:r>
        <w:rPr>
          <w:bCs/>
          <w:b/>
        </w:rPr>
        <w:t xml:space="preserve">1. What is it?</w:t>
      </w:r>
      <w:r>
        <w:t xml:space="preserve"> </w:t>
      </w:r>
      <w:r>
        <w:t xml:space="preserve">The three standard ways of computing VaR/ES that EVT is compared with.</w:t>
      </w:r>
    </w:p>
    <w:p>
      <w:pPr>
        <w:pStyle w:val="BodyText"/>
      </w:pPr>
      <w:r>
        <w:rPr>
          <w:bCs/>
          <w:b/>
        </w:rPr>
        <w:t xml:space="preserve">2. Why?</w:t>
      </w:r>
      <w:r>
        <w:t xml:space="preserve"> </w:t>
      </w:r>
      <w:r>
        <w:t xml:space="preserve">They are what most risk systems use; the project measures how wrong they are far in the tail.</w:t>
      </w:r>
    </w:p>
    <w:p>
      <w:pPr>
        <w:pStyle w:val="BodyText"/>
      </w:pPr>
      <w:r>
        <w:rPr>
          <w:bCs/>
          <w:b/>
        </w:rPr>
        <w:t xml:space="preserve">3. Maths.</w:t>
      </w:r>
    </w:p>
    <w:p>
      <w:pPr>
        <w:pStyle w:val="BodyText"/>
      </w:pPr>
      <w:r>
        <w:rPr>
          <w:bCs/>
          <w:b/>
        </w:rPr>
        <w:t xml:space="preserve">Variables:</w:t>
      </w:r>
    </w:p>
    <w:p>
      <w:pPr>
        <w:numPr>
          <w:ilvl w:val="0"/>
          <w:numId w:val="1021"/>
        </w:numPr>
        <w:pStyle w:val="Compact"/>
      </w:pPr>
      <m:oMath>
        <m:r>
          <m:t>μ</m:t>
        </m:r>
      </m:oMath>
      <w:r>
        <w:t xml:space="preserve">,</w:t>
      </w:r>
      <w:r>
        <w:t xml:space="preserve"> </w:t>
      </w:r>
      <m:oMath>
        <m:r>
          <m:t>σ</m:t>
        </m:r>
      </m:oMath>
      <w:r>
        <w:t xml:space="preserve">: mean and standard deviation of the losses.</w:t>
      </w:r>
    </w:p>
    <w:p>
      <w:pPr>
        <w:numPr>
          <w:ilvl w:val="0"/>
          <w:numId w:val="1021"/>
        </w:numPr>
        <w:pStyle w:val="Compact"/>
      </w:pPr>
      <m:oMath>
        <m:sSub>
          <m:e>
            <m:r>
              <m:t>z</m:t>
            </m:r>
          </m:e>
          <m:sub>
            <m:r>
              <m:t>q</m:t>
            </m:r>
          </m:sub>
        </m:sSub>
        <m:r>
          <m:rPr>
            <m:sty m:val="p"/>
          </m:rPr>
          <m:t>=</m:t>
        </m:r>
        <m:sSup>
          <m:e>
            <m:r>
              <m:t>Φ</m:t>
            </m:r>
          </m:e>
          <m:sup>
            <m:r>
              <m:rPr>
                <m:sty m:val="p"/>
              </m:rPr>
              <m:t>−</m:t>
            </m:r>
            <m:r>
              <m:t>1</m:t>
            </m:r>
          </m:sup>
        </m:sSup>
        <m:d>
          <m:dPr>
            <m:begChr m:val="("/>
            <m:sepChr m:val=""/>
            <m:endChr m:val=")"/>
            <m:grow/>
          </m:dPr>
          <m:e>
            <m:r>
              <m:t>q</m:t>
            </m:r>
          </m:e>
        </m:d>
      </m:oMath>
      <w:r>
        <w:t xml:space="preserve">,</w:t>
      </w:r>
      <w:r>
        <w:t xml:space="preserve"> </w:t>
      </w:r>
      <m:oMath>
        <m:r>
          <m:t>φ</m:t>
        </m:r>
      </m:oMath>
      <w:r>
        <w:t xml:space="preserve">: standard normal quantile and density.</w:t>
      </w:r>
    </w:p>
    <w:p>
      <w:pPr>
        <w:numPr>
          <w:ilvl w:val="0"/>
          <w:numId w:val="1021"/>
        </w:numPr>
        <w:pStyle w:val="Compact"/>
      </w:pPr>
      <m:oMath>
        <m:r>
          <m:t>ν</m:t>
        </m:r>
      </m:oMath>
      <w:r>
        <w:t xml:space="preserve">: Student-t degrees of freedom;</w:t>
      </w:r>
      <w:r>
        <w:t xml:space="preserve"> </w:t>
      </w:r>
      <m:oMath>
        <m:sSubSup>
          <m:e>
            <m:r>
              <m:t>t</m:t>
            </m:r>
          </m:e>
          <m:sub>
            <m:r>
              <m:t>ν</m:t>
            </m:r>
          </m:sub>
          <m:sup>
            <m:r>
              <m:rPr>
                <m:sty m:val="p"/>
              </m:rPr>
              <m:t>−</m:t>
            </m:r>
            <m:r>
              <m:t>1</m:t>
            </m:r>
          </m:sup>
        </m:sSubSup>
      </m:oMath>
      <w:r>
        <w:t xml:space="preserve">,</w:t>
      </w:r>
      <w:r>
        <w:t xml:space="preserve"> </w:t>
      </w:r>
      <m:oMath>
        <m:sSub>
          <m:e>
            <m:r>
              <m:t>g</m:t>
            </m:r>
          </m:e>
          <m:sub>
            <m:r>
              <m:t>ν</m:t>
            </m:r>
          </m:sub>
        </m:sSub>
      </m:oMath>
      <w:r>
        <w:t xml:space="preserve">: quantile and density of the standard t.</w:t>
      </w:r>
    </w:p>
    <w:p>
      <w:pPr>
        <w:pStyle w:val="FirstParagraph"/>
      </w:pPr>
      <w:r>
        <w:rPr>
          <w:bCs/>
          <w:b/>
        </w:rPr>
        <w:t xml:space="preserve">Equation 17 – Normal VaR and ES:</w:t>
      </w:r>
    </w:p>
    <w:p>
      <w:pPr>
        <w:pStyle w:val="BodyText"/>
      </w:pPr>
      <m:oMathPara>
        <m:oMathParaPr>
          <m:jc m:val="center"/>
        </m:oMathParaPr>
        <m:oMath>
          <m:sSub>
            <m:e>
              <m:r>
                <m:rPr>
                  <m:nor/>
                </m:rPr>
                <m:t>VaR</m:t>
              </m:r>
            </m:e>
            <m:sub>
              <m:r>
                <m:t>q</m:t>
              </m:r>
            </m:sub>
          </m:sSub>
          <m:r>
            <m:rPr>
              <m:sty m:val="p"/>
            </m:rPr>
            <m:t>=</m:t>
          </m:r>
          <m:r>
            <m:t>μ</m:t>
          </m:r>
          <m:r>
            <m:rPr>
              <m:sty m:val="p"/>
            </m:rPr>
            <m:t>+</m:t>
          </m:r>
          <m:r>
            <m:t>σ</m:t>
          </m:r>
          <m:sSub>
            <m:e>
              <m:r>
                <m:t>z</m:t>
              </m:r>
            </m:e>
            <m:sub>
              <m:r>
                <m:t>q</m:t>
              </m:r>
            </m:sub>
          </m:sSub>
          <m:r>
            <m:rPr>
              <m:sty m:val="p"/>
            </m:rPr>
            <m:t>,</m:t>
          </m:r>
          <m:r>
            <m:t>  </m:t>
          </m:r>
          <m:sSub>
            <m:e>
              <m:r>
                <m:rPr>
                  <m:nor/>
                </m:rPr>
                <m:t>ES</m:t>
              </m:r>
            </m:e>
            <m:sub>
              <m:r>
                <m:t>q</m:t>
              </m:r>
            </m:sub>
          </m:sSub>
          <m:r>
            <m:rPr>
              <m:sty m:val="p"/>
            </m:rPr>
            <m:t>=</m:t>
          </m:r>
          <m:r>
            <m:t>μ</m:t>
          </m:r>
          <m:r>
            <m:rPr>
              <m:sty m:val="p"/>
            </m:rPr>
            <m:t>+</m:t>
          </m:r>
          <m:r>
            <m:t>σ</m:t>
          </m:r>
          <m:r>
            <m:t> </m:t>
          </m:r>
          <m:f>
            <m:fPr>
              <m:type m:val="bar"/>
            </m:fPr>
            <m:num>
              <m:r>
                <m:t>φ</m:t>
              </m:r>
              <m:d>
                <m:dPr>
                  <m:begChr m:val="("/>
                  <m:sepChr m:val=""/>
                  <m:endChr m:val=")"/>
                  <m:grow/>
                </m:dPr>
                <m:e>
                  <m:sSub>
                    <m:e>
                      <m:r>
                        <m:t>z</m:t>
                      </m:r>
                    </m:e>
                    <m:sub>
                      <m:r>
                        <m:t>q</m:t>
                      </m:r>
                    </m:sub>
                  </m:sSub>
                </m:e>
              </m:d>
            </m:num>
            <m:den>
              <m:r>
                <m:t>1</m:t>
              </m:r>
              <m:r>
                <m:rPr>
                  <m:sty m:val="p"/>
                </m:rPr>
                <m:t>−</m:t>
              </m:r>
              <m:r>
                <m:t>q</m:t>
              </m:r>
            </m:den>
          </m:f>
          <m:r>
            <m:rPr>
              <m:sty m:val="p"/>
            </m:rPr>
            <m:t>.</m:t>
          </m:r>
        </m:oMath>
      </m:oMathPara>
    </w:p>
    <w:p>
      <w:pPr>
        <w:pStyle w:val="FirstParagraph"/>
      </w:pPr>
      <w:r>
        <w:rPr>
          <w:bCs/>
          <w:b/>
        </w:rPr>
        <w:t xml:space="preserve">Equation 18 – Student-t VaR and ES (scaled to standard deviation σ):</w:t>
      </w:r>
    </w:p>
    <w:p>
      <w:pPr>
        <w:pStyle w:val="BodyText"/>
      </w:pPr>
      <m:oMathPara>
        <m:oMathParaPr>
          <m:jc m:val="center"/>
        </m:oMathParaPr>
        <m:oMath>
          <m:sSub>
            <m:e>
              <m:r>
                <m:rPr>
                  <m:nor/>
                </m:rPr>
                <m:t>VaR</m:t>
              </m:r>
            </m:e>
            <m:sub>
              <m:r>
                <m:t>q</m:t>
              </m:r>
            </m:sub>
          </m:sSub>
          <m:r>
            <m:rPr>
              <m:sty m:val="p"/>
            </m:rPr>
            <m:t>=</m:t>
          </m:r>
          <m:r>
            <m:t>μ</m:t>
          </m:r>
          <m:r>
            <m:rPr>
              <m:sty m:val="p"/>
            </m:rPr>
            <m:t>+</m:t>
          </m:r>
          <m:r>
            <m:t>σ</m:t>
          </m:r>
          <m:rad>
            <m:radPr>
              <m:degHide m:val="on"/>
            </m:radPr>
            <m:deg/>
            <m:e>
              <m:f>
                <m:fPr>
                  <m:type m:val="lin"/>
                </m:fPr>
                <m:num>
                  <m:r>
                    <m:t>ν</m:t>
                  </m:r>
                  <m:r>
                    <m:rPr>
                      <m:sty m:val="p"/>
                    </m:rPr>
                    <m:t>−</m:t>
                  </m:r>
                  <m:r>
                    <m:t>2</m:t>
                  </m:r>
                </m:num>
                <m:den>
                  <m:r>
                    <m:t>ν</m:t>
                  </m:r>
                </m:den>
              </m:f>
            </m:e>
          </m:rad>
          <m:r>
            <m:t> </m:t>
          </m:r>
          <m:sSubSup>
            <m:e>
              <m:r>
                <m:t>t</m:t>
              </m:r>
            </m:e>
            <m:sub>
              <m:r>
                <m:t>ν</m:t>
              </m:r>
            </m:sub>
            <m:sup>
              <m:r>
                <m:rPr>
                  <m:sty m:val="p"/>
                </m:rPr>
                <m:t>−</m:t>
              </m:r>
              <m:r>
                <m:t>1</m:t>
              </m:r>
            </m:sup>
          </m:sSubSup>
          <m:d>
            <m:dPr>
              <m:begChr m:val="("/>
              <m:sepChr m:val=""/>
              <m:endChr m:val=")"/>
              <m:grow/>
            </m:dPr>
            <m:e>
              <m:r>
                <m:t>q</m:t>
              </m:r>
            </m:e>
          </m:d>
          <m:r>
            <m:rPr>
              <m:sty m:val="p"/>
            </m:rPr>
            <m:t>,</m:t>
          </m:r>
          <m:r>
            <m:t>  </m:t>
          </m:r>
          <m:sSub>
            <m:e>
              <m:r>
                <m:rPr>
                  <m:nor/>
                </m:rPr>
                <m:t>ES</m:t>
              </m:r>
            </m:e>
            <m:sub>
              <m:r>
                <m:t>q</m:t>
              </m:r>
            </m:sub>
          </m:sSub>
          <m:r>
            <m:rPr>
              <m:sty m:val="p"/>
            </m:rPr>
            <m:t>=</m:t>
          </m:r>
          <m:r>
            <m:t>μ</m:t>
          </m:r>
          <m:r>
            <m:rPr>
              <m:sty m:val="p"/>
            </m:rPr>
            <m:t>+</m:t>
          </m:r>
          <m:r>
            <m:t>σ</m:t>
          </m:r>
          <m:rad>
            <m:radPr>
              <m:degHide m:val="on"/>
            </m:radPr>
            <m:deg/>
            <m:e>
              <m:f>
                <m:fPr>
                  <m:type m:val="lin"/>
                </m:fPr>
                <m:num>
                  <m:r>
                    <m:t>ν</m:t>
                  </m:r>
                  <m:r>
                    <m:rPr>
                      <m:sty m:val="p"/>
                    </m:rPr>
                    <m:t>−</m:t>
                  </m:r>
                  <m:r>
                    <m:t>2</m:t>
                  </m:r>
                </m:num>
                <m:den>
                  <m:r>
                    <m:t>ν</m:t>
                  </m:r>
                </m:den>
              </m:f>
            </m:e>
          </m:rad>
          <m:r>
            <m:t> </m:t>
          </m:r>
          <m:f>
            <m:fPr>
              <m:type m:val="bar"/>
            </m:fPr>
            <m:num>
              <m:sSub>
                <m:e>
                  <m:r>
                    <m:t>g</m:t>
                  </m:r>
                </m:e>
                <m:sub>
                  <m:r>
                    <m:t>ν</m:t>
                  </m:r>
                </m:sub>
              </m:sSub>
              <m:r>
                <m:t>​</m:t>
              </m:r>
              <m:d>
                <m:dPr>
                  <m:begChr m:val="("/>
                  <m:sepChr m:val=""/>
                  <m:endChr m:val=")"/>
                  <m:grow/>
                </m:dPr>
                <m:e>
                  <m:sSubSup>
                    <m:e>
                      <m:r>
                        <m:t>t</m:t>
                      </m:r>
                    </m:e>
                    <m:sub>
                      <m:r>
                        <m:t>ν</m:t>
                      </m:r>
                    </m:sub>
                    <m:sup>
                      <m:r>
                        <m:rPr>
                          <m:sty m:val="p"/>
                        </m:rPr>
                        <m:t>−</m:t>
                      </m:r>
                      <m:r>
                        <m:t>1</m:t>
                      </m:r>
                    </m:sup>
                  </m:sSubSup>
                  <m:d>
                    <m:dPr>
                      <m:begChr m:val="("/>
                      <m:sepChr m:val=""/>
                      <m:endChr m:val=")"/>
                      <m:grow/>
                    </m:dPr>
                    <m:e>
                      <m:r>
                        <m:t>q</m:t>
                      </m:r>
                    </m:e>
                  </m:d>
                </m:e>
              </m:d>
            </m:num>
            <m:den>
              <m:r>
                <m:t>1</m:t>
              </m:r>
              <m:r>
                <m:rPr>
                  <m:sty m:val="p"/>
                </m:rPr>
                <m:t>−</m:t>
              </m:r>
              <m:r>
                <m:t>q</m:t>
              </m:r>
            </m:den>
          </m:f>
          <m:r>
            <m:t> </m:t>
          </m:r>
          <m:f>
            <m:fPr>
              <m:type m:val="bar"/>
            </m:fPr>
            <m:num>
              <m:r>
                <m:t>ν</m:t>
              </m:r>
              <m:r>
                <m:rPr>
                  <m:sty m:val="p"/>
                </m:rPr>
                <m:t>+</m:t>
              </m:r>
              <m:sSup>
                <m:e>
                  <m:d>
                    <m:dPr>
                      <m:begChr m:val="("/>
                      <m:sepChr m:val=""/>
                      <m:endChr m:val=")"/>
                      <m:grow/>
                    </m:dPr>
                    <m:e>
                      <m:sSubSup>
                        <m:e>
                          <m:r>
                            <m:t>t</m:t>
                          </m:r>
                        </m:e>
                        <m:sub>
                          <m:r>
                            <m:t>ν</m:t>
                          </m:r>
                        </m:sub>
                        <m:sup>
                          <m:r>
                            <m:rPr>
                              <m:sty m:val="p"/>
                            </m:rPr>
                            <m:t>−</m:t>
                          </m:r>
                          <m:r>
                            <m:t>1</m:t>
                          </m:r>
                        </m:sup>
                      </m:sSubSup>
                      <m:d>
                        <m:dPr>
                          <m:begChr m:val="("/>
                          <m:sepChr m:val=""/>
                          <m:endChr m:val=")"/>
                          <m:grow/>
                        </m:dPr>
                        <m:e>
                          <m:r>
                            <m:t>q</m:t>
                          </m:r>
                        </m:e>
                      </m:d>
                    </m:e>
                  </m:d>
                </m:e>
                <m:sup>
                  <m:r>
                    <m:t>2</m:t>
                  </m:r>
                </m:sup>
              </m:sSup>
            </m:num>
            <m:den>
              <m:r>
                <m:t>ν</m:t>
              </m:r>
              <m:r>
                <m:rPr>
                  <m:sty m:val="p"/>
                </m:rPr>
                <m:t>−</m:t>
              </m:r>
              <m:r>
                <m:t>1</m:t>
              </m:r>
            </m:den>
          </m:f>
          <m:r>
            <m:rPr>
              <m:sty m:val="p"/>
            </m:rPr>
            <m:t>.</m:t>
          </m:r>
        </m:oMath>
      </m:oMathPara>
    </w:p>
    <w:p>
      <w:pPr>
        <w:pStyle w:val="FirstParagraph"/>
      </w:pPr>
      <w:r>
        <w:rPr>
          <w:iCs/>
          <w:i/>
        </w:rPr>
        <w:t xml:space="preserve">Definition:</w:t>
      </w:r>
      <w:r>
        <w:t xml:space="preserve"> </w:t>
      </w:r>
      <w:r>
        <w:t xml:space="preserve">the factor</w:t>
      </w:r>
      <w:r>
        <w:t xml:space="preserve"> </w:t>
      </w:r>
      <m:oMath>
        <m:rad>
          <m:radPr>
            <m:degHide m:val="on"/>
          </m:radPr>
          <m:deg/>
          <m:e>
            <m:d>
              <m:dPr>
                <m:begChr m:val="("/>
                <m:sepChr m:val=""/>
                <m:endChr m:val=")"/>
                <m:grow/>
              </m:dPr>
              <m:e>
                <m:r>
                  <m:t>ν</m:t>
                </m:r>
                <m:r>
                  <m:rPr>
                    <m:sty m:val="p"/>
                  </m:rPr>
                  <m:t>−</m:t>
                </m:r>
                <m:r>
                  <m:t>2</m:t>
                </m:r>
              </m:e>
            </m:d>
            <m:r>
              <m:rPr>
                <m:sty m:val="p"/>
              </m:rPr>
              <m:t>/</m:t>
            </m:r>
            <m:r>
              <m:t>ν</m:t>
            </m:r>
          </m:e>
        </m:rad>
      </m:oMath>
      <w:r>
        <w:t xml:space="preserve"> </w:t>
      </w:r>
      <w:r>
        <w:t xml:space="preserve">makes the t have variance</w:t>
      </w:r>
      <w:r>
        <w:t xml:space="preserve"> </w:t>
      </w:r>
      <m:oMath>
        <m:sSup>
          <m:e>
            <m:r>
              <m:t>σ</m:t>
            </m:r>
          </m:e>
          <m:sup>
            <m:r>
              <m:t>2</m:t>
            </m:r>
          </m:sup>
        </m:sSup>
      </m:oMath>
      <w:r>
        <w:t xml:space="preserve">, so the comparison with the normal is fair.</w:t>
      </w:r>
    </w:p>
    <w:p>
      <w:pPr>
        <w:pStyle w:val="BodyText"/>
      </w:pPr>
      <w:r>
        <w:rPr>
          <w:bCs/>
          <w:b/>
        </w:rPr>
        <w:t xml:space="preserve">Equation 19 – Historical (empirical) VaR and ES:</w:t>
      </w:r>
    </w:p>
    <w:p>
      <w:pPr>
        <w:pStyle w:val="BodyText"/>
      </w:pPr>
      <m:oMathPara>
        <m:oMathParaPr>
          <m:jc m:val="center"/>
        </m:oMathParaPr>
        <m:oMath>
          <m:sSub>
            <m:e>
              <m:acc>
                <m:accPr>
                  <m:chr m:val="̂"/>
                </m:accPr>
                <m:e>
                  <m:r>
                    <m:rPr>
                      <m:nor/>
                    </m:rPr>
                    <m:t>VaR</m:t>
                  </m:r>
                </m:e>
              </m:acc>
            </m:e>
            <m:sub>
              <m:r>
                <m:t>q</m:t>
              </m:r>
            </m:sub>
          </m:sSub>
          <m:r>
            <m:rPr>
              <m:sty m:val="p"/>
            </m:rPr>
            <m:t>=</m:t>
          </m:r>
          <m:r>
            <m:rPr>
              <m:nor/>
            </m:rPr>
            <m:t>empirical </m:t>
          </m:r>
          <m:r>
            <m:t>q</m:t>
          </m:r>
          <m:r>
            <m:rPr>
              <m:nor/>
            </m:rPr>
            <m:t>-quantile</m:t>
          </m:r>
          <m:r>
            <m:rPr>
              <m:sty m:val="p"/>
            </m:rPr>
            <m:t>,</m:t>
          </m:r>
          <m:r>
            <m:t>  </m:t>
          </m:r>
          <m:sSub>
            <m:e>
              <m:acc>
                <m:accPr>
                  <m:chr m:val="̂"/>
                </m:accPr>
                <m:e>
                  <m:r>
                    <m:rPr>
                      <m:nor/>
                    </m:rPr>
                    <m:t>ES</m:t>
                  </m:r>
                </m:e>
              </m:acc>
            </m:e>
            <m:sub>
              <m:r>
                <m:t>q</m:t>
              </m:r>
            </m:sub>
          </m:sSub>
          <m:r>
            <m:rPr>
              <m:sty m:val="p"/>
            </m:rPr>
            <m:t>=</m:t>
          </m:r>
          <m:r>
            <m:rPr>
              <m:nor/>
            </m:rPr>
            <m:t>average of losses beyond it</m:t>
          </m:r>
          <m:r>
            <m:rPr>
              <m:sty m:val="p"/>
            </m:rPr>
            <m:t>.</m:t>
          </m:r>
        </m:oMath>
      </m:oMathPara>
    </w:p>
    <w:p>
      <w:pPr>
        <w:pStyle w:val="FirstParagraph"/>
      </w:pPr>
      <w:r>
        <w:rPr>
          <w:bCs/>
          <w:b/>
        </w:rPr>
        <w:t xml:space="preserve">4. Valid when.</w:t>
      </w:r>
      <w:r>
        <w:t xml:space="preserve"> </w:t>
      </w:r>
      <w:r>
        <w:t xml:space="preserve">Normal: never in the tail of daily returns (Projects 1, 3). Student-t: a fat tail with ξ = 1/ν, but a</w:t>
      </w:r>
      <w:r>
        <w:t xml:space="preserve"> </w:t>
      </w:r>
      <w:r>
        <w:rPr>
          <w:bCs/>
          <w:b/>
        </w:rPr>
        <w:t xml:space="preserve">single</w:t>
      </w:r>
      <w:r>
        <w:t xml:space="preserve"> </w:t>
      </w:r>
      <w:r>
        <w:t xml:space="preserve">parameter governs both the centre and the tail, and it is symmetric. Historical: only within the range of the data and with enough points beyond the quantile.</w:t>
      </w:r>
    </w:p>
    <w:p>
      <w:pPr>
        <w:pStyle w:val="BodyText"/>
      </w:pPr>
      <w:r>
        <w:rPr>
          <w:bCs/>
          <w:b/>
        </w:rPr>
        <w:t xml:space="preserve">5. Limitations.</w:t>
      </w:r>
      <w:r>
        <w:t xml:space="preserve"> </w:t>
      </w:r>
      <w:r>
        <w:t xml:space="preserve">The normal has ξ = 0 (thin tail). The t is fitted mostly by the many ordinary days, so its tail is whatever fits the centre. Historical VaR at 99.9% from 1,000 days is the largest or second-largest loss.</w:t>
      </w:r>
    </w:p>
    <w:p>
      <w:pPr>
        <w:pStyle w:val="BodyText"/>
      </w:pPr>
      <w:r>
        <w:rPr>
          <w:bCs/>
          <w:b/>
        </w:rPr>
        <w:t xml:space="preserve">6. Implement, validate.</w:t>
      </w:r>
      <w:r>
        <w:t xml:space="preserve"> </w:t>
      </w:r>
      <w:r>
        <w:rPr>
          <w:rStyle w:val="VerbatimChar"/>
        </w:rPr>
        <w:t xml:space="preserve">var_es_normal</w:t>
      </w:r>
      <w:r>
        <w:t xml:space="preserve">,</w:t>
      </w:r>
      <w:r>
        <w:t xml:space="preserve"> </w:t>
      </w:r>
      <w:r>
        <w:rPr>
          <w:rStyle w:val="VerbatimChar"/>
        </w:rPr>
        <w:t xml:space="preserve">var_es_t</w:t>
      </w:r>
      <w:r>
        <w:t xml:space="preserve"> </w:t>
      </w:r>
      <w:r>
        <w:t xml:space="preserve">(closed forms, checked against simulation),</w:t>
      </w:r>
      <w:r>
        <w:t xml:space="preserve"> </w:t>
      </w:r>
      <w:r>
        <w:rPr>
          <w:rStyle w:val="VerbatimChar"/>
        </w:rPr>
        <w:t xml:space="preserve">var_es_hist</w:t>
      </w:r>
      <w:r>
        <w:t xml:space="preserve">;</w:t>
      </w:r>
      <w:r>
        <w:t xml:space="preserve"> </w:t>
      </w:r>
      <w:r>
        <w:rPr>
          <w:rStyle w:val="VerbatimChar"/>
        </w:rPr>
        <w:t xml:space="preserve">fit_t</w:t>
      </w:r>
      <w:r>
        <w:t xml:space="preserve"> </w:t>
      </w:r>
      <w:r>
        <w:t xml:space="preserve">by maximum likelihood checked against</w:t>
      </w:r>
      <w:r>
        <w:t xml:space="preserve"> </w:t>
      </w:r>
      <w:r>
        <w:rPr>
          <w:rStyle w:val="VerbatimChar"/>
        </w:rPr>
        <w:t xml:space="preserve">scipy.stats.t.fit</w:t>
      </w:r>
      <w:r>
        <w:t xml:space="preserve">.</w:t>
      </w:r>
    </w:p>
    <w:p>
      <w:pPr>
        <w:pStyle w:val="BodyText"/>
      </w:pPr>
      <w:r>
        <w:rPr>
          <w:bCs/>
          <w:b/>
        </w:rPr>
        <w:t xml:space="preserve">Example.</w:t>
      </w:r>
      <w:r>
        <w:t xml:space="preserve"> </w:t>
      </w:r>
      <w:r>
        <w:t xml:space="preserve">Daily σ = 1.2%: 99.9% VaR normal 3.71%, Student-t(4)</w:t>
      </w:r>
      <w:r>
        <w:t xml:space="preserve"> </w:t>
      </w:r>
      <w:r>
        <w:rPr>
          <w:bCs/>
          <w:b/>
        </w:rPr>
        <w:t xml:space="preserve">6.09%</w:t>
      </w:r>
      <w:r>
        <w:t xml:space="preserve"> </w:t>
      </w:r>
      <w:r>
        <w:t xml:space="preserve">(ES 8.22%), GPD example 6.65% (ES 9.13%). At 99% the t (3.18%) is closer to the GPD (3.39%) than the normal (2.79%); at 99.9% the gap between normal and the others is 65–80%.</w:t>
      </w:r>
    </w:p>
    <w:p>
      <w:r>
        <w:pict>
          <v:rect style="width:0;height:1.5pt" o:hralign="center" o:hrstd="t" o:hr="t"/>
        </w:pict>
      </w:r>
    </w:p>
    <w:bookmarkEnd w:id="32"/>
    <w:bookmarkStart w:id="33" w:name="b5.-uncertainty-of-extreme-quantiles"/>
    <w:p>
      <w:pPr>
        <w:pStyle w:val="Heading3"/>
      </w:pPr>
      <w:r>
        <w:t xml:space="preserve">B5. Uncertainty of extreme quantiles</w:t>
      </w:r>
    </w:p>
    <w:p>
      <w:pPr>
        <w:pStyle w:val="FirstParagraph"/>
      </w:pPr>
      <w:r>
        <w:rPr>
          <w:bCs/>
          <w:b/>
        </w:rPr>
        <w:t xml:space="preserve">1. What is it?</w:t>
      </w:r>
      <w:r>
        <w:t xml:space="preserve"> </w:t>
      </w:r>
      <w:r>
        <w:t xml:space="preserve">Confidence intervals for ξ, VaR and ES.</w:t>
      </w:r>
    </w:p>
    <w:p>
      <w:pPr>
        <w:pStyle w:val="BodyText"/>
      </w:pPr>
      <w:r>
        <w:rPr>
          <w:bCs/>
          <w:b/>
        </w:rPr>
        <w:t xml:space="preserve">2. Why?</w:t>
      </w:r>
      <w:r>
        <w:t xml:space="preserve"> </w:t>
      </w:r>
      <w:r>
        <w:t xml:space="preserve">A model validator will ask:</w:t>
      </w:r>
      <w:r>
        <w:t xml:space="preserve"> </w:t>
      </w:r>
      <w:r>
        <w:t xml:space="preserve">“</w:t>
      </w:r>
      <w:r>
        <w:t xml:space="preserve">how sure are you of your 99.9% VaR?</w:t>
      </w:r>
      <w:r>
        <w:t xml:space="preserve">”</w:t>
      </w:r>
      <w:r>
        <w:t xml:space="preserve"> </w:t>
      </w:r>
      <w:r>
        <w:t xml:space="preserve">With a few hundred tail points, the answer can be ±30% or more. Reporting a point estimate alone would be unprofessional.</w:t>
      </w:r>
    </w:p>
    <w:p>
      <w:pPr>
        <w:pStyle w:val="BodyText"/>
      </w:pPr>
      <w:r>
        <w:rPr>
          <w:bCs/>
          <w:b/>
        </w:rPr>
        <w:t xml:space="preserve">3. Maths.</w:t>
      </w:r>
    </w:p>
    <w:p>
      <w:pPr>
        <w:pStyle w:val="BodyText"/>
      </w:pPr>
      <w:r>
        <w:rPr>
          <w:bCs/>
          <w:b/>
        </w:rPr>
        <w:t xml:space="preserve">Variables:</w:t>
      </w:r>
      <w:r>
        <w:t xml:space="preserve"> </w:t>
      </w:r>
      <m:oMath>
        <m:r>
          <m:t>θ</m:t>
        </m:r>
        <m:r>
          <m:rPr>
            <m:sty m:val="p"/>
          </m:rPr>
          <m:t>=</m:t>
        </m:r>
        <m:d>
          <m:dPr>
            <m:begChr m:val="("/>
            <m:sepChr m:val=""/>
            <m:endChr m:val=")"/>
            <m:grow/>
          </m:dPr>
          <m:e>
            <m:r>
              <m:t>ξ</m:t>
            </m:r>
            <m:r>
              <m:rPr>
                <m:sty m:val="p"/>
              </m:rPr>
              <m:t>,</m:t>
            </m:r>
            <m:r>
              <m:t>β</m:t>
            </m:r>
          </m:e>
        </m:d>
      </m:oMath>
      <w:r>
        <w:t xml:space="preserve">;</w:t>
      </w:r>
      <w:r>
        <w:t xml:space="preserve"> </w:t>
      </w:r>
      <m:oMath>
        <m:acc>
          <m:accPr>
            <m:chr m:val="̂"/>
          </m:accPr>
          <m:e>
            <m:r>
              <m:t>Σ</m:t>
            </m:r>
          </m:e>
        </m:acc>
      </m:oMath>
      <w:r>
        <w:t xml:space="preserve">: estimated covariance of</w:t>
      </w:r>
      <w:r>
        <w:t xml:space="preserve"> </w:t>
      </w:r>
      <m:oMath>
        <m:acc>
          <m:accPr>
            <m:chr m:val="̂"/>
          </m:accPr>
          <m:e>
            <m:r>
              <m:t>θ</m:t>
            </m:r>
          </m:e>
        </m:acc>
      </m:oMath>
      <w:r>
        <w:t xml:space="preserve"> </w:t>
      </w:r>
      <w:r>
        <w:t xml:space="preserve">(inverse Hessian of −ℓ);</w:t>
      </w:r>
      <w:r>
        <w:t xml:space="preserve"> </w:t>
      </w:r>
      <m:oMath>
        <m:r>
          <m:rPr>
            <m:sty m:val="p"/>
          </m:rPr>
          <m:t>∇</m:t>
        </m:r>
        <m:r>
          <m:rPr>
            <m:nor/>
          </m:rPr>
          <m:t>VaR</m:t>
        </m:r>
      </m:oMath>
      <w:r>
        <w:t xml:space="preserve">: gradient of Equation 13 with respect to θ;</w:t>
      </w:r>
      <w:r>
        <w:t xml:space="preserve"> </w:t>
      </w:r>
      <m:oMath>
        <m:sSub>
          <m:e>
            <m:r>
              <m:rPr>
                <m:sty m:val="p"/>
              </m:rPr>
              <m:t>ℓ</m:t>
            </m:r>
          </m:e>
          <m:sub>
            <m:r>
              <m:t>p</m:t>
            </m:r>
          </m:sub>
        </m:sSub>
      </m:oMath>
      <w:r>
        <w:t xml:space="preserve">: profile log-likelihood.</w:t>
      </w:r>
    </w:p>
    <w:p>
      <w:pPr>
        <w:pStyle w:val="BodyText"/>
      </w:pPr>
      <w:r>
        <w:rPr>
          <w:bCs/>
          <w:b/>
        </w:rPr>
        <w:t xml:space="preserve">Equation 20 – Delta method:</w:t>
      </w:r>
    </w:p>
    <w:p>
      <w:pPr>
        <w:pStyle w:val="BodyText"/>
      </w:pPr>
      <m:oMathPara>
        <m:oMathParaPr>
          <m:jc m:val="center"/>
        </m:oMathParaPr>
        <m:oMath>
          <m:r>
            <m:rPr>
              <m:nor/>
            </m:rPr>
            <m:t>Var</m:t>
          </m:r>
          <m:d>
            <m:dPr>
              <m:begChr m:val="("/>
              <m:sepChr m:val=""/>
              <m:endChr m:val=")"/>
              <m:grow/>
            </m:dPr>
            <m:e>
              <m:sSub>
                <m:e>
                  <m:acc>
                    <m:accPr>
                      <m:chr m:val="̂"/>
                    </m:accPr>
                    <m:e>
                      <m:r>
                        <m:rPr>
                          <m:nor/>
                        </m:rPr>
                        <m:t>VaR</m:t>
                      </m:r>
                    </m:e>
                  </m:acc>
                </m:e>
                <m:sub>
                  <m:r>
                    <m:t>q</m:t>
                  </m:r>
                </m:sub>
              </m:sSub>
            </m:e>
          </m:d>
          <m:r>
            <m:rPr>
              <m:sty m:val="p"/>
            </m:rPr>
            <m:t>≈</m:t>
          </m:r>
          <m:r>
            <m:rPr>
              <m:sty m:val="p"/>
            </m:rPr>
            <m:t>∇</m:t>
          </m:r>
          <m:sSup>
            <m:e>
              <m:r>
                <m:rPr>
                  <m:nor/>
                </m:rPr>
                <m:t>VaR</m:t>
              </m:r>
            </m:e>
            <m:sup>
              <m:r>
                <m:rPr>
                  <m:sty m:val="p"/>
                </m:rPr>
                <m:t>⊤</m:t>
              </m:r>
            </m:sup>
          </m:sSup>
          <m:r>
            <m:t> </m:t>
          </m:r>
          <m:acc>
            <m:accPr>
              <m:chr m:val="̂"/>
            </m:accPr>
            <m:e>
              <m:r>
                <m:t>Σ</m:t>
              </m:r>
            </m:e>
          </m:acc>
          <m:r>
            <m:t> </m:t>
          </m:r>
          <m:r>
            <m:rPr>
              <m:sty m:val="p"/>
            </m:rPr>
            <m:t>∇</m:t>
          </m:r>
          <m:r>
            <m:rPr>
              <m:nor/>
            </m:rPr>
            <m:t>VaR</m:t>
          </m:r>
          <m:r>
            <m:rPr>
              <m:sty m:val="p"/>
            </m:rPr>
            <m:t>.</m:t>
          </m:r>
        </m:oMath>
      </m:oMathPara>
    </w:p>
    <w:p>
      <w:pPr>
        <w:pStyle w:val="FirstParagraph"/>
      </w:pPr>
      <w:r>
        <w:rPr>
          <w:iCs/>
          <w:i/>
        </w:rPr>
        <w:t xml:space="preserve">Definition:</w:t>
      </w:r>
      <w:r>
        <w:t xml:space="preserve"> </w:t>
      </w:r>
      <w:r>
        <w:t xml:space="preserve">a first-order approximation of the variance of a function of estimated parameters.</w:t>
      </w:r>
    </w:p>
    <w:p>
      <w:pPr>
        <w:pStyle w:val="BodyText"/>
      </w:pPr>
      <w:r>
        <w:rPr>
          <w:bCs/>
          <w:b/>
        </w:rPr>
        <w:t xml:space="preserve">Equation 21 – Profile-likelihood interval:</w:t>
      </w:r>
    </w:p>
    <w:p>
      <w:pPr>
        <w:pStyle w:val="BodyText"/>
      </w:pPr>
      <m:oMathPara>
        <m:oMathParaPr>
          <m:jc m:val="center"/>
        </m:oMathParaPr>
        <m:oMath>
          <m:d>
            <m:dPr>
              <m:begChr m:val="{"/>
              <m:sepChr m:val=""/>
              <m:endChr m:val="}"/>
              <m:grow/>
            </m:dPr>
            <m:e>
              <m:r>
                <m:t>v</m:t>
              </m:r>
              <m:r>
                <m:rPr>
                  <m:sty m:val="p"/>
                </m:rPr>
                <m:t>:</m:t>
              </m:r>
              <m:r>
                <m:t>2</m:t>
              </m:r>
              <m:d>
                <m:dPr>
                  <m:begChr m:val="["/>
                  <m:sepChr m:val=""/>
                  <m:endChr m:val="]"/>
                  <m:grow/>
                </m:dPr>
                <m:e>
                  <m:r>
                    <m:rPr>
                      <m:sty m:val="p"/>
                    </m:rPr>
                    <m:t>ℓ</m:t>
                  </m:r>
                  <m:d>
                    <m:dPr>
                      <m:begChr m:val="("/>
                      <m:sepChr m:val=""/>
                      <m:endChr m:val=")"/>
                      <m:grow/>
                    </m:dPr>
                    <m:e>
                      <m:acc>
                        <m:accPr>
                          <m:chr m:val="̂"/>
                        </m:accPr>
                        <m:e>
                          <m:r>
                            <m:t>θ</m:t>
                          </m:r>
                        </m:e>
                      </m:acc>
                    </m:e>
                  </m:d>
                  <m:r>
                    <m:rPr>
                      <m:sty m:val="p"/>
                    </m:rPr>
                    <m:t>−</m:t>
                  </m:r>
                  <m:sSub>
                    <m:e>
                      <m:r>
                        <m:rPr>
                          <m:sty m:val="p"/>
                        </m:rPr>
                        <m:t>ℓ</m:t>
                      </m:r>
                    </m:e>
                    <m:sub>
                      <m:r>
                        <m:t>p</m:t>
                      </m:r>
                    </m:sub>
                  </m:sSub>
                  <m:d>
                    <m:dPr>
                      <m:begChr m:val="("/>
                      <m:sepChr m:val=""/>
                      <m:endChr m:val=")"/>
                      <m:grow/>
                    </m:dPr>
                    <m:e>
                      <m:r>
                        <m:t>v</m:t>
                      </m:r>
                    </m:e>
                  </m:d>
                </m:e>
              </m:d>
              <m:r>
                <m:rPr>
                  <m:sty m:val="p"/>
                </m:rPr>
                <m:t>≤</m:t>
              </m:r>
              <m:sSubSup>
                <m:e>
                  <m:r>
                    <m:t>χ</m:t>
                  </m:r>
                </m:e>
                <m:sub>
                  <m:r>
                    <m:t>1</m:t>
                  </m:r>
                  <m:r>
                    <m:rPr>
                      <m:sty m:val="p"/>
                    </m:rPr>
                    <m:t>;</m:t>
                  </m:r>
                  <m:r>
                    <m:t>0.95</m:t>
                  </m:r>
                </m:sub>
                <m:sup>
                  <m:r>
                    <m:t>2</m:t>
                  </m:r>
                </m:sup>
              </m:sSubSup>
              <m:r>
                <m:rPr>
                  <m:sty m:val="p"/>
                </m:rPr>
                <m:t>=</m:t>
              </m:r>
              <m:r>
                <m:t>3.84</m:t>
              </m:r>
            </m:e>
          </m:d>
          <m:r>
            <m:rPr>
              <m:sty m:val="p"/>
            </m:rPr>
            <m:t>,</m:t>
          </m:r>
        </m:oMath>
      </m:oMathPara>
    </w:p>
    <w:p>
      <w:pPr>
        <w:pStyle w:val="FirstParagraph"/>
      </w:pPr>
      <w:r>
        <w:rPr>
          <w:iCs/>
          <w:i/>
        </w:rPr>
        <w:t xml:space="preserve">Definition:</w:t>
      </w:r>
      <w:r>
        <w:t xml:space="preserve"> </w:t>
      </w:r>
      <w:r>
        <w:t xml:space="preserve">re-parametrise the GPD by its VaR</w:t>
      </w:r>
      <w:r>
        <w:t xml:space="preserve"> </w:t>
      </w:r>
      <w:r>
        <w:rPr>
          <w:iCs/>
          <w:i/>
        </w:rPr>
        <w:t xml:space="preserve">v</w:t>
      </w:r>
      <w:r>
        <w:t xml:space="preserve"> </w:t>
      </w:r>
      <w:r>
        <w:t xml:space="preserve">(Equation 13 solved for β), maximise the likelihood over ξ for each</w:t>
      </w:r>
      <w:r>
        <w:t xml:space="preserve"> </w:t>
      </w:r>
      <w:r>
        <w:rPr>
          <w:iCs/>
          <w:i/>
        </w:rPr>
        <w:t xml:space="preserve">v</w:t>
      </w:r>
      <w:r>
        <w:t xml:space="preserve">, and keep the values of</w:t>
      </w:r>
      <w:r>
        <w:t xml:space="preserve"> </w:t>
      </w:r>
      <w:r>
        <w:rPr>
          <w:iCs/>
          <w:i/>
        </w:rPr>
        <w:t xml:space="preserve">v</w:t>
      </w:r>
      <w:r>
        <w:t xml:space="preserve"> </w:t>
      </w:r>
      <w:r>
        <w:t xml:space="preserve">that the data do not reject. This interval is</w:t>
      </w:r>
      <w:r>
        <w:t xml:space="preserve"> </w:t>
      </w:r>
      <w:r>
        <w:rPr>
          <w:bCs/>
          <w:b/>
        </w:rPr>
        <w:t xml:space="preserve">asymmetric</w:t>
      </w:r>
      <w:r>
        <w:t xml:space="preserve"> </w:t>
      </w:r>
      <w:r>
        <w:t xml:space="preserve">(longer on the high side), as it should be for a tail quantile.</w:t>
      </w:r>
    </w:p>
    <w:p>
      <w:pPr>
        <w:pStyle w:val="BodyText"/>
      </w:pPr>
      <w:r>
        <w:rPr>
          <w:bCs/>
          <w:b/>
        </w:rPr>
        <w:t xml:space="preserve">Equation 22 – Bootstrap:</w:t>
      </w:r>
      <w:r>
        <w:t xml:space="preserve"> </w:t>
      </w:r>
      <w:r>
        <w:t xml:space="preserve">resample the losses (or, for dependence, blocks of days) many times, refit, and take the 2.5% and 97.5% quantiles of the VaR estimates.</w:t>
      </w:r>
    </w:p>
    <w:p>
      <w:pPr>
        <w:pStyle w:val="BodyText"/>
      </w:pPr>
      <w:r>
        <w:rPr>
          <w:bCs/>
          <w:b/>
        </w:rPr>
        <w:t xml:space="preserve">4. Valid when.</w:t>
      </w:r>
      <w:r>
        <w:t xml:space="preserve"> </w:t>
      </w:r>
      <w:r>
        <w:t xml:space="preserve">Delta method: large samples, estimates far from the boundary. Profile likelihood: better in small samples. Block bootstrap: robust to dependence.</w:t>
      </w:r>
    </w:p>
    <w:p>
      <w:pPr>
        <w:pStyle w:val="BodyText"/>
      </w:pPr>
      <w:r>
        <w:rPr>
          <w:bCs/>
          <w:b/>
        </w:rPr>
        <w:t xml:space="preserve">5. Limitations.</w:t>
      </w:r>
      <w:r>
        <w:t xml:space="preserve"> </w:t>
      </w:r>
      <w:r>
        <w:t xml:space="preserve">All three assume the GPD model is right above</w:t>
      </w:r>
      <w:r>
        <w:t xml:space="preserve"> </w:t>
      </w:r>
      <w:r>
        <w:rPr>
          <w:iCs/>
          <w:i/>
        </w:rPr>
        <w:t xml:space="preserve">u</w:t>
      </w:r>
      <w:r>
        <w:t xml:space="preserve">; none captures threshold-choice uncertainty, which is shown separately with the stability plot.</w:t>
      </w:r>
    </w:p>
    <w:p>
      <w:pPr>
        <w:pStyle w:val="BodyText"/>
      </w:pPr>
      <w:r>
        <w:rPr>
          <w:bCs/>
          <w:b/>
        </w:rPr>
        <w:t xml:space="preserve">6. Implement, validate.</w:t>
      </w:r>
      <w:r>
        <w:t xml:space="preserve"> </w:t>
      </w:r>
      <w:r>
        <w:rPr>
          <w:rStyle w:val="VerbatimChar"/>
        </w:rPr>
        <w:t xml:space="preserve">gpd_var_ci(..., method="delta" | "profile")</w:t>
      </w:r>
      <w:r>
        <w:t xml:space="preserve">,</w:t>
      </w:r>
      <w:r>
        <w:t xml:space="preserve"> </w:t>
      </w:r>
      <w:r>
        <w:rPr>
          <w:rStyle w:val="VerbatimChar"/>
        </w:rPr>
        <w:t xml:space="preserve">bootstrap_var_ci</w:t>
      </w:r>
      <w:r>
        <w:t xml:space="preserve">. Validation: on simulated data, about 95% of the intervals must contain the true VaR (coverage check).</w:t>
      </w:r>
    </w:p>
    <w:p>
      <w:pPr>
        <w:pStyle w:val="BodyText"/>
      </w:pPr>
      <w:r>
        <w:rPr>
          <w:bCs/>
          <w:b/>
        </w:rPr>
        <w:t xml:space="preserve">Example (illustrative).</w:t>
      </w:r>
      <w:r>
        <w:t xml:space="preserve"> </w:t>
      </w:r>
      <w:r>
        <w:t xml:space="preserve">With 500 excesses and ξ = 0.25 ± 0.05, the 99.9% VaR of 6.65% may have a 95% interval of roughly 5.9–7.7%: about</w:t>
      </w:r>
      <w:r>
        <w:t xml:space="preserve"> </w:t>
      </w:r>
      <w:r>
        <w:rPr>
          <w:bCs/>
          <w:b/>
        </w:rPr>
        <w:t xml:space="preserve">−11% / +16%</w:t>
      </w:r>
      <w:r>
        <w:t xml:space="preserve">, asymmetric.</w:t>
      </w:r>
    </w:p>
    <w:p>
      <w:r>
        <w:pict>
          <v:rect style="width:0;height:1.5pt" o:hralign="center" o:hrstd="t" o:hr="t"/>
        </w:pict>
      </w:r>
    </w:p>
    <w:bookmarkEnd w:id="33"/>
    <w:bookmarkStart w:id="34" w:name="X914ea666a44098d1624688f1492aed67b2b873e"/>
    <w:p>
      <w:pPr>
        <w:pStyle w:val="Heading3"/>
      </w:pPr>
      <w:r>
        <w:t xml:space="preserve">B6. Clustering of extremes: the extremal index</w:t>
      </w:r>
    </w:p>
    <w:p>
      <w:pPr>
        <w:pStyle w:val="FirstParagraph"/>
      </w:pPr>
      <w:r>
        <w:rPr>
          <w:bCs/>
          <w:b/>
        </w:rPr>
        <w:t xml:space="preserve">1. What is it?</w:t>
      </w:r>
      <w:r>
        <w:t xml:space="preserve"> </w:t>
      </w:r>
      <w:r>
        <w:t xml:space="preserve">The</w:t>
      </w:r>
      <w:r>
        <w:t xml:space="preserve"> </w:t>
      </w:r>
      <w:r>
        <w:rPr>
          <w:bCs/>
          <w:b/>
        </w:rPr>
        <w:t xml:space="preserve">extremal index</w:t>
      </w:r>
      <w:r>
        <w:t xml:space="preserve"> </w:t>
      </w:r>
      <w:r>
        <w:t xml:space="preserve">θ ∈ (0, 1] measures how much extremes come in clusters: 1/θ is roughly the average size of a cluster of exceedances.</w:t>
      </w:r>
    </w:p>
    <w:p>
      <w:pPr>
        <w:pStyle w:val="BodyText"/>
      </w:pPr>
      <w:r>
        <w:rPr>
          <w:bCs/>
          <w:b/>
        </w:rPr>
        <w:t xml:space="preserve">2. Why?</w:t>
      </w:r>
      <w:r>
        <w:t xml:space="preserve"> </w:t>
      </w:r>
      <w:r>
        <w:t xml:space="preserve">EVT assumes independence. If extremes cluster (they do: October 1987, October 2008, March 2020), the number of</w:t>
      </w:r>
      <w:r>
        <w:t xml:space="preserve"> </w:t>
      </w:r>
      <w:r>
        <w:rPr>
          <w:bCs/>
          <w:b/>
        </w:rPr>
        <w:t xml:space="preserve">independent</w:t>
      </w:r>
      <w:r>
        <w:t xml:space="preserve"> </w:t>
      </w:r>
      <w:r>
        <w:t xml:space="preserve">extreme episodes is smaller than the number of extreme days, and a 99.9% VaR that is right on average will be breached in bursts.</w:t>
      </w:r>
    </w:p>
    <w:p>
      <w:pPr>
        <w:pStyle w:val="BodyText"/>
      </w:pPr>
      <w:r>
        <w:rPr>
          <w:bCs/>
          <w:b/>
        </w:rPr>
        <w:t xml:space="preserve">3. Maths.</w:t>
      </w:r>
    </w:p>
    <w:p>
      <w:pPr>
        <w:pStyle w:val="BodyText"/>
      </w:pPr>
      <w:r>
        <w:rPr>
          <w:bCs/>
          <w:b/>
        </w:rPr>
        <w:t xml:space="preserve">Variables:</w:t>
      </w:r>
      <w:r>
        <w:t xml:space="preserve"> </w:t>
      </w:r>
      <m:oMath>
        <m:sSub>
          <m:e>
            <m:r>
              <m:t>N</m:t>
            </m:r>
          </m:e>
          <m:sub>
            <m:r>
              <m:t>u</m:t>
            </m:r>
          </m:sub>
        </m:sSub>
      </m:oMath>
      <w:r>
        <w:t xml:space="preserve"> </w:t>
      </w:r>
      <w:r>
        <w:t xml:space="preserve">exceedances of</w:t>
      </w:r>
      <w:r>
        <w:t xml:space="preserve"> </w:t>
      </w:r>
      <w:r>
        <w:rPr>
          <w:iCs/>
          <w:i/>
        </w:rPr>
        <w:t xml:space="preserve">u</w:t>
      </w:r>
      <w:r>
        <w:t xml:space="preserve">;</w:t>
      </w:r>
      <w:r>
        <w:t xml:space="preserve"> </w:t>
      </w:r>
      <m:oMath>
        <m:sSub>
          <m:e>
            <m:r>
              <m:t>C</m:t>
            </m:r>
          </m:e>
          <m:sub>
            <m:r>
              <m:t>u</m:t>
            </m:r>
          </m:sub>
        </m:sSub>
      </m:oMath>
      <w:r>
        <w:t xml:space="preserve"> </w:t>
      </w:r>
      <w:r>
        <w:t xml:space="preserve">number of clusters (runs of exceedances separated by at least</w:t>
      </w:r>
      <w:r>
        <w:t xml:space="preserve"> </w:t>
      </w:r>
      <w:r>
        <w:rPr>
          <w:iCs/>
          <w:i/>
        </w:rPr>
        <w:t xml:space="preserve">r</w:t>
      </w:r>
      <w:r>
        <w:t xml:space="preserve"> </w:t>
      </w:r>
      <w:r>
        <w:t xml:space="preserve">days below</w:t>
      </w:r>
      <w:r>
        <w:t xml:space="preserve"> </w:t>
      </w:r>
      <w:r>
        <w:rPr>
          <w:iCs/>
          <w:i/>
        </w:rPr>
        <w:t xml:space="preserve">u</w:t>
      </w:r>
      <w:r>
        <w:t xml:space="preserve">).</w:t>
      </w:r>
    </w:p>
    <w:p>
      <w:pPr>
        <w:pStyle w:val="BodyText"/>
      </w:pPr>
      <w:r>
        <w:rPr>
          <w:bCs/>
          <w:b/>
        </w:rPr>
        <w:t xml:space="preserve">Equation 23 – Runs estimator of the extremal index:</w:t>
      </w:r>
    </w:p>
    <w:p>
      <w:pPr>
        <w:pStyle w:val="BodyText"/>
      </w:pPr>
      <m:oMathPara>
        <m:oMathParaPr>
          <m:jc m:val="center"/>
        </m:oMathParaPr>
        <m:oMath>
          <m:acc>
            <m:accPr>
              <m:chr m:val="̂"/>
            </m:accPr>
            <m:e>
              <m:r>
                <m:t>θ</m:t>
              </m:r>
            </m:e>
          </m:acc>
          <m:r>
            <m:rPr>
              <m:sty m:val="p"/>
            </m:rPr>
            <m:t>=</m:t>
          </m:r>
          <m:f>
            <m:fPr>
              <m:type m:val="bar"/>
            </m:fPr>
            <m:num>
              <m:sSub>
                <m:e>
                  <m:r>
                    <m:t>C</m:t>
                  </m:r>
                </m:e>
                <m:sub>
                  <m:r>
                    <m:t>u</m:t>
                  </m:r>
                </m:sub>
              </m:sSub>
            </m:num>
            <m:den>
              <m:sSub>
                <m:e>
                  <m:r>
                    <m:t>N</m:t>
                  </m:r>
                </m:e>
                <m:sub>
                  <m:r>
                    <m:t>u</m:t>
                  </m:r>
                </m:sub>
              </m:sSub>
            </m:den>
          </m:f>
          <m:r>
            <m:rPr>
              <m:sty m:val="p"/>
            </m:rPr>
            <m:t>.</m:t>
          </m:r>
        </m:oMath>
      </m:oMathPara>
    </w:p>
    <w:p>
      <w:pPr>
        <w:pStyle w:val="FirstParagraph"/>
      </w:pPr>
      <w:r>
        <w:rPr>
          <w:iCs/>
          <w:i/>
        </w:rPr>
        <w:t xml:space="preserve">Definition:</w:t>
      </w:r>
      <w:r>
        <w:t xml:space="preserve"> </w:t>
      </w:r>
      <w:r>
        <w:t xml:space="preserve">clusters per exceedance; θ = 1 means no clustering, θ = 0.5 means extremes come in pairs on average.</w:t>
      </w:r>
    </w:p>
    <w:p>
      <w:pPr>
        <w:pStyle w:val="BodyText"/>
      </w:pPr>
      <w:r>
        <w:rPr>
          <w:bCs/>
          <w:b/>
        </w:rPr>
        <w:t xml:space="preserve">4. Valid when.</w:t>
      </w:r>
      <w:r>
        <w:t xml:space="preserve"> </w:t>
      </w:r>
      <w:r>
        <w:t xml:space="preserve">High threshold, long sample; the run length</w:t>
      </w:r>
      <w:r>
        <w:t xml:space="preserve"> </w:t>
      </w:r>
      <w:r>
        <w:rPr>
          <w:iCs/>
          <w:i/>
        </w:rPr>
        <w:t xml:space="preserve">r</w:t>
      </w:r>
      <w:r>
        <w:t xml:space="preserve"> </w:t>
      </w:r>
      <w:r>
        <w:t xml:space="preserve">is a choice.</w:t>
      </w:r>
    </w:p>
    <w:p>
      <w:pPr>
        <w:pStyle w:val="BodyText"/>
      </w:pPr>
      <w:r>
        <w:rPr>
          <w:bCs/>
          <w:b/>
        </w:rPr>
        <w:t xml:space="preserve">5. Limitations.</w:t>
      </w:r>
      <w:r>
        <w:t xml:space="preserve"> </w:t>
      </w:r>
      <w:r>
        <w:t xml:space="preserve">Sensitive to</w:t>
      </w:r>
      <w:r>
        <w:t xml:space="preserve"> </w:t>
      </w:r>
      <w:r>
        <w:rPr>
          <w:iCs/>
          <w:i/>
        </w:rPr>
        <w:t xml:space="preserve">r</w:t>
      </w:r>
      <w:r>
        <w:t xml:space="preserve"> </w:t>
      </w:r>
      <w:r>
        <w:t xml:space="preserve">and</w:t>
      </w:r>
      <w:r>
        <w:t xml:space="preserve"> </w:t>
      </w:r>
      <w:r>
        <w:rPr>
          <w:iCs/>
          <w:i/>
        </w:rPr>
        <w:t xml:space="preserve">u</w:t>
      </w:r>
      <w:r>
        <w:t xml:space="preserve">. It describes the problem; McNeil–Frey (B7) removes it at the source.</w:t>
      </w:r>
    </w:p>
    <w:p>
      <w:pPr>
        <w:pStyle w:val="BodyText"/>
      </w:pPr>
      <w:r>
        <w:rPr>
          <w:bCs/>
          <w:b/>
        </w:rPr>
        <w:t xml:space="preserve">6. Implement, validate.</w:t>
      </w:r>
      <w:r>
        <w:t xml:space="preserve"> </w:t>
      </w:r>
      <w:r>
        <w:rPr>
          <w:rStyle w:val="VerbatimChar"/>
        </w:rPr>
        <w:t xml:space="preserve">extremal_index_runs</w:t>
      </w:r>
      <w:r>
        <w:t xml:space="preserve">; validated on i.i.d. data (θ ≈ 1) and on a GARCH simulation (θ &lt; 1).</w:t>
      </w:r>
    </w:p>
    <w:p>
      <w:pPr>
        <w:pStyle w:val="BodyText"/>
      </w:pPr>
      <w:r>
        <w:rPr>
          <w:bCs/>
          <w:b/>
        </w:rPr>
        <w:t xml:space="preserve">Example.</w:t>
      </w:r>
      <w:r>
        <w:t xml:space="preserve"> </w:t>
      </w:r>
      <w:r>
        <w:t xml:space="preserve">If 500 exceedances fall into 250 clusters, θ = 0.5: the daily probability of entering an extreme episode is half the daily exceedance probability.</w:t>
      </w:r>
    </w:p>
    <w:p>
      <w:r>
        <w:pict>
          <v:rect style="width:0;height:1.5pt" o:hralign="center" o:hrstd="t" o:hr="t"/>
        </w:pict>
      </w:r>
    </w:p>
    <w:bookmarkEnd w:id="34"/>
    <w:bookmarkStart w:id="35" w:name="X956ad18da85ee5c47953fc5f91260861bdfebe7"/>
    <w:p>
      <w:pPr>
        <w:pStyle w:val="Heading3"/>
      </w:pPr>
      <w:r>
        <w:t xml:space="preserve">B7. McNeil–Frey: EVT on GARCH-standardised residuals</w:t>
      </w:r>
    </w:p>
    <w:p>
      <w:pPr>
        <w:pStyle w:val="FirstParagraph"/>
      </w:pPr>
      <w:r>
        <w:rPr>
          <w:bCs/>
          <w:b/>
        </w:rPr>
        <w:t xml:space="preserve">1. What is it?</w:t>
      </w:r>
      <w:r>
        <w:t xml:space="preserve"> </w:t>
      </w:r>
      <w:r>
        <w:t xml:space="preserve">A two-step</w:t>
      </w:r>
      <w:r>
        <w:t xml:space="preserve"> </w:t>
      </w:r>
      <w:r>
        <w:rPr>
          <w:bCs/>
          <w:b/>
        </w:rPr>
        <w:t xml:space="preserve">conditional</w:t>
      </w:r>
      <w:r>
        <w:t xml:space="preserve"> </w:t>
      </w:r>
      <w:r>
        <w:t xml:space="preserve">EVT model (McNeil and Frey, 2000):</w:t>
      </w:r>
    </w:p>
    <w:p>
      <w:pPr>
        <w:numPr>
          <w:ilvl w:val="0"/>
          <w:numId w:val="1022"/>
        </w:numPr>
        <w:pStyle w:val="Compact"/>
      </w:pPr>
      <w:r>
        <w:t xml:space="preserve">fit a GARCH model to the losses and compute the</w:t>
      </w:r>
      <w:r>
        <w:t xml:space="preserve"> </w:t>
      </w:r>
      <w:r>
        <w:rPr>
          <w:bCs/>
          <w:b/>
        </w:rPr>
        <w:t xml:space="preserve">standardised residuals</w:t>
      </w:r>
      <w:r>
        <w:t xml:space="preserve"> </w:t>
      </w:r>
      <m:oMath>
        <m:sSub>
          <m:e>
            <m:r>
              <m:t>z</m:t>
            </m:r>
          </m:e>
          <m:sub>
            <m:r>
              <m:t>t</m:t>
            </m:r>
          </m:sub>
        </m:sSub>
        <m:r>
          <m:rPr>
            <m:sty m:val="p"/>
          </m:rPr>
          <m:t>=</m:t>
        </m:r>
        <m:d>
          <m:dPr>
            <m:begChr m:val="("/>
            <m:sepChr m:val=""/>
            <m:endChr m:val=")"/>
            <m:grow/>
          </m:dPr>
          <m:e>
            <m:sSub>
              <m:e>
                <m:r>
                  <m:t>x</m:t>
                </m:r>
              </m:e>
              <m:sub>
                <m:r>
                  <m:t>t</m:t>
                </m:r>
              </m:sub>
            </m:sSub>
            <m:r>
              <m:rPr>
                <m:sty m:val="p"/>
              </m:rPr>
              <m:t>−</m:t>
            </m:r>
            <m:sSub>
              <m:e>
                <m:r>
                  <m:t>μ</m:t>
                </m:r>
              </m:e>
              <m:sub>
                <m:r>
                  <m:t>t</m:t>
                </m:r>
              </m:sub>
            </m:sSub>
          </m:e>
        </m:d>
        <m:r>
          <m:rPr>
            <m:sty m:val="p"/>
          </m:rPr>
          <m:t>/</m:t>
        </m:r>
        <m:sSub>
          <m:e>
            <m:r>
              <m:t>σ</m:t>
            </m:r>
          </m:e>
          <m:sub>
            <m:r>
              <m:t>t</m:t>
            </m:r>
          </m:sub>
        </m:sSub>
      </m:oMath>
      <w:r>
        <w:t xml:space="preserve">;</w:t>
      </w:r>
    </w:p>
    <w:p>
      <w:pPr>
        <w:numPr>
          <w:ilvl w:val="0"/>
          <w:numId w:val="1022"/>
        </w:numPr>
        <w:pStyle w:val="Compact"/>
      </w:pPr>
      <w:r>
        <w:t xml:space="preserve">fit a GPD to the tail of the residuals; the VaR for tomorrow is today’s volatility forecast × the EVT quantile of the residuals.</w:t>
      </w:r>
    </w:p>
    <w:p>
      <w:pPr>
        <w:pStyle w:val="FirstParagraph"/>
      </w:pPr>
      <w:r>
        <w:rPr>
          <w:bCs/>
          <w:b/>
        </w:rPr>
        <w:t xml:space="preserve">2. Why was it developed?</w:t>
      </w:r>
      <w:r>
        <w:t xml:space="preserve"> </w:t>
      </w:r>
      <w:r>
        <w:t xml:space="preserve">Unconditional EVT ignores that volatility changes: its VaR is the same in 2017 (VIX 10) and in October 2008, so its breaches cluster in crises. GARCH alone captures volatility but assumes a normal or t distribution for the shocks, which is wrong in the far tail. McNeil–Frey combines the two:</w:t>
      </w:r>
      <w:r>
        <w:t xml:space="preserve"> </w:t>
      </w:r>
      <w:r>
        <w:rPr>
          <w:bCs/>
          <w:b/>
        </w:rPr>
        <w:t xml:space="preserve">GARCH for the</w:t>
      </w:r>
      <w:r>
        <w:rPr>
          <w:bCs/>
          <w:b/>
        </w:rPr>
        <w:t xml:space="preserve"> </w:t>
      </w:r>
      <w:r>
        <w:rPr>
          <w:bCs/>
          <w:b/>
        </w:rPr>
        <w:t xml:space="preserve">“</w:t>
      </w:r>
      <w:r>
        <w:rPr>
          <w:bCs/>
          <w:b/>
        </w:rPr>
        <w:t xml:space="preserve">when</w:t>
      </w:r>
      <w:r>
        <w:rPr>
          <w:bCs/>
          <w:b/>
        </w:rPr>
        <w:t xml:space="preserve">”</w:t>
      </w:r>
      <w:r>
        <w:rPr>
          <w:bCs/>
          <w:b/>
        </w:rPr>
        <w:t xml:space="preserve">, EVT for the</w:t>
      </w:r>
      <w:r>
        <w:rPr>
          <w:bCs/>
          <w:b/>
        </w:rPr>
        <w:t xml:space="preserve"> </w:t>
      </w:r>
      <w:r>
        <w:rPr>
          <w:bCs/>
          <w:b/>
        </w:rPr>
        <w:t xml:space="preserve">“</w:t>
      </w:r>
      <w:r>
        <w:rPr>
          <w:bCs/>
          <w:b/>
        </w:rPr>
        <w:t xml:space="preserve">how big</w:t>
      </w:r>
      <w:r>
        <w:rPr>
          <w:bCs/>
          <w:b/>
        </w:rPr>
        <w:t xml:space="preserve">”</w:t>
      </w:r>
      <w:r>
        <w:t xml:space="preserve">. The residuals are much closer to i.i.d., which is what EVT needs.</w:t>
      </w:r>
    </w:p>
    <w:p>
      <w:pPr>
        <w:pStyle w:val="BodyText"/>
      </w:pPr>
      <w:r>
        <w:rPr>
          <w:bCs/>
          <w:b/>
        </w:rPr>
        <w:t xml:space="preserve">3. Maths.</w:t>
      </w:r>
    </w:p>
    <w:p>
      <w:pPr>
        <w:pStyle w:val="BodyText"/>
      </w:pPr>
      <w:r>
        <w:rPr>
          <w:bCs/>
          <w:b/>
        </w:rPr>
        <w:t xml:space="preserve">Variables:</w:t>
      </w:r>
    </w:p>
    <w:p>
      <w:pPr>
        <w:numPr>
          <w:ilvl w:val="0"/>
          <w:numId w:val="1023"/>
        </w:numPr>
        <w:pStyle w:val="Compact"/>
      </w:pPr>
      <m:oMath>
        <m:sSub>
          <m:e>
            <m:r>
              <m:t>μ</m:t>
            </m:r>
          </m:e>
          <m:sub>
            <m:r>
              <m:t>t</m:t>
            </m:r>
          </m:sub>
        </m:sSub>
      </m:oMath>
      <w:r>
        <w:t xml:space="preserve">,</w:t>
      </w:r>
      <w:r>
        <w:t xml:space="preserve"> </w:t>
      </w:r>
      <m:oMath>
        <m:sSub>
          <m:e>
            <m:r>
              <m:t>σ</m:t>
            </m:r>
          </m:e>
          <m:sub>
            <m:r>
              <m:t>t</m:t>
            </m:r>
          </m:sub>
        </m:sSub>
      </m:oMath>
      <w:r>
        <w:t xml:space="preserve">: conditional mean and volatility of the loss for day</w:t>
      </w:r>
      <w:r>
        <w:t xml:space="preserve"> </w:t>
      </w:r>
      <w:r>
        <w:rPr>
          <w:iCs/>
          <w:i/>
        </w:rPr>
        <w:t xml:space="preserve">t</w:t>
      </w:r>
      <w:r>
        <w:t xml:space="preserve">, known on day</w:t>
      </w:r>
      <w:r>
        <w:t xml:space="preserve"> </w:t>
      </w:r>
      <w:r>
        <w:rPr>
          <w:iCs/>
          <w:i/>
        </w:rPr>
        <w:t xml:space="preserve">t − 1</w:t>
      </w:r>
      <w:r>
        <w:t xml:space="preserve">.</w:t>
      </w:r>
    </w:p>
    <w:p>
      <w:pPr>
        <w:numPr>
          <w:ilvl w:val="0"/>
          <w:numId w:val="1023"/>
        </w:numPr>
        <w:pStyle w:val="Compact"/>
      </w:pPr>
      <m:oMath>
        <m:sSub>
          <m:e>
            <m:r>
              <m:t>z</m:t>
            </m:r>
          </m:e>
          <m:sub>
            <m:r>
              <m:t>t</m:t>
            </m:r>
          </m:sub>
        </m:sSub>
      </m:oMath>
      <w:r>
        <w:t xml:space="preserve">: standardised residual;</w:t>
      </w:r>
      <w:r>
        <w:t xml:space="preserve"> </w:t>
      </w:r>
      <m:oMath>
        <m:r>
          <m:t>ω</m:t>
        </m:r>
        <m:r>
          <m:rPr>
            <m:sty m:val="p"/>
          </m:rPr>
          <m:t>,</m:t>
        </m:r>
        <m:r>
          <m:t>α</m:t>
        </m:r>
        <m:r>
          <m:rPr>
            <m:sty m:val="p"/>
          </m:rPr>
          <m:t>,</m:t>
        </m:r>
        <m:r>
          <m:t>γ</m:t>
        </m:r>
        <m:r>
          <m:rPr>
            <m:sty m:val="p"/>
          </m:rPr>
          <m:t>,</m:t>
        </m:r>
        <m:r>
          <m:t>β</m:t>
        </m:r>
      </m:oMath>
      <w:r>
        <w:t xml:space="preserve">: GJR-GARCH parameters (Project 2).</w:t>
      </w:r>
    </w:p>
    <w:p>
      <w:pPr>
        <w:numPr>
          <w:ilvl w:val="0"/>
          <w:numId w:val="1023"/>
        </w:numPr>
        <w:pStyle w:val="Compact"/>
      </w:pPr>
      <m:oMath>
        <m:sSubSup>
          <m:e>
            <m:r>
              <m:t>z</m:t>
            </m:r>
          </m:e>
          <m:sub>
            <m:r>
              <m:t>q</m:t>
            </m:r>
          </m:sub>
          <m:sup>
            <m:r>
              <m:t>E</m:t>
            </m:r>
            <m:r>
              <m:t>V</m:t>
            </m:r>
            <m:r>
              <m:t>T</m:t>
            </m:r>
          </m:sup>
        </m:sSubSup>
      </m:oMath>
      <w:r>
        <w:t xml:space="preserve">,</w:t>
      </w:r>
      <w:r>
        <w:t xml:space="preserve"> </w:t>
      </w:r>
      <m:oMath>
        <m:sSubSup>
          <m:e>
            <m:r>
              <m:rPr>
                <m:nor/>
              </m:rPr>
              <m:t>ES</m:t>
            </m:r>
          </m:e>
          <m:sub>
            <m:r>
              <m:t>q</m:t>
            </m:r>
          </m:sub>
          <m:sup>
            <m:r>
              <m:t>E</m:t>
            </m:r>
            <m:r>
              <m:t>V</m:t>
            </m:r>
            <m:r>
              <m:t>T</m:t>
            </m:r>
          </m:sup>
        </m:sSubSup>
        <m:d>
          <m:dPr>
            <m:begChr m:val="("/>
            <m:sepChr m:val=""/>
            <m:endChr m:val=")"/>
            <m:grow/>
          </m:dPr>
          <m:e>
            <m:r>
              <m:t>z</m:t>
            </m:r>
          </m:e>
        </m:d>
      </m:oMath>
      <w:r>
        <w:t xml:space="preserve">: GPD VaR and ES of the residuals (Equations 13–14 applied to</w:t>
      </w:r>
      <w:r>
        <w:t xml:space="preserve"> </w:t>
      </w:r>
      <m:oMath>
        <m:r>
          <m:t>z</m:t>
        </m:r>
      </m:oMath>
      <w:r>
        <w:t xml:space="preserve">).</w:t>
      </w:r>
    </w:p>
    <w:p>
      <w:pPr>
        <w:pStyle w:val="FirstParagraph"/>
      </w:pPr>
      <w:r>
        <w:rPr>
          <w:bCs/>
          <w:b/>
        </w:rPr>
        <w:t xml:space="preserve">Equation 24 – GJR-GARCH(1,1) for the losses:</w:t>
      </w:r>
    </w:p>
    <w:p>
      <w:pPr>
        <w:pStyle w:val="BodyText"/>
      </w:pPr>
      <m:oMathPara>
        <m:oMathParaPr>
          <m:jc m:val="center"/>
        </m:oMathParaPr>
        <m:oMath>
          <m:sSub>
            <m:e>
              <m:r>
                <m:t>x</m:t>
              </m:r>
            </m:e>
            <m:sub>
              <m:r>
                <m:t>t</m:t>
              </m:r>
            </m:sub>
          </m:sSub>
          <m:r>
            <m:rPr>
              <m:sty m:val="p"/>
            </m:rPr>
            <m:t>=</m:t>
          </m:r>
          <m:r>
            <m:t>μ</m:t>
          </m:r>
          <m:r>
            <m:rPr>
              <m:sty m:val="p"/>
            </m:rPr>
            <m:t>+</m:t>
          </m:r>
          <m:sSub>
            <m:e>
              <m:r>
                <m:t>σ</m:t>
              </m:r>
            </m:e>
            <m:sub>
              <m:r>
                <m:t>t</m:t>
              </m:r>
            </m:sub>
          </m:sSub>
          <m:sSub>
            <m:e>
              <m:r>
                <m:t>z</m:t>
              </m:r>
            </m:e>
            <m:sub>
              <m:r>
                <m:t>t</m:t>
              </m:r>
            </m:sub>
          </m:sSub>
          <m:r>
            <m:rPr>
              <m:sty m:val="p"/>
            </m:rPr>
            <m:t>,</m:t>
          </m:r>
          <m:r>
            <m:t>  </m:t>
          </m:r>
          <m:sSubSup>
            <m:e>
              <m:r>
                <m:t>σ</m:t>
              </m:r>
            </m:e>
            <m:sub>
              <m:r>
                <m:t>t</m:t>
              </m:r>
            </m:sub>
            <m:sup>
              <m:r>
                <m:t>2</m:t>
              </m:r>
            </m:sup>
          </m:sSubSup>
          <m:r>
            <m:rPr>
              <m:sty m:val="p"/>
            </m:rPr>
            <m:t>=</m:t>
          </m:r>
          <m:r>
            <m:t>ω</m:t>
          </m:r>
          <m:r>
            <m:rPr>
              <m:sty m:val="p"/>
            </m:rPr>
            <m:t>+</m:t>
          </m:r>
          <m:d>
            <m:dPr>
              <m:begChr m:val="("/>
              <m:sepChr m:val=""/>
              <m:endChr m:val=")"/>
              <m:grow/>
            </m:dPr>
            <m:e>
              <m:r>
                <m:t>α</m:t>
              </m:r>
              <m:r>
                <m:rPr>
                  <m:sty m:val="p"/>
                </m:rPr>
                <m:t>+</m:t>
              </m:r>
              <m:r>
                <m:t>γ</m:t>
              </m:r>
              <m:r>
                <m:t> </m:t>
              </m:r>
              <m:r>
                <m:rPr>
                  <m:sty m:val="p"/>
                  <m:scr m:val="double-struck"/>
                </m:rPr>
                <m:t>1</m:t>
              </m:r>
              <m:d>
                <m:dPr>
                  <m:begChr m:val="["/>
                  <m:sepChr m:val=""/>
                  <m:endChr m:val="]"/>
                  <m:grow/>
                </m:dPr>
                <m:e>
                  <m:sSub>
                    <m:e>
                      <m:r>
                        <m:t>x</m:t>
                      </m:r>
                    </m:e>
                    <m:sub>
                      <m:r>
                        <m:t>t</m:t>
                      </m:r>
                      <m:r>
                        <m:rPr>
                          <m:sty m:val="p"/>
                        </m:rPr>
                        <m:t>−</m:t>
                      </m:r>
                      <m:r>
                        <m:t>1</m:t>
                      </m:r>
                    </m:sub>
                  </m:sSub>
                  <m:r>
                    <m:rPr>
                      <m:sty m:val="p"/>
                    </m:rPr>
                    <m:t>&gt;</m:t>
                  </m:r>
                  <m:r>
                    <m:t>μ</m:t>
                  </m:r>
                </m:e>
              </m:d>
            </m:e>
          </m:d>
          <m:sSup>
            <m:e>
              <m:d>
                <m:dPr>
                  <m:begChr m:val="("/>
                  <m:sepChr m:val=""/>
                  <m:endChr m:val=")"/>
                  <m:grow/>
                </m:dPr>
                <m:e>
                  <m:sSub>
                    <m:e>
                      <m:r>
                        <m:t>x</m:t>
                      </m:r>
                    </m:e>
                    <m:sub>
                      <m:r>
                        <m:t>t</m:t>
                      </m:r>
                      <m:r>
                        <m:rPr>
                          <m:sty m:val="p"/>
                        </m:rPr>
                        <m:t>−</m:t>
                      </m:r>
                      <m:r>
                        <m:t>1</m:t>
                      </m:r>
                    </m:sub>
                  </m:sSub>
                  <m:r>
                    <m:rPr>
                      <m:sty m:val="p"/>
                    </m:rPr>
                    <m:t>−</m:t>
                  </m:r>
                  <m:r>
                    <m:t>μ</m:t>
                  </m:r>
                </m:e>
              </m:d>
            </m:e>
            <m:sup>
              <m:r>
                <m:t>2</m:t>
              </m:r>
            </m:sup>
          </m:sSup>
          <m:r>
            <m:rPr>
              <m:sty m:val="p"/>
            </m:rPr>
            <m:t>+</m:t>
          </m:r>
          <m:r>
            <m:t>β</m:t>
          </m:r>
          <m:r>
            <m:t> </m:t>
          </m:r>
          <m:sSubSup>
            <m:e>
              <m:r>
                <m:t>σ</m:t>
              </m:r>
            </m:e>
            <m:sub>
              <m:r>
                <m:t>t</m:t>
              </m:r>
              <m:r>
                <m:rPr>
                  <m:sty m:val="p"/>
                </m:rPr>
                <m:t>−</m:t>
              </m:r>
              <m:r>
                <m:t>1</m:t>
              </m:r>
            </m:sub>
            <m:sup>
              <m:r>
                <m:t>2</m:t>
              </m:r>
            </m:sup>
          </m:sSubSup>
          <m:r>
            <m:rPr>
              <m:sty m:val="p"/>
            </m:rPr>
            <m:t>.</m:t>
          </m:r>
        </m:oMath>
      </m:oMathPara>
    </w:p>
    <w:p>
      <w:pPr>
        <w:pStyle w:val="FirstParagraph"/>
      </w:pPr>
      <w:r>
        <w:rPr>
          <w:iCs/>
          <w:i/>
        </w:rPr>
        <w:t xml:space="preserve">Definition:</w:t>
      </w:r>
      <w:r>
        <w:t xml:space="preserve"> </w:t>
      </w:r>
      <w:r>
        <w:t xml:space="preserve">the volatility reacts more to a</w:t>
      </w:r>
      <w:r>
        <w:t xml:space="preserve"> </w:t>
      </w:r>
      <w:r>
        <w:rPr>
          <w:bCs/>
          <w:b/>
        </w:rPr>
        <w:t xml:space="preserve">loss</w:t>
      </w:r>
      <w:r>
        <w:t xml:space="preserve"> </w:t>
      </w:r>
      <w:r>
        <w:t xml:space="preserve">(a fall of the index) than to a gain — the leverage effect of Projects 2–6, written here in loss terms.</w:t>
      </w:r>
    </w:p>
    <w:p>
      <w:pPr>
        <w:pStyle w:val="BodyText"/>
      </w:pPr>
      <w:r>
        <w:rPr>
          <w:bCs/>
          <w:b/>
        </w:rPr>
        <w:t xml:space="preserve">Equation 25 – Quasi-maximum likelihood (QML):</w:t>
      </w:r>
    </w:p>
    <w:p>
      <w:pPr>
        <w:pStyle w:val="BodyText"/>
      </w:pPr>
      <m:oMathPara>
        <m:oMathParaPr>
          <m:jc m:val="center"/>
        </m:oMathParaPr>
        <m:oMath>
          <m:r>
            <m:rPr>
              <m:sty m:val="p"/>
            </m:rPr>
            <m:t>ℓ</m:t>
          </m:r>
          <m:d>
            <m:dPr>
              <m:begChr m:val="("/>
              <m:sepChr m:val=""/>
              <m:endChr m:val=")"/>
              <m:grow/>
            </m:dPr>
            <m:e>
              <m:r>
                <m:t>ω</m:t>
              </m:r>
              <m:r>
                <m:rPr>
                  <m:sty m:val="p"/>
                </m:rPr>
                <m:t>,</m:t>
              </m:r>
              <m:r>
                <m:t>α</m:t>
              </m:r>
              <m:r>
                <m:rPr>
                  <m:sty m:val="p"/>
                </m:rPr>
                <m:t>,</m:t>
              </m:r>
              <m:r>
                <m:t>γ</m:t>
              </m:r>
              <m:r>
                <m:rPr>
                  <m:sty m:val="p"/>
                </m:rPr>
                <m:t>,</m:t>
              </m:r>
              <m:r>
                <m:t>β</m:t>
              </m:r>
              <m:r>
                <m:rPr>
                  <m:sty m:val="p"/>
                </m:rPr>
                <m:t>,</m:t>
              </m:r>
              <m:r>
                <m:t>μ</m:t>
              </m:r>
            </m:e>
          </m:d>
          <m:r>
            <m:rPr>
              <m:sty m:val="p"/>
            </m:rPr>
            <m:t>=</m:t>
          </m:r>
          <m:r>
            <m:rPr>
              <m:sty m:val="p"/>
            </m:rPr>
            <m:t>−</m:t>
          </m:r>
          <m:f>
            <m:fPr>
              <m:type m:val="bar"/>
            </m:fPr>
            <m:num>
              <m:r>
                <m:t>1</m:t>
              </m:r>
            </m:num>
            <m:den>
              <m:r>
                <m:t>2</m:t>
              </m:r>
            </m:den>
          </m:f>
          <m:nary>
            <m:naryPr>
              <m:chr m:val="∑"/>
              <m:limLoc m:val="undOvr"/>
              <m:subHide m:val="off"/>
              <m:supHide m:val="on"/>
            </m:naryPr>
            <m:sub>
              <m:r>
                <m:t>t</m:t>
              </m:r>
            </m:sub>
            <m:sup>
              <m:r>
                <m:t>​</m:t>
              </m:r>
            </m:sup>
            <m:e>
              <m:d>
                <m:dPr>
                  <m:begChr m:val="["/>
                  <m:sepChr m:val=""/>
                  <m:endChr m:val="]"/>
                  <m:grow/>
                </m:dPr>
                <m:e>
                  <m:r>
                    <m:rPr>
                      <m:sty m:val="p"/>
                    </m:rPr>
                    <m:t>ln</m:t>
                  </m:r>
                  <m:sSubSup>
                    <m:e>
                      <m:r>
                        <m:t>σ</m:t>
                      </m:r>
                    </m:e>
                    <m:sub>
                      <m:r>
                        <m:t>t</m:t>
                      </m:r>
                    </m:sub>
                    <m:sup>
                      <m:r>
                        <m:t>2</m:t>
                      </m:r>
                    </m:sup>
                  </m:sSubSup>
                  <m:r>
                    <m:rPr>
                      <m:sty m:val="p"/>
                    </m:rPr>
                    <m:t>+</m:t>
                  </m:r>
                  <m:f>
                    <m:fPr>
                      <m:type m:val="bar"/>
                    </m:fPr>
                    <m:num>
                      <m:sSup>
                        <m:e>
                          <m:d>
                            <m:dPr>
                              <m:begChr m:val="("/>
                              <m:sepChr m:val=""/>
                              <m:endChr m:val=")"/>
                              <m:grow/>
                            </m:dPr>
                            <m:e>
                              <m:sSub>
                                <m:e>
                                  <m:r>
                                    <m:t>x</m:t>
                                  </m:r>
                                </m:e>
                                <m:sub>
                                  <m:r>
                                    <m:t>t</m:t>
                                  </m:r>
                                </m:sub>
                              </m:sSub>
                              <m:r>
                                <m:rPr>
                                  <m:sty m:val="p"/>
                                </m:rPr>
                                <m:t>−</m:t>
                              </m:r>
                              <m:r>
                                <m:t>μ</m:t>
                              </m:r>
                            </m:e>
                          </m:d>
                        </m:e>
                        <m:sup>
                          <m:r>
                            <m:t>2</m:t>
                          </m:r>
                        </m:sup>
                      </m:sSup>
                    </m:num>
                    <m:den>
                      <m:sSubSup>
                        <m:e>
                          <m:r>
                            <m:t>σ</m:t>
                          </m:r>
                        </m:e>
                        <m:sub>
                          <m:r>
                            <m:t>t</m:t>
                          </m:r>
                        </m:sub>
                        <m:sup>
                          <m:r>
                            <m:t>2</m:t>
                          </m:r>
                        </m:sup>
                      </m:sSubSup>
                    </m:den>
                  </m:f>
                </m:e>
              </m:d>
            </m:e>
          </m:nary>
          <m:r>
            <m:rPr>
              <m:sty m:val="p"/>
            </m:rPr>
            <m:t>.</m:t>
          </m:r>
        </m:oMath>
      </m:oMathPara>
    </w:p>
    <w:p>
      <w:pPr>
        <w:pStyle w:val="FirstParagraph"/>
      </w:pPr>
      <w:r>
        <w:rPr>
          <w:iCs/>
          <w:i/>
        </w:rPr>
        <w:t xml:space="preserve">Definition:</w:t>
      </w:r>
      <w:r>
        <w:t xml:space="preserve"> </w:t>
      </w:r>
      <w:r>
        <w:t xml:space="preserve">the normal likelihood, used even though the residuals are not normal; it still estimates the volatility parameters consistently (Bollerslev–Wooldridge). McNeil and Frey use QML because the tail is then modelled by EVT, not by the likelihood.</w:t>
      </w:r>
    </w:p>
    <w:p>
      <w:pPr>
        <w:pStyle w:val="BodyText"/>
      </w:pPr>
      <w:r>
        <w:rPr>
          <w:bCs/>
          <w:b/>
        </w:rPr>
        <w:t xml:space="preserve">Equation 26 – Conditional VaR and ES:</w:t>
      </w:r>
    </w:p>
    <w:p>
      <w:pPr>
        <w:pStyle w:val="BodyText"/>
      </w:pPr>
      <m:oMathPara>
        <m:oMathParaPr>
          <m:jc m:val="center"/>
        </m:oMathParaPr>
        <m:oMath>
          <m:sSub>
            <m:e>
              <m:r>
                <m:rPr>
                  <m:nor/>
                </m:rPr>
                <m:t>VaR</m:t>
              </m:r>
            </m:e>
            <m:sub>
              <m:r>
                <m:t>q</m:t>
              </m:r>
              <m:r>
                <m:rPr>
                  <m:sty m:val="p"/>
                </m:rPr>
                <m:t>,</m:t>
              </m:r>
              <m:r>
                <m:t>t</m:t>
              </m:r>
            </m:sub>
          </m:sSub>
          <m:r>
            <m:rPr>
              <m:sty m:val="p"/>
            </m:rPr>
            <m:t>=</m:t>
          </m:r>
          <m:sSub>
            <m:e>
              <m:r>
                <m:t>μ</m:t>
              </m:r>
            </m:e>
            <m:sub>
              <m:r>
                <m:t>t</m:t>
              </m:r>
            </m:sub>
          </m:sSub>
          <m:r>
            <m:rPr>
              <m:sty m:val="p"/>
            </m:rPr>
            <m:t>+</m:t>
          </m:r>
          <m:sSub>
            <m:e>
              <m:r>
                <m:t>σ</m:t>
              </m:r>
            </m:e>
            <m:sub>
              <m:r>
                <m:t>t</m:t>
              </m:r>
            </m:sub>
          </m:sSub>
          <m:r>
            <m:t> </m:t>
          </m:r>
          <m:sSubSup>
            <m:e>
              <m:r>
                <m:t>z</m:t>
              </m:r>
            </m:e>
            <m:sub>
              <m:r>
                <m:t>q</m:t>
              </m:r>
            </m:sub>
            <m:sup>
              <m:r>
                <m:t>E</m:t>
              </m:r>
              <m:r>
                <m:t>V</m:t>
              </m:r>
              <m:r>
                <m:t>T</m:t>
              </m:r>
            </m:sup>
          </m:sSubSup>
          <m:r>
            <m:rPr>
              <m:sty m:val="p"/>
            </m:rPr>
            <m:t>,</m:t>
          </m:r>
          <m:r>
            <m:t>  </m:t>
          </m:r>
          <m:sSub>
            <m:e>
              <m:r>
                <m:rPr>
                  <m:nor/>
                </m:rPr>
                <m:t>ES</m:t>
              </m:r>
            </m:e>
            <m:sub>
              <m:r>
                <m:t>q</m:t>
              </m:r>
              <m:r>
                <m:rPr>
                  <m:sty m:val="p"/>
                </m:rPr>
                <m:t>,</m:t>
              </m:r>
              <m:r>
                <m:t>t</m:t>
              </m:r>
            </m:sub>
          </m:sSub>
          <m:r>
            <m:rPr>
              <m:sty m:val="p"/>
            </m:rPr>
            <m:t>=</m:t>
          </m:r>
          <m:sSub>
            <m:e>
              <m:r>
                <m:t>μ</m:t>
              </m:r>
            </m:e>
            <m:sub>
              <m:r>
                <m:t>t</m:t>
              </m:r>
            </m:sub>
          </m:sSub>
          <m:r>
            <m:rPr>
              <m:sty m:val="p"/>
            </m:rPr>
            <m:t>+</m:t>
          </m:r>
          <m:sSub>
            <m:e>
              <m:r>
                <m:t>σ</m:t>
              </m:r>
            </m:e>
            <m:sub>
              <m:r>
                <m:t>t</m:t>
              </m:r>
            </m:sub>
          </m:sSub>
          <m:r>
            <m:t> </m:t>
          </m:r>
          <m:sSubSup>
            <m:e>
              <m:r>
                <m:rPr>
                  <m:nor/>
                </m:rPr>
                <m:t>ES</m:t>
              </m:r>
            </m:e>
            <m:sub>
              <m:r>
                <m:t>q</m:t>
              </m:r>
            </m:sub>
            <m:sup>
              <m:r>
                <m:t>E</m:t>
              </m:r>
              <m:r>
                <m:t>V</m:t>
              </m:r>
              <m:r>
                <m:t>T</m:t>
              </m:r>
            </m:sup>
          </m:sSubSup>
          <m:d>
            <m:dPr>
              <m:begChr m:val="("/>
              <m:sepChr m:val=""/>
              <m:endChr m:val=")"/>
              <m:grow/>
            </m:dPr>
            <m:e>
              <m:r>
                <m:t>z</m:t>
              </m:r>
            </m:e>
          </m:d>
          <m:r>
            <m:rPr>
              <m:sty m:val="p"/>
            </m:rPr>
            <m:t>.</m:t>
          </m:r>
        </m:oMath>
      </m:oMathPara>
    </w:p>
    <w:p>
      <w:pPr>
        <w:pStyle w:val="FirstParagraph"/>
      </w:pPr>
      <w:r>
        <w:rPr>
          <w:iCs/>
          <w:i/>
        </w:rPr>
        <w:t xml:space="preserve">Definition:</w:t>
      </w:r>
      <w:r>
        <w:t xml:space="preserve"> </w:t>
      </w:r>
      <w:r>
        <w:t xml:space="preserve">tomorrow’s VaR = tomorrow’s mean loss + tomorrow’s volatility × the extreme quantile of the standardised shocks.</w:t>
      </w:r>
    </w:p>
    <w:p>
      <w:pPr>
        <w:pStyle w:val="BodyText"/>
      </w:pPr>
      <w:r>
        <w:rPr>
          <w:bCs/>
          <w:b/>
        </w:rPr>
        <w:t xml:space="preserve">Out-of-sample implementation.</w:t>
      </w:r>
      <w:r>
        <w:t xml:space="preserve"> </w:t>
      </w:r>
      <w:r>
        <w:t xml:space="preserve">Rolling window of 1,000 days (as in McNeil and Frey, and Projects 4–6), GARCH refitted every 20 days, GPD fitted on the 100 largest residuals of the window (the top 10%, McNeil and Frey’s choice), and the volatility updated every day.</w:t>
      </w:r>
    </w:p>
    <w:p>
      <w:pPr>
        <w:pStyle w:val="BodyText"/>
      </w:pPr>
      <w:r>
        <w:rPr>
          <w:bCs/>
          <w:b/>
        </w:rPr>
        <w:t xml:space="preserve">4. Valid when.</w:t>
      </w:r>
      <w:r>
        <w:t xml:space="preserve"> </w:t>
      </w:r>
      <w:r>
        <w:t xml:space="preserve">The GARCH model captures the volatility dynamics well enough that the residuals are close to i.i.d. (checked with Ljung–Box tests on</w:t>
      </w:r>
      <w:r>
        <w:t xml:space="preserve"> </w:t>
      </w:r>
      <m:oMath>
        <m:sSubSup>
          <m:e>
            <m:r>
              <m:t>z</m:t>
            </m:r>
          </m:e>
          <m:sub>
            <m:r>
              <m:t>t</m:t>
            </m:r>
          </m:sub>
          <m:sup>
            <m:r>
              <m:t>2</m:t>
            </m:r>
          </m:sup>
        </m:sSubSup>
      </m:oMath>
      <w:r>
        <w:t xml:space="preserve"> </w:t>
      </w:r>
      <w:r>
        <w:t xml:space="preserve">and with the extremal index of the residuals).</w:t>
      </w:r>
    </w:p>
    <w:p>
      <w:pPr>
        <w:pStyle w:val="BodyText"/>
      </w:pPr>
      <w:r>
        <w:rPr>
          <w:bCs/>
          <w:b/>
        </w:rPr>
        <w:t xml:space="preserve">5. Limitations.</w:t>
      </w:r>
    </w:p>
    <w:p>
      <w:pPr>
        <w:numPr>
          <w:ilvl w:val="0"/>
          <w:numId w:val="1024"/>
        </w:numPr>
        <w:pStyle w:val="Compact"/>
      </w:pPr>
      <w:r>
        <w:t xml:space="preserve">Two-step estimation: the GPD ignores the uncertainty of the GARCH parameters.</w:t>
      </w:r>
    </w:p>
    <w:p>
      <w:pPr>
        <w:numPr>
          <w:ilvl w:val="0"/>
          <w:numId w:val="1024"/>
        </w:numPr>
        <w:pStyle w:val="Compact"/>
      </w:pPr>
      <w:r>
        <w:t xml:space="preserve">A 1,000-day window gives only 100 tail residuals: the 99.9% residual quantile is still an extrapolation.</w:t>
      </w:r>
    </w:p>
    <w:p>
      <w:pPr>
        <w:numPr>
          <w:ilvl w:val="0"/>
          <w:numId w:val="1024"/>
        </w:numPr>
        <w:pStyle w:val="Compact"/>
      </w:pPr>
      <w:r>
        <w:t xml:space="preserve">The leverage effect makes the loss and gain tails of the residuals different — we fit each tail separately.</w:t>
      </w:r>
    </w:p>
    <w:p>
      <w:pPr>
        <w:pStyle w:val="FirstParagraph"/>
      </w:pPr>
      <w:r>
        <w:rPr>
          <w:bCs/>
          <w:b/>
        </w:rPr>
        <w:t xml:space="preserve">6. Implement, validate.</w:t>
      </w:r>
      <w:r>
        <w:t xml:space="preserve"> </w:t>
      </w:r>
      <w:r>
        <w:rPr>
          <w:rStyle w:val="VerbatimChar"/>
        </w:rPr>
        <w:t xml:space="preserve">fit_gjr_qml</w:t>
      </w:r>
      <w:r>
        <w:t xml:space="preserve">,</w:t>
      </w:r>
      <w:r>
        <w:t xml:space="preserve"> </w:t>
      </w:r>
      <w:r>
        <w:rPr>
          <w:rStyle w:val="VerbatimChar"/>
        </w:rPr>
        <w:t xml:space="preserve">standardised_residuals</w:t>
      </w:r>
      <w:r>
        <w:t xml:space="preserve">,</w:t>
      </w:r>
      <w:r>
        <w:t xml:space="preserve"> </w:t>
      </w:r>
      <w:r>
        <w:rPr>
          <w:rStyle w:val="VerbatimChar"/>
        </w:rPr>
        <w:t xml:space="preserve">mcneil_frey_var_es</w:t>
      </w:r>
      <w:r>
        <w:t xml:space="preserve">, and the rolling engine</w:t>
      </w:r>
      <w:r>
        <w:t xml:space="preserve"> </w:t>
      </w:r>
      <w:r>
        <w:rPr>
          <w:rStyle w:val="VerbatimChar"/>
        </w:rPr>
        <w:t xml:space="preserve">rolling_tail_var</w:t>
      </w:r>
      <w:r>
        <w:t xml:space="preserve">. Validation: QML estimates against the</w:t>
      </w:r>
      <w:r>
        <w:t xml:space="preserve"> </w:t>
      </w:r>
      <w:r>
        <w:rPr>
          <w:rStyle w:val="VerbatimChar"/>
        </w:rPr>
        <w:t xml:space="preserve">arch</w:t>
      </w:r>
      <w:r>
        <w:t xml:space="preserve"> </w:t>
      </w:r>
      <w:r>
        <w:t xml:space="preserve">package; on a simulated GJR-GARCH-t process with known parameters, the model’s 99.9% VaR breach rate must be close to 0.1%; look-ahead test with a fake crash.</w:t>
      </w:r>
    </w:p>
    <w:p>
      <w:pPr>
        <w:pStyle w:val="BodyText"/>
      </w:pPr>
      <w:r>
        <w:rPr>
          <w:bCs/>
          <w:b/>
        </w:rPr>
        <w:t xml:space="preserve">Example (illustrative).</w:t>
      </w:r>
      <w:r>
        <w:t xml:space="preserve"> </w:t>
      </w:r>
      <w:r>
        <w:t xml:space="preserve">Today’s GARCH volatility is 1.0% (a calm day). The GPD of the residuals gives</w:t>
      </w:r>
      <w:r>
        <w:t xml:space="preserve"> </w:t>
      </w:r>
      <m:oMath>
        <m:sSubSup>
          <m:e>
            <m:r>
              <m:t>z</m:t>
            </m:r>
          </m:e>
          <m:sub>
            <m:r>
              <m:t>0.999</m:t>
            </m:r>
          </m:sub>
          <m:sup>
            <m:r>
              <m:t>E</m:t>
            </m:r>
            <m:r>
              <m:t>V</m:t>
            </m:r>
            <m:r>
              <m:t>T</m:t>
            </m:r>
          </m:sup>
        </m:sSubSup>
      </m:oMath>
      <w:r>
        <w:t xml:space="preserve"> </w:t>
      </w:r>
      <w:r>
        <w:t xml:space="preserve">= 4.2 (a normal would give 3.09). The 99.9% VaR is 1.0 × 4.2 =</w:t>
      </w:r>
      <w:r>
        <w:t xml:space="preserve"> </w:t>
      </w:r>
      <w:r>
        <w:rPr>
          <w:bCs/>
          <w:b/>
        </w:rPr>
        <w:t xml:space="preserve">4.2%</w:t>
      </w:r>
      <w:r>
        <w:t xml:space="preserve">. After a crash, volatility jumps to 3.5% and the VaR becomes</w:t>
      </w:r>
      <w:r>
        <w:t xml:space="preserve"> </w:t>
      </w:r>
      <w:r>
        <w:rPr>
          <w:bCs/>
          <w:b/>
        </w:rPr>
        <w:t xml:space="preserve">14.7%</w:t>
      </w:r>
      <w:r>
        <w:t xml:space="preserve">, while unconditional EVT would still say about 6.6%.</w:t>
      </w:r>
    </w:p>
    <w:p>
      <w:r>
        <w:pict>
          <v:rect style="width:0;height:1.5pt" o:hralign="center" o:hrstd="t" o:hr="t"/>
        </w:pict>
      </w:r>
    </w:p>
    <w:bookmarkEnd w:id="35"/>
    <w:bookmarkStart w:id="36" w:name="b8.-backtesting-extreme-var-and-es"/>
    <w:p>
      <w:pPr>
        <w:pStyle w:val="Heading3"/>
      </w:pPr>
      <w:r>
        <w:t xml:space="preserve">B8. Backtesting extreme VaR and ES</w:t>
      </w:r>
    </w:p>
    <w:p>
      <w:pPr>
        <w:pStyle w:val="FirstParagraph"/>
      </w:pPr>
      <w:r>
        <w:rPr>
          <w:bCs/>
          <w:b/>
        </w:rPr>
        <w:t xml:space="preserve">1. What is it?</w:t>
      </w:r>
      <w:r>
        <w:t xml:space="preserve"> </w:t>
      </w:r>
      <w:r>
        <w:t xml:space="preserve">The same tests as Projects 3–6 — Kupiec, Christoffersen, Acerbi–Szekely Z2 — applied at 99%, 99.5% and 99.9%, plus the Basel traffic light.</w:t>
      </w:r>
    </w:p>
    <w:p>
      <w:pPr>
        <w:pStyle w:val="BodyText"/>
      </w:pPr>
      <w:r>
        <w:rPr>
          <w:bCs/>
          <w:b/>
        </w:rPr>
        <w:t xml:space="preserve">2. Why?</w:t>
      </w:r>
      <w:r>
        <w:t xml:space="preserve"> </w:t>
      </w:r>
      <w:r>
        <w:t xml:space="preserve">At 99.9% a correct model is breached once in 1,000 days. With 1,000 days of data the test has almost no power; with our ~23,800 out-of-sample days (1932–2026) we expect about</w:t>
      </w:r>
      <w:r>
        <w:t xml:space="preserve"> </w:t>
      </w:r>
      <w:r>
        <w:rPr>
          <w:bCs/>
          <w:b/>
        </w:rPr>
        <w:t xml:space="preserve">24 breaches</w:t>
      </w:r>
      <w:r>
        <w:t xml:space="preserve">, enough for a meaningful test — one of the advantages of the long history.</w:t>
      </w:r>
    </w:p>
    <w:p>
      <w:pPr>
        <w:pStyle w:val="BodyText"/>
      </w:pPr>
      <w:r>
        <w:rPr>
          <w:bCs/>
          <w:b/>
        </w:rPr>
        <w:t xml:space="preserve">3. Maths.</w:t>
      </w:r>
    </w:p>
    <w:p>
      <w:pPr>
        <w:pStyle w:val="BodyText"/>
      </w:pPr>
      <w:r>
        <w:rPr>
          <w:bCs/>
          <w:b/>
        </w:rPr>
        <w:t xml:space="preserve">Variables:</w:t>
      </w:r>
      <w:r>
        <w:t xml:space="preserve"> </w:t>
      </w:r>
      <m:oMath>
        <m:sSub>
          <m:e>
            <m:r>
              <m:t>I</m:t>
            </m:r>
          </m:e>
          <m:sub>
            <m:r>
              <m:t>t</m:t>
            </m:r>
          </m:sub>
        </m:sSub>
        <m:r>
          <m:rPr>
            <m:sty m:val="p"/>
          </m:rPr>
          <m:t>=</m:t>
        </m:r>
        <m:r>
          <m:rPr>
            <m:sty m:val="p"/>
            <m:scr m:val="double-struck"/>
          </m:rPr>
          <m:t>1</m:t>
        </m:r>
        <m:d>
          <m:dPr>
            <m:begChr m:val="["/>
            <m:sepChr m:val=""/>
            <m:endChr m:val="]"/>
            <m:grow/>
          </m:dPr>
          <m:e>
            <m:sSub>
              <m:e>
                <m:r>
                  <m:t>x</m:t>
                </m:r>
              </m:e>
              <m:sub>
                <m:r>
                  <m:t>t</m:t>
                </m:r>
              </m:sub>
            </m:sSub>
            <m:r>
              <m:rPr>
                <m:sty m:val="p"/>
              </m:rPr>
              <m:t>&gt;</m:t>
            </m:r>
            <m:sSub>
              <m:e>
                <m:r>
                  <m:rPr>
                    <m:nor/>
                  </m:rPr>
                  <m:t>VaR</m:t>
                </m:r>
              </m:e>
              <m:sub>
                <m:r>
                  <m:t>q</m:t>
                </m:r>
                <m:r>
                  <m:rPr>
                    <m:sty m:val="p"/>
                  </m:rPr>
                  <m:t>,</m:t>
                </m:r>
                <m:r>
                  <m:t>t</m:t>
                </m:r>
              </m:sub>
            </m:sSub>
          </m:e>
        </m:d>
      </m:oMath>
      <w:r>
        <w:t xml:space="preserve"> </w:t>
      </w:r>
      <w:r>
        <w:t xml:space="preserve">breach indicator;</w:t>
      </w:r>
      <w:r>
        <w:t xml:space="preserve"> </w:t>
      </w:r>
      <m:oMath>
        <m:r>
          <m:t>T</m:t>
        </m:r>
      </m:oMath>
      <w:r>
        <w:t xml:space="preserve"> </w:t>
      </w:r>
      <w:r>
        <w:t xml:space="preserve">number of forecasts;</w:t>
      </w:r>
      <w:r>
        <w:t xml:space="preserve"> </w:t>
      </w:r>
      <m:oMath>
        <m:r>
          <m:t>N</m:t>
        </m:r>
        <m:r>
          <m:rPr>
            <m:sty m:val="p"/>
          </m:rPr>
          <m:t>=</m:t>
        </m:r>
        <m:r>
          <m:rPr>
            <m:sty m:val="p"/>
          </m:rPr>
          <m:t>∑</m:t>
        </m:r>
        <m:sSub>
          <m:e>
            <m:r>
              <m:t>I</m:t>
            </m:r>
          </m:e>
          <m:sub>
            <m:r>
              <m:t>t</m:t>
            </m:r>
          </m:sub>
        </m:sSub>
      </m:oMath>
      <w:r>
        <w:t xml:space="preserve">;</w:t>
      </w:r>
      <w:r>
        <w:t xml:space="preserve"> </w:t>
      </w:r>
      <m:oMath>
        <m:r>
          <m:t>p</m:t>
        </m:r>
        <m:r>
          <m:rPr>
            <m:sty m:val="p"/>
          </m:rPr>
          <m:t>=</m:t>
        </m:r>
        <m:r>
          <m:t>1</m:t>
        </m:r>
        <m:r>
          <m:rPr>
            <m:sty m:val="p"/>
          </m:rPr>
          <m:t>−</m:t>
        </m:r>
        <m:r>
          <m:t>q</m:t>
        </m:r>
      </m:oMath>
      <w:r>
        <w:t xml:space="preserve">.</w:t>
      </w:r>
    </w:p>
    <w:p>
      <w:pPr>
        <w:pStyle w:val="BodyText"/>
      </w:pPr>
      <w:r>
        <w:rPr>
          <w:bCs/>
          <w:b/>
        </w:rPr>
        <w:t xml:space="preserve">Equation 27 – Kupiec likelihood ratio:</w:t>
      </w:r>
    </w:p>
    <w:p>
      <w:pPr>
        <w:pStyle w:val="BodyText"/>
      </w:pPr>
      <m:oMathPara>
        <m:oMathParaPr>
          <m:jc m:val="center"/>
        </m:oMathParaPr>
        <m:oMath>
          <m:r>
            <m:t>L</m:t>
          </m:r>
          <m:sSub>
            <m:e>
              <m:r>
                <m:t>R</m:t>
              </m:r>
            </m:e>
            <m:sub>
              <m:r>
                <m:t>u</m:t>
              </m:r>
              <m:r>
                <m:t>c</m:t>
              </m:r>
            </m:sub>
          </m:sSub>
          <m:r>
            <m:rPr>
              <m:sty m:val="p"/>
            </m:rPr>
            <m:t>=</m:t>
          </m:r>
          <m:r>
            <m:rPr>
              <m:sty m:val="p"/>
            </m:rPr>
            <m:t>−</m:t>
          </m:r>
          <m:r>
            <m:t>2</m:t>
          </m:r>
          <m:r>
            <m:rPr>
              <m:sty m:val="p"/>
            </m:rPr>
            <m:t>ln</m:t>
          </m:r>
          <m:d>
            <m:dPr>
              <m:begChr m:val="["/>
              <m:sepChr m:val=""/>
              <m:endChr m:val="]"/>
              <m:grow/>
            </m:dPr>
            <m:e>
              <m:f>
                <m:fPr>
                  <m:type m:val="bar"/>
                </m:fPr>
                <m:num>
                  <m:sSup>
                    <m:e>
                      <m:r>
                        <m:t>p</m:t>
                      </m:r>
                    </m:e>
                    <m:sup>
                      <m:r>
                        <m:t>N</m:t>
                      </m:r>
                    </m:sup>
                  </m:sSup>
                  <m:sSup>
                    <m:e>
                      <m:d>
                        <m:dPr>
                          <m:begChr m:val="("/>
                          <m:sepChr m:val=""/>
                          <m:endChr m:val=")"/>
                          <m:grow/>
                        </m:dPr>
                        <m:e>
                          <m:r>
                            <m:t>1</m:t>
                          </m:r>
                          <m:r>
                            <m:rPr>
                              <m:sty m:val="p"/>
                            </m:rPr>
                            <m:t>−</m:t>
                          </m:r>
                          <m:r>
                            <m:t>p</m:t>
                          </m:r>
                        </m:e>
                      </m:d>
                    </m:e>
                    <m:sup>
                      <m:r>
                        <m:t>T</m:t>
                      </m:r>
                      <m:r>
                        <m:rPr>
                          <m:sty m:val="p"/>
                        </m:rPr>
                        <m:t>−</m:t>
                      </m:r>
                      <m:r>
                        <m:t>N</m:t>
                      </m:r>
                    </m:sup>
                  </m:sSup>
                </m:num>
                <m:den>
                  <m:sSup>
                    <m:e>
                      <m:acc>
                        <m:accPr>
                          <m:chr m:val="̂"/>
                        </m:accPr>
                        <m:e>
                          <m:r>
                            <m:t>π</m:t>
                          </m:r>
                        </m:e>
                      </m:acc>
                    </m:e>
                    <m:sup>
                      <m:r>
                        <m:t>N</m:t>
                      </m:r>
                    </m:sup>
                  </m:sSup>
                  <m:sSup>
                    <m:e>
                      <m:d>
                        <m:dPr>
                          <m:begChr m:val="("/>
                          <m:sepChr m:val=""/>
                          <m:endChr m:val=")"/>
                          <m:grow/>
                        </m:dPr>
                        <m:e>
                          <m:r>
                            <m:t>1</m:t>
                          </m:r>
                          <m:r>
                            <m:rPr>
                              <m:sty m:val="p"/>
                            </m:rPr>
                            <m:t>−</m:t>
                          </m:r>
                          <m:acc>
                            <m:accPr>
                              <m:chr m:val="̂"/>
                            </m:accPr>
                            <m:e>
                              <m:r>
                                <m:t>π</m:t>
                              </m:r>
                            </m:e>
                          </m:acc>
                        </m:e>
                      </m:d>
                    </m:e>
                    <m:sup>
                      <m:r>
                        <m:t>T</m:t>
                      </m:r>
                      <m:r>
                        <m:rPr>
                          <m:sty m:val="p"/>
                        </m:rPr>
                        <m:t>−</m:t>
                      </m:r>
                      <m:r>
                        <m:t>N</m:t>
                      </m:r>
                    </m:sup>
                  </m:sSup>
                </m:den>
              </m:f>
            </m:e>
          </m:d>
          <m:r>
            <m:rPr>
              <m:sty m:val="p"/>
            </m:rPr>
            <m:t>∼</m:t>
          </m:r>
          <m:sSubSup>
            <m:e>
              <m:r>
                <m:t>χ</m:t>
              </m:r>
            </m:e>
            <m:sub>
              <m:r>
                <m:t>1</m:t>
              </m:r>
            </m:sub>
            <m:sup>
              <m:r>
                <m:t>2</m:t>
              </m:r>
            </m:sup>
          </m:sSubSup>
          <m:r>
            <m:rPr>
              <m:sty m:val="p"/>
            </m:rPr>
            <m:t>,</m:t>
          </m:r>
          <m:r>
            <m:t> </m:t>
          </m:r>
          <m:acc>
            <m:accPr>
              <m:chr m:val="̂"/>
            </m:accPr>
            <m:e>
              <m:r>
                <m:t>π</m:t>
              </m:r>
            </m:e>
          </m:acc>
          <m:r>
            <m:rPr>
              <m:sty m:val="p"/>
            </m:rPr>
            <m:t>=</m:t>
          </m:r>
          <m:r>
            <m:t>N</m:t>
          </m:r>
          <m:r>
            <m:rPr>
              <m:sty m:val="p"/>
            </m:rPr>
            <m:t>/</m:t>
          </m:r>
          <m:r>
            <m:t>T</m:t>
          </m:r>
          <m:r>
            <m:rPr>
              <m:sty m:val="p"/>
            </m:rPr>
            <m:t>.</m:t>
          </m:r>
        </m:oMath>
      </m:oMathPara>
    </w:p>
    <w:p>
      <w:pPr>
        <w:pStyle w:val="FirstParagraph"/>
      </w:pPr>
      <w:r>
        <w:rPr>
          <w:bCs/>
          <w:b/>
        </w:rPr>
        <w:t xml:space="preserve">Equation 28 – Christoffersen conditional coverage:</w:t>
      </w:r>
    </w:p>
    <w:p>
      <w:pPr>
        <w:pStyle w:val="BodyText"/>
      </w:pPr>
      <m:oMathPara>
        <m:oMathParaPr>
          <m:jc m:val="center"/>
        </m:oMathParaPr>
        <m:oMath>
          <m:r>
            <m:t>L</m:t>
          </m:r>
          <m:sSub>
            <m:e>
              <m:r>
                <m:t>R</m:t>
              </m:r>
            </m:e>
            <m:sub>
              <m:r>
                <m:t>c</m:t>
              </m:r>
              <m:r>
                <m:t>c</m:t>
              </m:r>
            </m:sub>
          </m:sSub>
          <m:r>
            <m:rPr>
              <m:sty m:val="p"/>
            </m:rPr>
            <m:t>=</m:t>
          </m:r>
          <m:r>
            <m:t>L</m:t>
          </m:r>
          <m:sSub>
            <m:e>
              <m:r>
                <m:t>R</m:t>
              </m:r>
            </m:e>
            <m:sub>
              <m:r>
                <m:t>u</m:t>
              </m:r>
              <m:r>
                <m:t>c</m:t>
              </m:r>
            </m:sub>
          </m:sSub>
          <m:r>
            <m:rPr>
              <m:sty m:val="p"/>
            </m:rPr>
            <m:t>+</m:t>
          </m:r>
          <m:r>
            <m:t>L</m:t>
          </m:r>
          <m:sSub>
            <m:e>
              <m:r>
                <m:t>R</m:t>
              </m:r>
            </m:e>
            <m:sub>
              <m:r>
                <m:t>i</m:t>
              </m:r>
              <m:r>
                <m:t>n</m:t>
              </m:r>
              <m:r>
                <m:t>d</m:t>
              </m:r>
            </m:sub>
          </m:sSub>
          <m:r>
            <m:rPr>
              <m:sty m:val="p"/>
            </m:rPr>
            <m:t>∼</m:t>
          </m:r>
          <m:sSubSup>
            <m:e>
              <m:r>
                <m:t>χ</m:t>
              </m:r>
            </m:e>
            <m:sub>
              <m:r>
                <m:t>2</m:t>
              </m:r>
            </m:sub>
            <m:sup>
              <m:r>
                <m:t>2</m:t>
              </m:r>
            </m:sup>
          </m:sSubSup>
          <m:r>
            <m:rPr>
              <m:sty m:val="p"/>
            </m:rPr>
            <m:t>,</m:t>
          </m:r>
        </m:oMath>
      </m:oMathPara>
    </w:p>
    <w:p>
      <w:pPr>
        <w:pStyle w:val="FirstParagraph"/>
      </w:pPr>
      <w:r>
        <w:t xml:space="preserve">where</w:t>
      </w:r>
      <w:r>
        <w:t xml:space="preserve"> </w:t>
      </w:r>
      <m:oMath>
        <m:r>
          <m:t>L</m:t>
        </m:r>
        <m:sSub>
          <m:e>
            <m:r>
              <m:t>R</m:t>
            </m:r>
          </m:e>
          <m:sub>
            <m:r>
              <m:t>i</m:t>
            </m:r>
            <m:r>
              <m:t>n</m:t>
            </m:r>
            <m:r>
              <m:t>d</m:t>
            </m:r>
          </m:sub>
        </m:sSub>
      </m:oMath>
      <w:r>
        <w:t xml:space="preserve"> </w:t>
      </w:r>
      <w:r>
        <w:t xml:space="preserve">tests whether the probability of a breach depends on yesterday’s breach.</w:t>
      </w:r>
    </w:p>
    <w:p>
      <w:pPr>
        <w:pStyle w:val="BodyText"/>
      </w:pPr>
      <w:r>
        <w:rPr>
          <w:bCs/>
          <w:b/>
        </w:rPr>
        <w:t xml:space="preserve">Equation 29 – Acerbi–Szekely Z2 (losses written positive):</w:t>
      </w:r>
    </w:p>
    <w:p>
      <w:pPr>
        <w:pStyle w:val="BodyText"/>
      </w:pPr>
      <m:oMathPara>
        <m:oMathParaPr>
          <m:jc m:val="center"/>
        </m:oMathParaPr>
        <m:oMath>
          <m:sSub>
            <m:e>
              <m:r>
                <m:t>Z</m:t>
              </m:r>
            </m:e>
            <m:sub>
              <m:r>
                <m:t>2</m:t>
              </m:r>
            </m:sub>
          </m:sSub>
          <m:r>
            <m:rPr>
              <m:sty m:val="p"/>
            </m:rPr>
            <m:t>=</m:t>
          </m:r>
          <m:r>
            <m:t>1</m:t>
          </m:r>
          <m:r>
            <m:rPr>
              <m:sty m:val="p"/>
            </m:rPr>
            <m:t>−</m:t>
          </m:r>
          <m:f>
            <m:fPr>
              <m:type m:val="bar"/>
            </m:fPr>
            <m:num>
              <m:r>
                <m:t>1</m:t>
              </m:r>
            </m:num>
            <m:den>
              <m:r>
                <m:t>T</m:t>
              </m:r>
              <m:r>
                <m:t> </m:t>
              </m:r>
              <m:r>
                <m:t>p</m:t>
              </m:r>
            </m:den>
          </m:f>
          <m:nary>
            <m:naryPr>
              <m:chr m:val="∑"/>
              <m:limLoc m:val="undOvr"/>
              <m:subHide m:val="off"/>
              <m:supHide m:val="off"/>
            </m:naryPr>
            <m:sub>
              <m:r>
                <m:t>t</m:t>
              </m:r>
              <m:r>
                <m:rPr>
                  <m:sty m:val="p"/>
                </m:rPr>
                <m:t>=</m:t>
              </m:r>
              <m:r>
                <m:t>1</m:t>
              </m:r>
            </m:sub>
            <m:sup>
              <m:r>
                <m:t>T</m:t>
              </m:r>
            </m:sup>
            <m:e>
              <m:f>
                <m:fPr>
                  <m:type m:val="bar"/>
                </m:fPr>
                <m:num>
                  <m:sSub>
                    <m:e>
                      <m:r>
                        <m:t>x</m:t>
                      </m:r>
                    </m:e>
                    <m:sub>
                      <m:r>
                        <m:t>t</m:t>
                      </m:r>
                    </m:sub>
                  </m:sSub>
                  <m:r>
                    <m:t> </m:t>
                  </m:r>
                  <m:sSub>
                    <m:e>
                      <m:r>
                        <m:t>I</m:t>
                      </m:r>
                    </m:e>
                    <m:sub>
                      <m:r>
                        <m:t>t</m:t>
                      </m:r>
                    </m:sub>
                  </m:sSub>
                </m:num>
                <m:den>
                  <m:sSub>
                    <m:e>
                      <m:r>
                        <m:rPr>
                          <m:nor/>
                        </m:rPr>
                        <m:t>ES</m:t>
                      </m:r>
                    </m:e>
                    <m:sub>
                      <m:r>
                        <m:t>q</m:t>
                      </m:r>
                      <m:r>
                        <m:rPr>
                          <m:sty m:val="p"/>
                        </m:rPr>
                        <m:t>,</m:t>
                      </m:r>
                      <m:r>
                        <m:t>t</m:t>
                      </m:r>
                    </m:sub>
                  </m:sSub>
                </m:den>
              </m:f>
            </m:e>
          </m:nary>
          <m:r>
            <m:rPr>
              <m:sty m:val="p"/>
            </m:rPr>
            <m:t>.</m:t>
          </m:r>
        </m:oMath>
      </m:oMathPara>
    </w:p>
    <w:p>
      <w:pPr>
        <w:pStyle w:val="FirstParagraph"/>
      </w:pPr>
      <w:r>
        <w:rPr>
          <w:iCs/>
          <w:i/>
        </w:rPr>
        <w:t xml:space="preserve">Definition:</w:t>
      </w:r>
      <w:r>
        <w:t xml:space="preserve"> </w:t>
      </w:r>
      <w:r>
        <w:t xml:space="preserve">0 on average if ES is right;</w:t>
      </w:r>
      <w:r>
        <w:t xml:space="preserve"> </w:t>
      </w:r>
      <w:r>
        <w:rPr>
          <w:bCs/>
          <w:b/>
        </w:rPr>
        <w:t xml:space="preserve">negative if realised tail losses are larger than ES predicts (ES too low)</w:t>
      </w:r>
      <w:r>
        <w:t xml:space="preserve"> </w:t>
      </w:r>
      <w:r>
        <w:t xml:space="preserve">— the same reading as in Projects 3–6. Critical values by simulation.</w:t>
      </w:r>
    </w:p>
    <w:p>
      <w:pPr>
        <w:pStyle w:val="BodyText"/>
      </w:pPr>
      <w:r>
        <w:rPr>
          <w:bCs/>
          <w:b/>
        </w:rPr>
        <w:t xml:space="preserve">Equation 30 – Exact binomial p-value:</w:t>
      </w:r>
      <w:r>
        <w:t xml:space="preserve"> </w:t>
      </w:r>
      <w:r>
        <w:t xml:space="preserve">with few expected breaches, the χ² approximation is poor; the exact probability</w:t>
      </w:r>
      <w:r>
        <w:t xml:space="preserve"> </w:t>
      </w:r>
      <m:oMath>
        <m:r>
          <m:t>P</m:t>
        </m:r>
        <m:d>
          <m:dPr>
            <m:begChr m:val="("/>
            <m:sepChr m:val=""/>
            <m:endChr m:val=")"/>
            <m:grow/>
          </m:dPr>
          <m:e>
            <m:r>
              <m:t>N</m:t>
            </m:r>
            <m:r>
              <m:rPr>
                <m:sty m:val="p"/>
              </m:rPr>
              <m:t>≥</m:t>
            </m:r>
            <m:sSub>
              <m:e>
                <m:r>
                  <m:t>n</m:t>
                </m:r>
              </m:e>
              <m:sub>
                <m:r>
                  <m:t>o</m:t>
                </m:r>
                <m:r>
                  <m:t>b</m:t>
                </m:r>
                <m:r>
                  <m:t>s</m:t>
                </m:r>
              </m:sub>
            </m:sSub>
          </m:e>
        </m:d>
      </m:oMath>
      <w:r>
        <w:t xml:space="preserve"> </w:t>
      </w:r>
      <w:r>
        <w:t xml:space="preserve">under Binomial(T, p) is reported as well.</w:t>
      </w:r>
    </w:p>
    <w:p>
      <w:pPr>
        <w:pStyle w:val="BodyText"/>
      </w:pPr>
      <w:r>
        <w:rPr>
          <w:bCs/>
          <w:b/>
        </w:rPr>
        <w:t xml:space="preserve">4. Valid when.</w:t>
      </w:r>
      <w:r>
        <w:t xml:space="preserve"> </w:t>
      </w:r>
      <w:r>
        <w:t xml:space="preserve">Forecasts are truly out of sample; breaches are measured on the same losses the model forecasts.</w:t>
      </w:r>
    </w:p>
    <w:p>
      <w:pPr>
        <w:pStyle w:val="BodyText"/>
      </w:pPr>
      <w:r>
        <w:rPr>
          <w:bCs/>
          <w:b/>
        </w:rPr>
        <w:t xml:space="preserve">5. Limitations.</w:t>
      </w:r>
      <w:r>
        <w:t xml:space="preserve"> </w:t>
      </w:r>
      <w:r>
        <w:t xml:space="preserve">Low power at 99.9% on short samples; tests check frequency and size of breaches, not the</w:t>
      </w:r>
      <w:r>
        <w:t xml:space="preserve"> </w:t>
      </w:r>
      <w:r>
        <w:rPr>
          <w:bCs/>
          <w:b/>
        </w:rPr>
        <w:t xml:space="preserve">ranking</w:t>
      </w:r>
      <w:r>
        <w:t xml:space="preserve"> </w:t>
      </w:r>
      <w:r>
        <w:t xml:space="preserve">of models (use loss functions too: the quantile</w:t>
      </w:r>
      <w:r>
        <w:t xml:space="preserve"> </w:t>
      </w:r>
      <w:r>
        <w:t xml:space="preserve">“</w:t>
      </w:r>
      <w:r>
        <w:t xml:space="preserve">tick</w:t>
      </w:r>
      <w:r>
        <w:t xml:space="preserve">”</w:t>
      </w:r>
      <w:r>
        <w:t xml:space="preserve"> </w:t>
      </w:r>
      <w:r>
        <w:t xml:space="preserve">loss).</w:t>
      </w:r>
    </w:p>
    <w:p>
      <w:pPr>
        <w:pStyle w:val="BodyText"/>
      </w:pPr>
      <w:r>
        <w:rPr>
          <w:bCs/>
          <w:b/>
        </w:rPr>
        <w:t xml:space="preserve">6. Implement, validate.</w:t>
      </w:r>
      <w:r>
        <w:t xml:space="preserve"> </w:t>
      </w:r>
      <w:r>
        <w:t xml:space="preserve">Reuse the Project 3–6 functions; add</w:t>
      </w:r>
      <w:r>
        <w:t xml:space="preserve"> </w:t>
      </w:r>
      <w:r>
        <w:rPr>
          <w:rStyle w:val="VerbatimChar"/>
        </w:rPr>
        <w:t xml:space="preserve">binomial_pvalue</w:t>
      </w:r>
      <w:r>
        <w:t xml:space="preserve"> </w:t>
      </w:r>
      <w:r>
        <w:t xml:space="preserve">and</w:t>
      </w:r>
      <w:r>
        <w:t xml:space="preserve"> </w:t>
      </w:r>
      <w:r>
        <w:rPr>
          <w:rStyle w:val="VerbatimChar"/>
        </w:rPr>
        <w:t xml:space="preserve">quantile_loss</w:t>
      </w:r>
      <w:r>
        <w:t xml:space="preserve">; check on artificial hit sequences.</w:t>
      </w:r>
    </w:p>
    <w:p>
      <w:pPr>
        <w:pStyle w:val="BodyText"/>
      </w:pPr>
      <w:r>
        <w:rPr>
          <w:bCs/>
          <w:b/>
        </w:rPr>
        <w:t xml:space="preserve">Example (illustrative).</w:t>
      </w:r>
      <w:r>
        <w:t xml:space="preserve"> </w:t>
      </w:r>
      <w:r>
        <w:t xml:space="preserve">23,800 days at 99.9%: 23.8 breaches expected. A normal-GARCH model with 70 breaches is rejected (p ≈ 0); an EVT model with 27 breaches passes (Kupiec p ≈ 0.5).</w:t>
      </w:r>
    </w:p>
    <w:p>
      <w:r>
        <w:pict>
          <v:rect style="width:0;height:1.5pt" o:hralign="center" o:hrstd="t" o:hr="t"/>
        </w:pict>
      </w:r>
    </w:p>
    <w:bookmarkEnd w:id="36"/>
    <w:bookmarkEnd w:id="37"/>
    <w:bookmarkStart w:id="38" w:name="part-c-summary-of-the-equations"/>
    <w:p>
      <w:pPr>
        <w:pStyle w:val="Heading2"/>
      </w:pPr>
      <w:r>
        <w:t xml:space="preserve">Part C – Summary of the equations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Equation</w:t>
            </w:r>
          </w:p>
        </w:tc>
        <w:tc>
          <w:tcPr/>
          <w:p>
            <w:pPr>
              <w:pStyle w:val="Compact"/>
              <w:jc w:val="left"/>
            </w:pPr>
            <w:r>
              <w:t xml:space="preserve">What it gives</w:t>
            </w:r>
          </w:p>
        </w:tc>
      </w:tr>
      <w:tr>
        <w:tc>
          <w:tcPr/>
          <w:p>
            <w:pPr>
              <w:pStyle w:val="Compact"/>
              <w:jc w:val="left"/>
            </w:pPr>
            <w:r>
              <w:t xml:space="preserve">1</w:t>
            </w:r>
          </w:p>
        </w:tc>
        <w:tc>
          <w:tcPr/>
          <w:p>
            <w:pPr>
              <w:pStyle w:val="Compact"/>
              <w:jc w:val="left"/>
            </w:pPr>
            <m:oMath>
              <m:sSub>
                <m:e>
                  <m:r>
                    <m:t>x</m:t>
                  </m:r>
                </m:e>
                <m:sub>
                  <m:r>
                    <m:t>t</m:t>
                  </m:r>
                </m:sub>
              </m:sSub>
              <m:r>
                <m:rPr>
                  <m:sty m:val="p"/>
                </m:rPr>
                <m:t>=</m:t>
              </m:r>
              <m:r>
                <m:rPr>
                  <m:sty m:val="p"/>
                </m:rPr>
                <m:t>−</m:t>
              </m:r>
              <m:r>
                <m:t>100</m:t>
              </m:r>
              <m:r>
                <m:rPr>
                  <m:sty m:val="p"/>
                </m:rPr>
                <m:t>ln</m:t>
              </m:r>
              <m:d>
                <m:dPr>
                  <m:begChr m:val="("/>
                  <m:sepChr m:val=""/>
                  <m:endChr m:val=")"/>
                  <m:grow/>
                </m:dPr>
                <m:e>
                  <m:sSub>
                    <m:e>
                      <m:r>
                        <m:t>S</m:t>
                      </m:r>
                    </m:e>
                    <m:sub>
                      <m:r>
                        <m:t>t</m:t>
                      </m:r>
                    </m:sub>
                  </m:sSub>
                  <m:r>
                    <m:rPr>
                      <m:sty m:val="p"/>
                    </m:rPr>
                    <m:t>/</m:t>
                  </m:r>
                  <m:sSub>
                    <m:e>
                      <m:r>
                        <m:t>S</m:t>
                      </m:r>
                    </m:e>
                    <m:sub>
                      <m:r>
                        <m:t>t</m:t>
                      </m:r>
                      <m:r>
                        <m:rPr>
                          <m:sty m:val="p"/>
                        </m:rPr>
                        <m:t>−</m:t>
                      </m:r>
                      <m:r>
                        <m:t>1</m:t>
                      </m:r>
                    </m:sub>
                  </m:sSub>
                </m:e>
              </m:d>
            </m:oMath>
          </w:p>
        </w:tc>
        <w:tc>
          <w:tcPr/>
          <w:p>
            <w:pPr>
              <w:pStyle w:val="Compact"/>
              <w:jc w:val="left"/>
            </w:pPr>
            <w:r>
              <w:t xml:space="preserve">daily loss in %</w:t>
            </w:r>
          </w:p>
        </w:tc>
      </w:tr>
      <w:tr>
        <w:tc>
          <w:tcPr/>
          <w:p>
            <w:pPr>
              <w:pStyle w:val="Compact"/>
              <w:jc w:val="left"/>
            </w:pPr>
            <w:r>
              <w:t xml:space="preserve">2</w:t>
            </w:r>
          </w:p>
        </w:tc>
        <w:tc>
          <w:tcPr/>
          <w:p>
            <w:pPr>
              <w:pStyle w:val="Compact"/>
              <w:jc w:val="left"/>
            </w:pPr>
            <m:oMath>
              <m:sSub>
                <m:e>
                  <m:r>
                    <m:rPr>
                      <m:nor/>
                    </m:rPr>
                    <m:t>VaR</m:t>
                  </m:r>
                </m:e>
                <m:sub>
                  <m:r>
                    <m:t>q</m:t>
                  </m:r>
                </m:sub>
              </m:sSub>
              <m:r>
                <m:rPr>
                  <m:sty m:val="p"/>
                </m:rPr>
                <m:t>=</m:t>
              </m:r>
              <m:sSup>
                <m:e>
                  <m:r>
                    <m:t>F</m:t>
                  </m:r>
                </m:e>
                <m:sup>
                  <m:r>
                    <m:rPr>
                      <m:sty m:val="p"/>
                    </m:rPr>
                    <m:t>−</m:t>
                  </m:r>
                  <m:r>
                    <m:t>1</m:t>
                  </m:r>
                </m:sup>
              </m:sSup>
              <m:d>
                <m:dPr>
                  <m:begChr m:val="("/>
                  <m:sepChr m:val=""/>
                  <m:endChr m:val=")"/>
                  <m:grow/>
                </m:dPr>
                <m:e>
                  <m:r>
                    <m:t>q</m:t>
                  </m:r>
                </m:e>
              </m:d>
            </m:oMath>
            <w:r>
              <w:t xml:space="preserve">,</w:t>
            </w:r>
            <w:r>
              <w:t xml:space="preserve"> </w:t>
            </w:r>
            <m:oMath>
              <m:sSub>
                <m:e>
                  <m:r>
                    <m:rPr>
                      <m:nor/>
                    </m:rPr>
                    <m:t>ES</m:t>
                  </m:r>
                </m:e>
                <m:sub>
                  <m:r>
                    <m:t>q</m:t>
                  </m:r>
                </m:sub>
              </m:sSub>
              <m:r>
                <m:rPr>
                  <m:sty m:val="p"/>
                </m:rPr>
                <m:t>=</m:t>
              </m:r>
              <m:r>
                <m:t>E</m:t>
              </m:r>
              <m:d>
                <m:dPr>
                  <m:begChr m:val="["/>
                  <m:sepChr m:val=""/>
                  <m:endChr m:val="]"/>
                  <m:grow/>
                </m:dPr>
                <m:e>
                  <m:r>
                    <m:t>X</m:t>
                  </m:r>
                  <m:r>
                    <m:rPr>
                      <m:sty m:val="p"/>
                    </m:rPr>
                    <m:t>∣</m:t>
                  </m:r>
                  <m:r>
                    <m:t>X</m:t>
                  </m:r>
                  <m:r>
                    <m:rPr>
                      <m:sty m:val="p"/>
                    </m:rPr>
                    <m:t>&gt;</m:t>
                  </m:r>
                  <m:sSub>
                    <m:e>
                      <m:r>
                        <m:rPr>
                          <m:nor/>
                        </m:rPr>
                        <m:t>VaR</m:t>
                      </m:r>
                    </m:e>
                    <m:sub>
                      <m:r>
                        <m:t>q</m:t>
                      </m:r>
                    </m:sub>
                  </m:sSub>
                </m:e>
              </m:d>
            </m:oMath>
          </w:p>
        </w:tc>
        <w:tc>
          <w:tcPr/>
          <w:p>
            <w:pPr>
              <w:pStyle w:val="Compact"/>
              <w:jc w:val="left"/>
            </w:pPr>
            <w:r>
              <w:t xml:space="preserve">the risk measures</w:t>
            </w:r>
          </w:p>
        </w:tc>
      </w:tr>
      <w:tr>
        <w:tc>
          <w:tcPr/>
          <w:p>
            <w:pPr>
              <w:pStyle w:val="Compact"/>
              <w:jc w:val="left"/>
            </w:pPr>
            <w:r>
              <w:t xml:space="preserve">3</w:t>
            </w:r>
          </w:p>
        </w:tc>
        <w:tc>
          <w:tcPr/>
          <w:p>
            <w:pPr>
              <w:pStyle w:val="Compact"/>
              <w:jc w:val="left"/>
            </w:pPr>
            <m:oMath>
              <m:r>
                <m:t>100</m:t>
              </m:r>
              <m:d>
                <m:dPr>
                  <m:begChr m:val="("/>
                  <m:sepChr m:val=""/>
                  <m:endChr m:val=")"/>
                  <m:grow/>
                </m:dPr>
                <m:e>
                  <m:r>
                    <m:t>1</m:t>
                  </m:r>
                  <m:r>
                    <m:rPr>
                      <m:sty m:val="p"/>
                    </m:rPr>
                    <m:t>−</m:t>
                  </m:r>
                  <m:sSup>
                    <m:e>
                      <m:r>
                        <m:t>e</m:t>
                      </m:r>
                    </m:e>
                    <m:sup>
                      <m:r>
                        <m:rPr>
                          <m:sty m:val="p"/>
                        </m:rPr>
                        <m:t>−</m:t>
                      </m:r>
                      <m:r>
                        <m:rPr>
                          <m:nor/>
                        </m:rPr>
                        <m:t>VaR</m:t>
                      </m:r>
                      <m:r>
                        <m:rPr>
                          <m:sty m:val="p"/>
                        </m:rPr>
                        <m:t>/</m:t>
                      </m:r>
                      <m:r>
                        <m:t>100</m:t>
                      </m:r>
                    </m:sup>
                  </m:sSup>
                </m:e>
              </m:d>
            </m:oMath>
          </w:p>
        </w:tc>
        <w:tc>
          <w:tcPr/>
          <w:p>
            <w:pPr>
              <w:pStyle w:val="Compact"/>
              <w:jc w:val="left"/>
            </w:pPr>
            <w:r>
              <w:t xml:space="preserve">% loss of value</w:t>
            </w:r>
          </w:p>
        </w:tc>
      </w:tr>
      <w:tr>
        <w:tc>
          <w:tcPr/>
          <w:p>
            <w:pPr>
              <w:pStyle w:val="Compact"/>
              <w:jc w:val="left"/>
            </w:pPr>
            <w:r>
              <w:t xml:space="preserve">4</w:t>
            </w:r>
          </w:p>
        </w:tc>
        <w:tc>
          <w:tcPr/>
          <w:p>
            <w:pPr>
              <w:pStyle w:val="Compact"/>
              <w:jc w:val="left"/>
            </w:pPr>
            <m:oMath>
              <m:sSub>
                <m:e>
                  <m:r>
                    <m:t>H</m:t>
                  </m:r>
                </m:e>
                <m:sub>
                  <m:r>
                    <m:t>ξ</m:t>
                  </m:r>
                </m:sub>
              </m:sSub>
              <m:d>
                <m:dPr>
                  <m:begChr m:val="("/>
                  <m:sepChr m:val=""/>
                  <m:endChr m:val=")"/>
                  <m:grow/>
                </m:dPr>
                <m:e>
                  <m:r>
                    <m:t>x</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r>
                            <m:t>x</m:t>
                          </m:r>
                        </m:e>
                      </m:d>
                    </m:e>
                    <m:sup>
                      <m:r>
                        <m:rPr>
                          <m:sty m:val="p"/>
                        </m:rPr>
                        <m:t>−</m:t>
                      </m:r>
                      <m:r>
                        <m:t>1</m:t>
                      </m:r>
                      <m:r>
                        <m:rPr>
                          <m:sty m:val="p"/>
                        </m:rPr>
                        <m:t>/</m:t>
                      </m:r>
                      <m:r>
                        <m:t>ξ</m:t>
                      </m:r>
                    </m:sup>
                  </m:sSup>
                </m:e>
              </m:d>
            </m:oMath>
          </w:p>
        </w:tc>
        <w:tc>
          <w:tcPr/>
          <w:p>
            <w:pPr>
              <w:pStyle w:val="Compact"/>
              <w:jc w:val="left"/>
            </w:pPr>
            <w:r>
              <w:t xml:space="preserve">GEV limit of maxima</w:t>
            </w:r>
          </w:p>
        </w:tc>
      </w:tr>
      <w:tr>
        <w:tc>
          <w:tcPr/>
          <w:p>
            <w:pPr>
              <w:pStyle w:val="Compact"/>
              <w:jc w:val="left"/>
            </w:pPr>
            <w:r>
              <w:t xml:space="preserve">5</w:t>
            </w:r>
          </w:p>
        </w:tc>
        <w:tc>
          <w:tcPr/>
          <w:p>
            <w:pPr>
              <w:pStyle w:val="Compact"/>
              <w:jc w:val="left"/>
            </w:pPr>
            <m:oMath>
              <m:acc>
                <m:accPr>
                  <m:chr m:val="‾"/>
                </m:accPr>
                <m:e>
                  <m:r>
                    <m:t>F</m:t>
                  </m:r>
                </m:e>
              </m:acc>
              <m:d>
                <m:dPr>
                  <m:begChr m:val="("/>
                  <m:sepChr m:val=""/>
                  <m:endChr m:val=")"/>
                  <m:grow/>
                </m:dPr>
                <m:e>
                  <m:r>
                    <m:t>x</m:t>
                  </m:r>
                </m:e>
              </m:d>
              <m:r>
                <m:rPr>
                  <m:sty m:val="p"/>
                </m:rPr>
                <m:t>≈</m:t>
              </m:r>
              <m:r>
                <m:t>C</m:t>
              </m:r>
              <m:sSup>
                <m:e>
                  <m:r>
                    <m:t>x</m:t>
                  </m:r>
                </m:e>
                <m:sup>
                  <m:r>
                    <m:rPr>
                      <m:sty m:val="p"/>
                    </m:rPr>
                    <m:t>−</m:t>
                  </m:r>
                  <m:r>
                    <m:t>1</m:t>
                  </m:r>
                  <m:r>
                    <m:rPr>
                      <m:sty m:val="p"/>
                    </m:rPr>
                    <m:t>/</m:t>
                  </m:r>
                  <m:r>
                    <m:t>ξ</m:t>
                  </m:r>
                </m:sup>
              </m:sSup>
            </m:oMath>
          </w:p>
        </w:tc>
        <w:tc>
          <w:tcPr/>
          <w:p>
            <w:pPr>
              <w:pStyle w:val="Compact"/>
              <w:jc w:val="left"/>
            </w:pPr>
            <w:r>
              <w:t xml:space="preserve">power-law tail</w:t>
            </w:r>
          </w:p>
        </w:tc>
      </w:tr>
      <w:tr>
        <w:tc>
          <w:tcPr/>
          <w:p>
            <w:pPr>
              <w:pStyle w:val="Compact"/>
              <w:jc w:val="left"/>
            </w:pPr>
            <w:r>
              <w:t xml:space="preserve">6</w:t>
            </w:r>
          </w:p>
        </w:tc>
        <w:tc>
          <w:tcPr/>
          <w:p>
            <w:pPr>
              <w:pStyle w:val="Compact"/>
              <w:jc w:val="left"/>
            </w:pPr>
            <m:oMath>
              <m:sSub>
                <m:e>
                  <m:acc>
                    <m:accPr>
                      <m:chr m:val="̂"/>
                    </m:accPr>
                    <m:e>
                      <m:r>
                        <m:t>ξ</m:t>
                      </m:r>
                    </m:e>
                  </m:acc>
                </m:e>
                <m:sub>
                  <m:r>
                    <m:t>k</m:t>
                  </m:r>
                </m:sub>
              </m:sSub>
              <m:r>
                <m:rPr>
                  <m:sty m:val="p"/>
                </m:rPr>
                <m:t>=</m:t>
              </m:r>
              <m:f>
                <m:fPr>
                  <m:type m:val="bar"/>
                </m:fPr>
                <m:num>
                  <m:r>
                    <m:t>1</m:t>
                  </m:r>
                </m:num>
                <m:den>
                  <m:r>
                    <m:t>k</m:t>
                  </m:r>
                </m:den>
              </m:f>
              <m:r>
                <m:rPr>
                  <m:sty m:val="p"/>
                </m:rPr>
                <m:t>∑</m:t>
              </m:r>
              <m:r>
                <m:rPr>
                  <m:sty m:val="p"/>
                </m:rPr>
                <m:t>ln</m:t>
              </m:r>
              <m:d>
                <m:dPr>
                  <m:begChr m:val="("/>
                  <m:sepChr m:val=""/>
                  <m:endChr m:val=")"/>
                  <m:grow/>
                </m:dPr>
                <m:e>
                  <m:sSub>
                    <m:e>
                      <m:r>
                        <m:t>X</m:t>
                      </m:r>
                    </m:e>
                    <m:sub>
                      <m:d>
                        <m:dPr>
                          <m:begChr m:val="("/>
                          <m:sepChr m:val=""/>
                          <m:endChr m:val=")"/>
                          <m:grow/>
                        </m:dPr>
                        <m:e>
                          <m:r>
                            <m:t>i</m:t>
                          </m:r>
                        </m:e>
                      </m:d>
                    </m:sub>
                  </m:sSub>
                  <m:r>
                    <m:rPr>
                      <m:sty m:val="p"/>
                    </m:rPr>
                    <m:t>/</m:t>
                  </m:r>
                  <m:sSub>
                    <m:e>
                      <m:r>
                        <m:t>X</m:t>
                      </m:r>
                    </m:e>
                    <m:sub>
                      <m:d>
                        <m:dPr>
                          <m:begChr m:val="("/>
                          <m:sepChr m:val=""/>
                          <m:endChr m:val=")"/>
                          <m:grow/>
                        </m:dPr>
                        <m:e>
                          <m:r>
                            <m:t>k</m:t>
                          </m:r>
                          <m:r>
                            <m:rPr>
                              <m:sty m:val="p"/>
                            </m:rPr>
                            <m:t>+</m:t>
                          </m:r>
                          <m:r>
                            <m:t>1</m:t>
                          </m:r>
                        </m:e>
                      </m:d>
                    </m:sub>
                  </m:sSub>
                </m:e>
              </m:d>
            </m:oMath>
          </w:p>
        </w:tc>
        <w:tc>
          <w:tcPr/>
          <w:p>
            <w:pPr>
              <w:pStyle w:val="Compact"/>
              <w:jc w:val="left"/>
            </w:pPr>
            <w:r>
              <w:t xml:space="preserve">Hill estimator</w:t>
            </w:r>
          </w:p>
        </w:tc>
      </w:tr>
      <w:tr>
        <w:tc>
          <w:tcPr/>
          <w:p>
            <w:pPr>
              <w:pStyle w:val="Compact"/>
              <w:jc w:val="left"/>
            </w:pPr>
            <w:r>
              <w:t xml:space="preserve">7</w:t>
            </w:r>
          </w:p>
        </w:tc>
        <w:tc>
          <w:tcPr/>
          <w:p>
            <w:pPr>
              <w:pStyle w:val="Compact"/>
              <w:jc w:val="left"/>
            </w:pPr>
            <w:r>
              <w:t xml:space="preserve">s.e.</w:t>
            </w:r>
            <w:r>
              <w:t xml:space="preserve"> </w:t>
            </w:r>
            <m:oMath>
              <m:r>
                <m:rPr>
                  <m:sty m:val="p"/>
                </m:rPr>
                <m:t>=</m:t>
              </m:r>
              <m:acc>
                <m:accPr>
                  <m:chr m:val="̂"/>
                </m:accPr>
                <m:e>
                  <m:r>
                    <m:t>ξ</m:t>
                  </m:r>
                </m:e>
              </m:acc>
              <m:r>
                <m:rPr>
                  <m:sty m:val="p"/>
                </m:rPr>
                <m:t>/</m:t>
              </m:r>
              <m:rad>
                <m:radPr>
                  <m:degHide m:val="on"/>
                </m:radPr>
                <m:deg/>
                <m:e>
                  <m:r>
                    <m:t>k</m:t>
                  </m:r>
                </m:e>
              </m:rad>
            </m:oMath>
          </w:p>
        </w:tc>
        <w:tc>
          <w:tcPr/>
          <w:p>
            <w:pPr>
              <w:pStyle w:val="Compact"/>
              <w:jc w:val="left"/>
            </w:pPr>
            <w:r>
              <w:t xml:space="preserve">Hill standard error</w:t>
            </w:r>
          </w:p>
        </w:tc>
      </w:tr>
      <w:tr>
        <w:tc>
          <w:tcPr/>
          <w:p>
            <w:pPr>
              <w:pStyle w:val="Compact"/>
              <w:jc w:val="left"/>
            </w:pPr>
            <w:r>
              <w:t xml:space="preserve">8</w:t>
            </w:r>
          </w:p>
        </w:tc>
        <w:tc>
          <w:tcPr/>
          <w:p>
            <w:pPr>
              <w:pStyle w:val="Compact"/>
              <w:jc w:val="left"/>
            </w:pPr>
            <m:oMath>
              <m:sSub>
                <m:e>
                  <m:r>
                    <m:t>X</m:t>
                  </m:r>
                </m:e>
                <m:sub>
                  <m:d>
                    <m:dPr>
                      <m:begChr m:val="("/>
                      <m:sepChr m:val=""/>
                      <m:endChr m:val=")"/>
                      <m:grow/>
                    </m:dPr>
                    <m:e>
                      <m:r>
                        <m:t>k</m:t>
                      </m:r>
                      <m:r>
                        <m:rPr>
                          <m:sty m:val="p"/>
                        </m:rPr>
                        <m:t>+</m:t>
                      </m:r>
                      <m:r>
                        <m:t>1</m:t>
                      </m:r>
                    </m:e>
                  </m:d>
                </m:sub>
              </m:sSub>
              <m:sSup>
                <m:e>
                  <m:d>
                    <m:dPr>
                      <m:begChr m:val="("/>
                      <m:sepChr m:val=""/>
                      <m:endChr m:val=")"/>
                      <m:grow/>
                    </m:dPr>
                    <m:e>
                      <m:r>
                        <m:t>k</m:t>
                      </m:r>
                      <m:r>
                        <m:rPr>
                          <m:sty m:val="p"/>
                        </m:rPr>
                        <m:t>/</m:t>
                      </m:r>
                      <m:d>
                        <m:dPr>
                          <m:begChr m:val="("/>
                          <m:sepChr m:val=""/>
                          <m:endChr m:val=")"/>
                          <m:grow/>
                        </m:dPr>
                        <m:e>
                          <m:r>
                            <m:t>n</m:t>
                          </m:r>
                          <m:d>
                            <m:dPr>
                              <m:begChr m:val="("/>
                              <m:sepChr m:val=""/>
                              <m:endChr m:val=")"/>
                              <m:grow/>
                            </m:dPr>
                            <m:e>
                              <m:r>
                                <m:t>1</m:t>
                              </m:r>
                              <m:r>
                                <m:rPr>
                                  <m:sty m:val="p"/>
                                </m:rPr>
                                <m:t>−</m:t>
                              </m:r>
                              <m:r>
                                <m:t>q</m:t>
                              </m:r>
                            </m:e>
                          </m:d>
                        </m:e>
                      </m:d>
                    </m:e>
                  </m:d>
                </m:e>
                <m:sup>
                  <m:acc>
                    <m:accPr>
                      <m:chr m:val="̂"/>
                    </m:accPr>
                    <m:e>
                      <m:r>
                        <m:t>ξ</m:t>
                      </m:r>
                    </m:e>
                  </m:acc>
                </m:sup>
              </m:sSup>
            </m:oMath>
          </w:p>
        </w:tc>
        <w:tc>
          <w:tcPr/>
          <w:p>
            <w:pPr>
              <w:pStyle w:val="Compact"/>
              <w:jc w:val="left"/>
            </w:pPr>
            <w:r>
              <w:t xml:space="preserve">Hill–Weissman VaR</w:t>
            </w:r>
          </w:p>
        </w:tc>
      </w:tr>
      <w:tr>
        <w:tc>
          <w:tcPr/>
          <w:p>
            <w:pPr>
              <w:pStyle w:val="Compact"/>
              <w:jc w:val="left"/>
            </w:pPr>
            <w:r>
              <w:t xml:space="preserve">9</w:t>
            </w:r>
          </w:p>
        </w:tc>
        <w:tc>
          <w:tcPr/>
          <w:p>
            <w:pPr>
              <w:pStyle w:val="Compact"/>
              <w:jc w:val="left"/>
            </w:pPr>
            <m:oMath>
              <m:r>
                <m:rPr>
                  <m:nor/>
                </m:rPr>
                <m:t>VaR</m:t>
              </m:r>
              <m:r>
                <m:rPr>
                  <m:sty m:val="p"/>
                </m:rPr>
                <m:t>/</m:t>
              </m:r>
              <m:d>
                <m:dPr>
                  <m:begChr m:val="("/>
                  <m:sepChr m:val=""/>
                  <m:endChr m:val=")"/>
                  <m:grow/>
                </m:dPr>
                <m:e>
                  <m:r>
                    <m:t>1</m:t>
                  </m:r>
                  <m:r>
                    <m:rPr>
                      <m:sty m:val="p"/>
                    </m:rPr>
                    <m:t>−</m:t>
                  </m:r>
                  <m:r>
                    <m:t>ξ</m:t>
                  </m:r>
                </m:e>
              </m:d>
            </m:oMath>
          </w:p>
        </w:tc>
        <w:tc>
          <w:tcPr/>
          <w:p>
            <w:pPr>
              <w:pStyle w:val="Compact"/>
              <w:jc w:val="left"/>
            </w:pPr>
            <w:r>
              <w:t xml:space="preserve">Hill ES</w:t>
            </w:r>
          </w:p>
        </w:tc>
      </w:tr>
      <w:tr>
        <w:tc>
          <w:tcPr/>
          <w:p>
            <w:pPr>
              <w:pStyle w:val="Compact"/>
              <w:jc w:val="left"/>
            </w:pPr>
            <w:r>
              <w:t xml:space="preserve">10</w:t>
            </w:r>
          </w:p>
        </w:tc>
        <w:tc>
          <w:tcPr/>
          <w:p>
            <w:pPr>
              <w:pStyle w:val="Compact"/>
              <w:jc w:val="left"/>
            </w:pPr>
            <m:oMath>
              <m:sSub>
                <m:e>
                  <m:r>
                    <m:t>G</m:t>
                  </m:r>
                </m:e>
                <m:sub>
                  <m:r>
                    <m:t>ξ</m:t>
                  </m:r>
                  <m:r>
                    <m:rPr>
                      <m:sty m:val="p"/>
                    </m:rPr>
                    <m:t>,</m:t>
                  </m:r>
                  <m:r>
                    <m:t>β</m:t>
                  </m:r>
                </m:sub>
              </m:sSub>
              <m:d>
                <m:dPr>
                  <m:begChr m:val="("/>
                  <m:sepChr m:val=""/>
                  <m:endChr m:val=")"/>
                  <m:grow/>
                </m:dPr>
                <m:e>
                  <m:r>
                    <m:t>y</m:t>
                  </m:r>
                </m:e>
              </m:d>
              <m:r>
                <m:rPr>
                  <m:sty m:val="p"/>
                </m:rPr>
                <m:t>=</m:t>
              </m:r>
              <m:r>
                <m:t>1</m:t>
              </m:r>
              <m:r>
                <m:rPr>
                  <m:sty m:val="p"/>
                </m:rPr>
                <m:t>−</m:t>
              </m:r>
              <m:sSup>
                <m:e>
                  <m:d>
                    <m:dPr>
                      <m:begChr m:val="("/>
                      <m:sepChr m:val=""/>
                      <m:endChr m:val=")"/>
                      <m:grow/>
                    </m:dPr>
                    <m:e>
                      <m:r>
                        <m:t>1</m:t>
                      </m:r>
                      <m:r>
                        <m:rPr>
                          <m:sty m:val="p"/>
                        </m:rPr>
                        <m:t>+</m:t>
                      </m:r>
                      <m:r>
                        <m:t>ξ</m:t>
                      </m:r>
                      <m:r>
                        <m:t>y</m:t>
                      </m:r>
                      <m:r>
                        <m:rPr>
                          <m:sty m:val="p"/>
                        </m:rPr>
                        <m:t>/</m:t>
                      </m:r>
                      <m:r>
                        <m:t>β</m:t>
                      </m:r>
                    </m:e>
                  </m:d>
                </m:e>
                <m:sup>
                  <m:r>
                    <m:rPr>
                      <m:sty m:val="p"/>
                    </m:rPr>
                    <m:t>−</m:t>
                  </m:r>
                  <m:r>
                    <m:t>1</m:t>
                  </m:r>
                  <m:r>
                    <m:rPr>
                      <m:sty m:val="p"/>
                    </m:rPr>
                    <m:t>/</m:t>
                  </m:r>
                  <m:r>
                    <m:t>ξ</m:t>
                  </m:r>
                </m:sup>
              </m:sSup>
            </m:oMath>
          </w:p>
        </w:tc>
        <w:tc>
          <w:tcPr/>
          <w:p>
            <w:pPr>
              <w:pStyle w:val="Compact"/>
              <w:jc w:val="left"/>
            </w:pPr>
            <w:r>
              <w:t xml:space="preserve">GPD of excesses</w:t>
            </w:r>
          </w:p>
        </w:tc>
      </w:tr>
      <w:tr>
        <w:tc>
          <w:tcPr/>
          <w:p>
            <w:pPr>
              <w:pStyle w:val="Compact"/>
              <w:jc w:val="left"/>
            </w:pPr>
            <w:r>
              <w:t xml:space="preserve">11</w:t>
            </w:r>
          </w:p>
        </w:tc>
        <w:tc>
          <w:tcPr/>
          <w:p>
            <w:pPr>
              <w:pStyle w:val="Compact"/>
              <w:jc w:val="left"/>
            </w:pPr>
            <m:oMath>
              <m:r>
                <m:rPr>
                  <m:sty m:val="p"/>
                </m:rPr>
                <m:t>−</m:t>
              </m:r>
              <m:sSub>
                <m:e>
                  <m:r>
                    <m:t>N</m:t>
                  </m:r>
                </m:e>
                <m:sub>
                  <m:r>
                    <m:t>u</m:t>
                  </m:r>
                </m:sub>
              </m:sSub>
              <m:r>
                <m:rPr>
                  <m:sty m:val="p"/>
                </m:rPr>
                <m:t>ln</m:t>
              </m:r>
              <m:r>
                <m:t>β</m:t>
              </m:r>
              <m:r>
                <m:rPr>
                  <m:sty m:val="p"/>
                </m:rPr>
                <m:t>−</m:t>
              </m:r>
              <m:d>
                <m:dPr>
                  <m:begChr m:val="("/>
                  <m:sepChr m:val=""/>
                  <m:endChr m:val=")"/>
                  <m:grow/>
                </m:dPr>
                <m:e>
                  <m:r>
                    <m:t>1</m:t>
                  </m:r>
                  <m:r>
                    <m:rPr>
                      <m:sty m:val="p"/>
                    </m:rPr>
                    <m:t>+</m:t>
                  </m:r>
                  <m:r>
                    <m:t>1</m:t>
                  </m:r>
                  <m:r>
                    <m:rPr>
                      <m:sty m:val="p"/>
                    </m:rPr>
                    <m:t>/</m:t>
                  </m:r>
                  <m:r>
                    <m:t>ξ</m:t>
                  </m:r>
                </m:e>
              </m:d>
              <m:r>
                <m:rPr>
                  <m:sty m:val="p"/>
                </m:rPr>
                <m:t>∑</m:t>
              </m:r>
              <m:r>
                <m:rPr>
                  <m:sty m:val="p"/>
                </m:rPr>
                <m:t>ln</m:t>
              </m:r>
              <m:d>
                <m:dPr>
                  <m:begChr m:val="("/>
                  <m:sepChr m:val=""/>
                  <m:endChr m:val=")"/>
                  <m:grow/>
                </m:dPr>
                <m:e>
                  <m:r>
                    <m:t>1</m:t>
                  </m:r>
                  <m:r>
                    <m:rPr>
                      <m:sty m:val="p"/>
                    </m:rPr>
                    <m:t>+</m:t>
                  </m:r>
                  <m:r>
                    <m:t>ξ</m:t>
                  </m:r>
                  <m:sSub>
                    <m:e>
                      <m:r>
                        <m:t>y</m:t>
                      </m:r>
                    </m:e>
                    <m:sub>
                      <m:r>
                        <m:t>i</m:t>
                      </m:r>
                    </m:sub>
                  </m:sSub>
                  <m:r>
                    <m:rPr>
                      <m:sty m:val="p"/>
                    </m:rPr>
                    <m:t>/</m:t>
                  </m:r>
                  <m:r>
                    <m:t>β</m:t>
                  </m:r>
                </m:e>
              </m:d>
            </m:oMath>
          </w:p>
        </w:tc>
        <w:tc>
          <w:tcPr/>
          <w:p>
            <w:pPr>
              <w:pStyle w:val="Compact"/>
              <w:jc w:val="left"/>
            </w:pPr>
            <w:r>
              <w:t xml:space="preserve">GPD log-likelihood</w:t>
            </w:r>
          </w:p>
        </w:tc>
      </w:tr>
      <w:tr>
        <w:tc>
          <w:tcPr/>
          <w:p>
            <w:pPr>
              <w:pStyle w:val="Compact"/>
              <w:jc w:val="left"/>
            </w:pPr>
            <w:r>
              <w:t xml:space="preserve">12</w:t>
            </w:r>
          </w:p>
        </w:tc>
        <w:tc>
          <w:tcPr/>
          <w:p>
            <w:pPr>
              <w:pStyle w:val="Compact"/>
              <w:jc w:val="left"/>
            </w:pPr>
            <m:oMath>
              <m:f>
                <m:fPr>
                  <m:type m:val="bar"/>
                </m:fPr>
                <m:num>
                  <m:sSub>
                    <m:e>
                      <m:r>
                        <m:t>N</m:t>
                      </m:r>
                    </m:e>
                    <m:sub>
                      <m:r>
                        <m:t>u</m:t>
                      </m:r>
                    </m:sub>
                  </m:sSub>
                </m:num>
                <m:den>
                  <m:r>
                    <m:t>n</m:t>
                  </m:r>
                </m:den>
              </m:f>
              <m:sSup>
                <m:e>
                  <m:d>
                    <m:dPr>
                      <m:begChr m:val="("/>
                      <m:sepChr m:val=""/>
                      <m:endChr m:val=")"/>
                      <m:grow/>
                    </m:dPr>
                    <m:e>
                      <m:r>
                        <m:t>1</m:t>
                      </m:r>
                      <m:r>
                        <m:rPr>
                          <m:sty m:val="p"/>
                        </m:rPr>
                        <m:t>+</m:t>
                      </m:r>
                      <m:r>
                        <m:t>ξ</m:t>
                      </m:r>
                      <m:f>
                        <m:fPr>
                          <m:type m:val="bar"/>
                        </m:fPr>
                        <m:num>
                          <m:r>
                            <m:t>x</m:t>
                          </m:r>
                          <m:r>
                            <m:rPr>
                              <m:sty m:val="p"/>
                            </m:rPr>
                            <m:t>−</m:t>
                          </m:r>
                          <m:r>
                            <m:t>u</m:t>
                          </m:r>
                        </m:num>
                        <m:den>
                          <m:r>
                            <m:t>β</m:t>
                          </m:r>
                        </m:den>
                      </m:f>
                    </m:e>
                  </m:d>
                </m:e>
                <m:sup>
                  <m:r>
                    <m:rPr>
                      <m:sty m:val="p"/>
                    </m:rPr>
                    <m:t>−</m:t>
                  </m:r>
                  <m:r>
                    <m:t>1</m:t>
                  </m:r>
                  <m:r>
                    <m:rPr>
                      <m:sty m:val="p"/>
                    </m:rPr>
                    <m:t>/</m:t>
                  </m:r>
                  <m:r>
                    <m:t>ξ</m:t>
                  </m:r>
                </m:sup>
              </m:sSup>
            </m:oMath>
          </w:p>
        </w:tc>
        <w:tc>
          <w:tcPr/>
          <w:p>
            <w:pPr>
              <w:pStyle w:val="Compact"/>
              <w:jc w:val="left"/>
            </w:pPr>
            <w:r>
              <w:t xml:space="preserve">tail probability</w:t>
            </w:r>
          </w:p>
        </w:tc>
      </w:tr>
      <w:tr>
        <w:tc>
          <w:tcPr/>
          <w:p>
            <w:pPr>
              <w:pStyle w:val="Compact"/>
              <w:jc w:val="left"/>
            </w:pPr>
            <w:r>
              <w:t xml:space="preserve">13</w:t>
            </w:r>
          </w:p>
        </w:tc>
        <w:tc>
          <w:tcPr/>
          <w:p>
            <w:pPr>
              <w:pStyle w:val="Compact"/>
              <w:jc w:val="left"/>
            </w:pPr>
            <m:oMath>
              <m:r>
                <m:t>u</m:t>
              </m:r>
              <m:r>
                <m:rPr>
                  <m:sty m:val="p"/>
                </m:rPr>
                <m:t>+</m:t>
              </m:r>
              <m:f>
                <m:fPr>
                  <m:type m:val="bar"/>
                </m:fPr>
                <m:num>
                  <m:r>
                    <m:t>β</m:t>
                  </m:r>
                </m:num>
                <m:den>
                  <m:r>
                    <m:t>ξ</m:t>
                  </m:r>
                </m:den>
              </m:f>
              <m:d>
                <m:dPr>
                  <m:begChr m:val="["/>
                  <m:sepChr m:val=""/>
                  <m:endChr m:val="]"/>
                  <m:grow/>
                </m:dPr>
                <m:e>
                  <m:sSup>
                    <m:e>
                      <m:d>
                        <m:dPr>
                          <m:begChr m:val="("/>
                          <m:sepChr m:val=""/>
                          <m:endChr m:val=")"/>
                          <m:grow/>
                        </m:dPr>
                        <m:e>
                          <m:f>
                            <m:fPr>
                              <m:type m:val="bar"/>
                            </m:fPr>
                            <m:num>
                              <m:r>
                                <m:t>n</m:t>
                              </m:r>
                            </m:num>
                            <m:den>
                              <m:sSub>
                                <m:e>
                                  <m:r>
                                    <m:t>N</m:t>
                                  </m:r>
                                </m:e>
                                <m:sub>
                                  <m:r>
                                    <m:t>u</m:t>
                                  </m:r>
                                </m:sub>
                              </m:sSub>
                            </m:den>
                          </m:f>
                          <m:d>
                            <m:dPr>
                              <m:begChr m:val="("/>
                              <m:sepChr m:val=""/>
                              <m:endChr m:val=")"/>
                              <m:grow/>
                            </m:dPr>
                            <m:e>
                              <m:r>
                                <m:t>1</m:t>
                              </m:r>
                              <m:r>
                                <m:rPr>
                                  <m:sty m:val="p"/>
                                </m:rPr>
                                <m:t>−</m:t>
                              </m:r>
                              <m:r>
                                <m:t>q</m:t>
                              </m:r>
                            </m:e>
                          </m:d>
                        </m:e>
                      </m:d>
                    </m:e>
                    <m:sup>
                      <m:r>
                        <m:rPr>
                          <m:sty m:val="p"/>
                        </m:rPr>
                        <m:t>−</m:t>
                      </m:r>
                      <m:r>
                        <m:t>ξ</m:t>
                      </m:r>
                    </m:sup>
                  </m:sSup>
                  <m:r>
                    <m:rPr>
                      <m:sty m:val="p"/>
                    </m:rPr>
                    <m:t>−</m:t>
                  </m:r>
                  <m:r>
                    <m:t>1</m:t>
                  </m:r>
                </m:e>
              </m:d>
            </m:oMath>
          </w:p>
        </w:tc>
        <w:tc>
          <w:tcPr/>
          <w:p>
            <w:pPr>
              <w:pStyle w:val="Compact"/>
              <w:jc w:val="left"/>
            </w:pPr>
            <w:r>
              <w:t xml:space="preserve">GPD VaR</w:t>
            </w:r>
          </w:p>
        </w:tc>
      </w:tr>
      <w:tr>
        <w:tc>
          <w:tcPr/>
          <w:p>
            <w:pPr>
              <w:pStyle w:val="Compact"/>
              <w:jc w:val="left"/>
            </w:pPr>
            <w:r>
              <w:t xml:space="preserve">14</w:t>
            </w:r>
          </w:p>
        </w:tc>
        <w:tc>
          <w:tcPr/>
          <w:p>
            <w:pPr>
              <w:pStyle w:val="Compact"/>
              <w:jc w:val="left"/>
            </w:pPr>
            <m:oMath>
              <m:f>
                <m:fPr>
                  <m:type m:val="bar"/>
                </m:fPr>
                <m:num>
                  <m:r>
                    <m:rPr>
                      <m:nor/>
                    </m:rPr>
                    <m:t>VaR</m:t>
                  </m:r>
                </m:num>
                <m:den>
                  <m:r>
                    <m:t>1</m:t>
                  </m:r>
                  <m:r>
                    <m:rPr>
                      <m:sty m:val="p"/>
                    </m:rPr>
                    <m:t>−</m:t>
                  </m:r>
                  <m:r>
                    <m:t>ξ</m:t>
                  </m:r>
                </m:den>
              </m:f>
              <m:r>
                <m:rPr>
                  <m:sty m:val="p"/>
                </m:rPr>
                <m:t>+</m:t>
              </m:r>
              <m:f>
                <m:fPr>
                  <m:type m:val="bar"/>
                </m:fPr>
                <m:num>
                  <m:r>
                    <m:t>β</m:t>
                  </m:r>
                  <m:r>
                    <m:rPr>
                      <m:sty m:val="p"/>
                    </m:rPr>
                    <m:t>−</m:t>
                  </m:r>
                  <m:r>
                    <m:t>ξ</m:t>
                  </m:r>
                  <m:r>
                    <m:t>u</m:t>
                  </m:r>
                </m:num>
                <m:den>
                  <m:r>
                    <m:t>1</m:t>
                  </m:r>
                  <m:r>
                    <m:rPr>
                      <m:sty m:val="p"/>
                    </m:rPr>
                    <m:t>−</m:t>
                  </m:r>
                  <m:r>
                    <m:t>ξ</m:t>
                  </m:r>
                </m:den>
              </m:f>
            </m:oMath>
          </w:p>
        </w:tc>
        <w:tc>
          <w:tcPr/>
          <w:p>
            <w:pPr>
              <w:pStyle w:val="Compact"/>
              <w:jc w:val="left"/>
            </w:pPr>
            <w:r>
              <w:t xml:space="preserve">GPD ES</w:t>
            </w:r>
          </w:p>
        </w:tc>
      </w:tr>
      <w:tr>
        <w:tc>
          <w:tcPr/>
          <w:p>
            <w:pPr>
              <w:pStyle w:val="Compact"/>
              <w:jc w:val="left"/>
            </w:pPr>
            <w:r>
              <w:t xml:space="preserve">15</w:t>
            </w:r>
          </w:p>
        </w:tc>
        <w:tc>
          <w:tcPr/>
          <w:p>
            <w:pPr>
              <w:pStyle w:val="Compact"/>
              <w:jc w:val="left"/>
            </w:pPr>
            <m:oMath>
              <m:r>
                <m:t>e</m:t>
              </m:r>
              <m:d>
                <m:dPr>
                  <m:begChr m:val="("/>
                  <m:sepChr m:val=""/>
                  <m:endChr m:val=")"/>
                  <m:grow/>
                </m:dPr>
                <m:e>
                  <m:r>
                    <m:t>u</m:t>
                  </m:r>
                </m:e>
              </m:d>
              <m:r>
                <m:rPr>
                  <m:sty m:val="p"/>
                </m:rPr>
                <m:t>=</m:t>
              </m:r>
              <m:d>
                <m:dPr>
                  <m:begChr m:val="("/>
                  <m:sepChr m:val=""/>
                  <m:endChr m:val=")"/>
                  <m:grow/>
                </m:dPr>
                <m:e>
                  <m:r>
                    <m:t>β</m:t>
                  </m:r>
                  <m:r>
                    <m:rPr>
                      <m:sty m:val="p"/>
                    </m:rPr>
                    <m:t>+</m:t>
                  </m:r>
                  <m:r>
                    <m:t>ξ</m:t>
                  </m:r>
                  <m:r>
                    <m:t>u</m:t>
                  </m:r>
                </m:e>
              </m:d>
              <m:r>
                <m:rPr>
                  <m:sty m:val="p"/>
                </m:rPr>
                <m:t>/</m:t>
              </m:r>
              <m:d>
                <m:dPr>
                  <m:begChr m:val="("/>
                  <m:sepChr m:val=""/>
                  <m:endChr m:val=")"/>
                  <m:grow/>
                </m:dPr>
                <m:e>
                  <m:r>
                    <m:t>1</m:t>
                  </m:r>
                  <m:r>
                    <m:rPr>
                      <m:sty m:val="p"/>
                    </m:rPr>
                    <m:t>−</m:t>
                  </m:r>
                  <m:r>
                    <m:t>ξ</m:t>
                  </m:r>
                </m:e>
              </m:d>
            </m:oMath>
          </w:p>
        </w:tc>
        <w:tc>
          <w:tcPr/>
          <w:p>
            <w:pPr>
              <w:pStyle w:val="Compact"/>
              <w:jc w:val="left"/>
            </w:pPr>
            <w:r>
              <w:t xml:space="preserve">mean excess (linear)</w:t>
            </w:r>
          </w:p>
        </w:tc>
      </w:tr>
      <w:tr>
        <w:tc>
          <w:tcPr/>
          <w:p>
            <w:pPr>
              <w:pStyle w:val="Compact"/>
              <w:jc w:val="left"/>
            </w:pPr>
            <w:r>
              <w:t xml:space="preserve">16</w:t>
            </w:r>
          </w:p>
        </w:tc>
        <w:tc>
          <w:tcPr/>
          <w:p>
            <w:pPr>
              <w:pStyle w:val="Compact"/>
              <w:jc w:val="left"/>
            </w:pPr>
            <m:oMath>
              <m:r>
                <m:t>q</m:t>
              </m:r>
              <m:r>
                <m:rPr>
                  <m:sty m:val="p"/>
                </m:rPr>
                <m:t>=</m:t>
              </m:r>
              <m:r>
                <m:t>1</m:t>
              </m:r>
              <m:r>
                <m:rPr>
                  <m:sty m:val="p"/>
                </m:rPr>
                <m:t>−</m:t>
              </m:r>
              <m:r>
                <m:t>1</m:t>
              </m:r>
              <m:r>
                <m:rPr>
                  <m:sty m:val="p"/>
                </m:rPr>
                <m:t>/</m:t>
              </m:r>
              <m:d>
                <m:dPr>
                  <m:begChr m:val="("/>
                  <m:sepChr m:val=""/>
                  <m:endChr m:val=")"/>
                  <m:grow/>
                </m:dPr>
                <m:e>
                  <m:r>
                    <m:t>252</m:t>
                  </m:r>
                  <m:r>
                    <m:t>N</m:t>
                  </m:r>
                </m:e>
              </m:d>
            </m:oMath>
          </w:p>
        </w:tc>
        <w:tc>
          <w:tcPr/>
          <w:p>
            <w:pPr>
              <w:pStyle w:val="Compact"/>
              <w:jc w:val="left"/>
            </w:pPr>
            <w:r>
              <w:t xml:space="preserve">N-year return level</w:t>
            </w:r>
          </w:p>
        </w:tc>
      </w:tr>
      <w:tr>
        <w:tc>
          <w:tcPr/>
          <w:p>
            <w:pPr>
              <w:pStyle w:val="Compact"/>
              <w:jc w:val="left"/>
            </w:pPr>
            <w:r>
              <w:t xml:space="preserve">17</w:t>
            </w:r>
          </w:p>
        </w:tc>
        <w:tc>
          <w:tcPr/>
          <w:p>
            <w:pPr>
              <w:pStyle w:val="Compact"/>
              <w:jc w:val="left"/>
            </w:pPr>
            <m:oMath>
              <m:r>
                <m:t>μ</m:t>
              </m:r>
              <m:r>
                <m:rPr>
                  <m:sty m:val="p"/>
                </m:rPr>
                <m:t>+</m:t>
              </m:r>
              <m:r>
                <m:t>σ</m:t>
              </m:r>
              <m:sSub>
                <m:e>
                  <m:r>
                    <m:t>z</m:t>
                  </m:r>
                </m:e>
                <m:sub>
                  <m:r>
                    <m:t>q</m:t>
                  </m:r>
                </m:sub>
              </m:sSub>
            </m:oMath>
            <w:r>
              <w:t xml:space="preserve">,</w:t>
            </w:r>
            <w:r>
              <w:t xml:space="preserve"> </w:t>
            </w:r>
            <m:oMath>
              <m:r>
                <m:t>μ</m:t>
              </m:r>
              <m:r>
                <m:rPr>
                  <m:sty m:val="p"/>
                </m:rPr>
                <m:t>+</m:t>
              </m:r>
              <m:r>
                <m:t>σ</m:t>
              </m:r>
              <m:r>
                <m:t>φ</m:t>
              </m:r>
              <m:d>
                <m:dPr>
                  <m:begChr m:val="("/>
                  <m:sepChr m:val=""/>
                  <m:endChr m:val=")"/>
                  <m:grow/>
                </m:dPr>
                <m:e>
                  <m:sSub>
                    <m:e>
                      <m:r>
                        <m:t>z</m:t>
                      </m:r>
                    </m:e>
                    <m:sub>
                      <m:r>
                        <m:t>q</m:t>
                      </m:r>
                    </m:sub>
                  </m:sSub>
                </m:e>
              </m:d>
              <m:r>
                <m:rPr>
                  <m:sty m:val="p"/>
                </m:rPr>
                <m:t>/</m:t>
              </m:r>
              <m:d>
                <m:dPr>
                  <m:begChr m:val="("/>
                  <m:sepChr m:val=""/>
                  <m:endChr m:val=")"/>
                  <m:grow/>
                </m:dPr>
                <m:e>
                  <m:r>
                    <m:t>1</m:t>
                  </m:r>
                  <m:r>
                    <m:rPr>
                      <m:sty m:val="p"/>
                    </m:rPr>
                    <m:t>−</m:t>
                  </m:r>
                  <m:r>
                    <m:t>q</m:t>
                  </m:r>
                </m:e>
              </m:d>
            </m:oMath>
          </w:p>
        </w:tc>
        <w:tc>
          <w:tcPr/>
          <w:p>
            <w:pPr>
              <w:pStyle w:val="Compact"/>
              <w:jc w:val="left"/>
            </w:pPr>
            <w:r>
              <w:t xml:space="preserve">normal VaR, ES</w:t>
            </w:r>
          </w:p>
        </w:tc>
      </w:tr>
      <w:tr>
        <w:tc>
          <w:tcPr/>
          <w:p>
            <w:pPr>
              <w:pStyle w:val="Compact"/>
              <w:jc w:val="left"/>
            </w:pPr>
            <w:r>
              <w:t xml:space="preserve">18</w:t>
            </w:r>
          </w:p>
        </w:tc>
        <w:tc>
          <w:tcPr/>
          <w:p>
            <w:pPr>
              <w:pStyle w:val="Compact"/>
              <w:jc w:val="left"/>
            </w:pPr>
            <w:r>
              <w:t xml:space="preserve">scaled Student-t VaR, ES</w:t>
            </w:r>
          </w:p>
        </w:tc>
        <w:tc>
          <w:tcPr/>
          <w:p>
            <w:pPr>
              <w:pStyle w:val="Compact"/>
              <w:jc w:val="left"/>
            </w:pPr>
            <w:r>
              <w:t xml:space="preserve">t benchmark</w:t>
            </w:r>
          </w:p>
        </w:tc>
      </w:tr>
      <w:tr>
        <w:tc>
          <w:tcPr/>
          <w:p>
            <w:pPr>
              <w:pStyle w:val="Compact"/>
              <w:jc w:val="left"/>
            </w:pPr>
            <w:r>
              <w:t xml:space="preserve">19</w:t>
            </w:r>
          </w:p>
        </w:tc>
        <w:tc>
          <w:tcPr/>
          <w:p>
            <w:pPr>
              <w:pStyle w:val="Compact"/>
              <w:jc w:val="left"/>
            </w:pPr>
            <w:r>
              <w:t xml:space="preserve">empirical quantile and tail mean</w:t>
            </w:r>
          </w:p>
        </w:tc>
        <w:tc>
          <w:tcPr/>
          <w:p>
            <w:pPr>
              <w:pStyle w:val="Compact"/>
              <w:jc w:val="left"/>
            </w:pPr>
            <w:r>
              <w:t xml:space="preserve">historical benchmark</w:t>
            </w:r>
          </w:p>
        </w:tc>
      </w:tr>
      <w:tr>
        <w:tc>
          <w:tcPr/>
          <w:p>
            <w:pPr>
              <w:pStyle w:val="Compact"/>
              <w:jc w:val="left"/>
            </w:pPr>
            <w:r>
              <w:t xml:space="preserve">20</w:t>
            </w:r>
          </w:p>
        </w:tc>
        <w:tc>
          <w:tcPr/>
          <w:p>
            <w:pPr>
              <w:pStyle w:val="Compact"/>
              <w:jc w:val="left"/>
            </w:pPr>
            <m:oMath>
              <m:sSup>
                <m:e>
                  <m:r>
                    <m:rPr>
                      <m:sty m:val="p"/>
                    </m:rPr>
                    <m:t>∇</m:t>
                  </m:r>
                </m:e>
                <m:sup>
                  <m:r>
                    <m:rPr>
                      <m:sty m:val="p"/>
                    </m:rPr>
                    <m:t>⊤</m:t>
                  </m:r>
                </m:sup>
              </m:sSup>
              <m:acc>
                <m:accPr>
                  <m:chr m:val="̂"/>
                </m:accPr>
                <m:e>
                  <m:r>
                    <m:t>Σ</m:t>
                  </m:r>
                </m:e>
              </m:acc>
              <m:r>
                <m:rPr>
                  <m:sty m:val="p"/>
                </m:rPr>
                <m:t>∇</m:t>
              </m:r>
            </m:oMath>
          </w:p>
        </w:tc>
        <w:tc>
          <w:tcPr/>
          <w:p>
            <w:pPr>
              <w:pStyle w:val="Compact"/>
              <w:jc w:val="left"/>
            </w:pPr>
            <w:r>
              <w:t xml:space="preserve">delta-method variance</w:t>
            </w:r>
          </w:p>
        </w:tc>
      </w:tr>
      <w:tr>
        <w:tc>
          <w:tcPr/>
          <w:p>
            <w:pPr>
              <w:pStyle w:val="Compact"/>
              <w:jc w:val="left"/>
            </w:pPr>
            <w:r>
              <w:t xml:space="preserve">21</w:t>
            </w:r>
          </w:p>
        </w:tc>
        <w:tc>
          <w:tcPr/>
          <w:p>
            <w:pPr>
              <w:pStyle w:val="Compact"/>
              <w:jc w:val="left"/>
            </w:pPr>
            <m:oMath>
              <m:r>
                <m:t>2</m:t>
              </m:r>
              <m:d>
                <m:dPr>
                  <m:begChr m:val="["/>
                  <m:sepChr m:val=""/>
                  <m:endChr m:val="]"/>
                  <m:grow/>
                </m:dPr>
                <m:e>
                  <m:r>
                    <m:rPr>
                      <m:sty m:val="p"/>
                    </m:rPr>
                    <m:t>ℓ</m:t>
                  </m:r>
                  <m:d>
                    <m:dPr>
                      <m:begChr m:val="("/>
                      <m:sepChr m:val=""/>
                      <m:endChr m:val=")"/>
                      <m:grow/>
                    </m:dPr>
                    <m:e>
                      <m:acc>
                        <m:accPr>
                          <m:chr m:val="̂"/>
                        </m:accPr>
                        <m:e>
                          <m:r>
                            <m:t>θ</m:t>
                          </m:r>
                        </m:e>
                      </m:acc>
                    </m:e>
                  </m:d>
                  <m:r>
                    <m:rPr>
                      <m:sty m:val="p"/>
                    </m:rPr>
                    <m:t>−</m:t>
                  </m:r>
                  <m:sSub>
                    <m:e>
                      <m:r>
                        <m:rPr>
                          <m:sty m:val="p"/>
                        </m:rPr>
                        <m:t>ℓ</m:t>
                      </m:r>
                    </m:e>
                    <m:sub>
                      <m:r>
                        <m:t>p</m:t>
                      </m:r>
                    </m:sub>
                  </m:sSub>
                  <m:d>
                    <m:dPr>
                      <m:begChr m:val="("/>
                      <m:sepChr m:val=""/>
                      <m:endChr m:val=")"/>
                      <m:grow/>
                    </m:dPr>
                    <m:e>
                      <m:r>
                        <m:t>v</m:t>
                      </m:r>
                    </m:e>
                  </m:d>
                </m:e>
              </m:d>
              <m:r>
                <m:rPr>
                  <m:sty m:val="p"/>
                </m:rPr>
                <m:t>≤</m:t>
              </m:r>
              <m:r>
                <m:t>3.84</m:t>
              </m:r>
            </m:oMath>
          </w:p>
        </w:tc>
        <w:tc>
          <w:tcPr/>
          <w:p>
            <w:pPr>
              <w:pStyle w:val="Compact"/>
              <w:jc w:val="left"/>
            </w:pPr>
            <w:r>
              <w:t xml:space="preserve">profile-likelihood CI</w:t>
            </w:r>
          </w:p>
        </w:tc>
      </w:tr>
      <w:tr>
        <w:tc>
          <w:tcPr/>
          <w:p>
            <w:pPr>
              <w:pStyle w:val="Compact"/>
              <w:jc w:val="left"/>
            </w:pPr>
            <w:r>
              <w:t xml:space="preserve">22</w:t>
            </w:r>
          </w:p>
        </w:tc>
        <w:tc>
          <w:tcPr/>
          <w:p>
            <w:pPr>
              <w:pStyle w:val="Compact"/>
              <w:jc w:val="left"/>
            </w:pPr>
            <w:r>
              <w:t xml:space="preserve">resample and refit</w:t>
            </w:r>
          </w:p>
        </w:tc>
        <w:tc>
          <w:tcPr/>
          <w:p>
            <w:pPr>
              <w:pStyle w:val="Compact"/>
              <w:jc w:val="left"/>
            </w:pPr>
            <w:r>
              <w:t xml:space="preserve">bootstrap CI</w:t>
            </w:r>
          </w:p>
        </w:tc>
      </w:tr>
      <w:tr>
        <w:tc>
          <w:tcPr/>
          <w:p>
            <w:pPr>
              <w:pStyle w:val="Compact"/>
              <w:jc w:val="left"/>
            </w:pPr>
            <w:r>
              <w:t xml:space="preserve">23</w:t>
            </w:r>
          </w:p>
        </w:tc>
        <w:tc>
          <w:tcPr/>
          <w:p>
            <w:pPr>
              <w:pStyle w:val="Compact"/>
              <w:jc w:val="left"/>
            </w:pPr>
            <m:oMath>
              <m:acc>
                <m:accPr>
                  <m:chr m:val="̂"/>
                </m:accPr>
                <m:e>
                  <m:r>
                    <m:t>θ</m:t>
                  </m:r>
                </m:e>
              </m:acc>
              <m:r>
                <m:rPr>
                  <m:sty m:val="p"/>
                </m:rPr>
                <m:t>=</m:t>
              </m:r>
              <m:sSub>
                <m:e>
                  <m:r>
                    <m:t>C</m:t>
                  </m:r>
                </m:e>
                <m:sub>
                  <m:r>
                    <m:t>u</m:t>
                  </m:r>
                </m:sub>
              </m:sSub>
              <m:r>
                <m:rPr>
                  <m:sty m:val="p"/>
                </m:rPr>
                <m:t>/</m:t>
              </m:r>
              <m:sSub>
                <m:e>
                  <m:r>
                    <m:t>N</m:t>
                  </m:r>
                </m:e>
                <m:sub>
                  <m:r>
                    <m:t>u</m:t>
                  </m:r>
                </m:sub>
              </m:sSub>
            </m:oMath>
          </w:p>
        </w:tc>
        <w:tc>
          <w:tcPr/>
          <w:p>
            <w:pPr>
              <w:pStyle w:val="Compact"/>
              <w:jc w:val="left"/>
            </w:pPr>
            <w:r>
              <w:t xml:space="preserve">extremal index</w:t>
            </w:r>
          </w:p>
        </w:tc>
      </w:tr>
      <w:tr>
        <w:tc>
          <w:tcPr/>
          <w:p>
            <w:pPr>
              <w:pStyle w:val="Compact"/>
              <w:jc w:val="left"/>
            </w:pPr>
            <w:r>
              <w:t xml:space="preserve">24</w:t>
            </w:r>
          </w:p>
        </w:tc>
        <w:tc>
          <w:tcPr/>
          <w:p>
            <w:pPr>
              <w:pStyle w:val="Compact"/>
              <w:jc w:val="left"/>
            </w:pPr>
            <w:r>
              <w:t xml:space="preserve">GJR-GARCH(1,1) on losses</w:t>
            </w:r>
          </w:p>
        </w:tc>
        <w:tc>
          <w:tcPr/>
          <w:p>
            <w:pPr>
              <w:pStyle w:val="Compact"/>
              <w:jc w:val="left"/>
            </w:pPr>
            <w:r>
              <w:t xml:space="preserve">conditional volatility</w:t>
            </w:r>
          </w:p>
        </w:tc>
      </w:tr>
      <w:tr>
        <w:tc>
          <w:tcPr/>
          <w:p>
            <w:pPr>
              <w:pStyle w:val="Compact"/>
              <w:jc w:val="left"/>
            </w:pPr>
            <w:r>
              <w:t xml:space="preserve">25</w:t>
            </w:r>
          </w:p>
        </w:tc>
        <w:tc>
          <w:tcPr/>
          <w:p>
            <w:pPr>
              <w:pStyle w:val="Compact"/>
              <w:jc w:val="left"/>
            </w:pPr>
            <w:r>
              <w:t xml:space="preserve">normal (quasi) likelihood</w:t>
            </w:r>
          </w:p>
        </w:tc>
        <w:tc>
          <w:tcPr/>
          <w:p>
            <w:pPr>
              <w:pStyle w:val="Compact"/>
              <w:jc w:val="left"/>
            </w:pPr>
            <w:r>
              <w:t xml:space="preserve">GARCH estimation</w:t>
            </w:r>
          </w:p>
        </w:tc>
      </w:tr>
      <w:tr>
        <w:tc>
          <w:tcPr/>
          <w:p>
            <w:pPr>
              <w:pStyle w:val="Compact"/>
              <w:jc w:val="left"/>
            </w:pPr>
            <w:r>
              <w:t xml:space="preserve">26</w:t>
            </w:r>
          </w:p>
        </w:tc>
        <w:tc>
          <w:tcPr/>
          <w:p>
            <w:pPr>
              <w:pStyle w:val="Compact"/>
              <w:jc w:val="left"/>
            </w:pPr>
            <m:oMath>
              <m:sSub>
                <m:e>
                  <m:r>
                    <m:t>μ</m:t>
                  </m:r>
                </m:e>
                <m:sub>
                  <m:r>
                    <m:t>t</m:t>
                  </m:r>
                </m:sub>
              </m:sSub>
              <m:r>
                <m:rPr>
                  <m:sty m:val="p"/>
                </m:rPr>
                <m:t>+</m:t>
              </m:r>
              <m:sSub>
                <m:e>
                  <m:r>
                    <m:t>σ</m:t>
                  </m:r>
                </m:e>
                <m:sub>
                  <m:r>
                    <m:t>t</m:t>
                  </m:r>
                </m:sub>
              </m:sSub>
              <m:sSubSup>
                <m:e>
                  <m:r>
                    <m:t>z</m:t>
                  </m:r>
                </m:e>
                <m:sub>
                  <m:r>
                    <m:t>q</m:t>
                  </m:r>
                </m:sub>
                <m:sup>
                  <m:r>
                    <m:t>E</m:t>
                  </m:r>
                  <m:r>
                    <m:t>V</m:t>
                  </m:r>
                  <m:r>
                    <m:t>T</m:t>
                  </m:r>
                </m:sup>
              </m:sSubSup>
            </m:oMath>
          </w:p>
        </w:tc>
        <w:tc>
          <w:tcPr/>
          <w:p>
            <w:pPr>
              <w:pStyle w:val="Compact"/>
              <w:jc w:val="left"/>
            </w:pPr>
            <w:r>
              <w:t xml:space="preserve">McNeil–Frey VaR, ES</w:t>
            </w:r>
          </w:p>
        </w:tc>
      </w:tr>
      <w:tr>
        <w:tc>
          <w:tcPr/>
          <w:p>
            <w:pPr>
              <w:pStyle w:val="Compact"/>
              <w:jc w:val="left"/>
            </w:pPr>
            <w:r>
              <w:t xml:space="preserve">27</w:t>
            </w:r>
          </w:p>
        </w:tc>
        <w:tc>
          <w:tcPr/>
          <w:p>
            <w:pPr>
              <w:pStyle w:val="Compact"/>
              <w:jc w:val="left"/>
            </w:pPr>
            <m:oMath>
              <m:r>
                <m:t>L</m:t>
              </m:r>
              <m:sSub>
                <m:e>
                  <m:r>
                    <m:t>R</m:t>
                  </m:r>
                </m:e>
                <m:sub>
                  <m:r>
                    <m:t>u</m:t>
                  </m:r>
                  <m:r>
                    <m:t>c</m:t>
                  </m:r>
                </m:sub>
              </m:sSub>
              <m:r>
                <m:rPr>
                  <m:sty m:val="p"/>
                </m:rPr>
                <m:t>∼</m:t>
              </m:r>
              <m:sSubSup>
                <m:e>
                  <m:r>
                    <m:t>χ</m:t>
                  </m:r>
                </m:e>
                <m:sub>
                  <m:r>
                    <m:t>1</m:t>
                  </m:r>
                </m:sub>
                <m:sup>
                  <m:r>
                    <m:t>2</m:t>
                  </m:r>
                </m:sup>
              </m:sSubSup>
            </m:oMath>
          </w:p>
        </w:tc>
        <w:tc>
          <w:tcPr/>
          <w:p>
            <w:pPr>
              <w:pStyle w:val="Compact"/>
              <w:jc w:val="left"/>
            </w:pPr>
            <w:r>
              <w:t xml:space="preserve">Kupiec</w:t>
            </w:r>
          </w:p>
        </w:tc>
      </w:tr>
      <w:tr>
        <w:tc>
          <w:tcPr/>
          <w:p>
            <w:pPr>
              <w:pStyle w:val="Compact"/>
              <w:jc w:val="left"/>
            </w:pPr>
            <w:r>
              <w:t xml:space="preserve">28</w:t>
            </w:r>
          </w:p>
        </w:tc>
        <w:tc>
          <w:tcPr/>
          <w:p>
            <w:pPr>
              <w:pStyle w:val="Compact"/>
              <w:jc w:val="left"/>
            </w:pPr>
            <m:oMath>
              <m:r>
                <m:t>L</m:t>
              </m:r>
              <m:sSub>
                <m:e>
                  <m:r>
                    <m:t>R</m:t>
                  </m:r>
                </m:e>
                <m:sub>
                  <m:r>
                    <m:t>c</m:t>
                  </m:r>
                  <m:r>
                    <m:t>c</m:t>
                  </m:r>
                </m:sub>
              </m:sSub>
              <m:r>
                <m:rPr>
                  <m:sty m:val="p"/>
                </m:rPr>
                <m:t>∼</m:t>
              </m:r>
              <m:sSubSup>
                <m:e>
                  <m:r>
                    <m:t>χ</m:t>
                  </m:r>
                </m:e>
                <m:sub>
                  <m:r>
                    <m:t>2</m:t>
                  </m:r>
                </m:sub>
                <m:sup>
                  <m:r>
                    <m:t>2</m:t>
                  </m:r>
                </m:sup>
              </m:sSubSup>
            </m:oMath>
          </w:p>
        </w:tc>
        <w:tc>
          <w:tcPr/>
          <w:p>
            <w:pPr>
              <w:pStyle w:val="Compact"/>
              <w:jc w:val="left"/>
            </w:pPr>
            <w:r>
              <w:t xml:space="preserve">Christoffersen</w:t>
            </w:r>
          </w:p>
        </w:tc>
      </w:tr>
      <w:tr>
        <w:tc>
          <w:tcPr/>
          <w:p>
            <w:pPr>
              <w:pStyle w:val="Compact"/>
              <w:jc w:val="left"/>
            </w:pPr>
            <w:r>
              <w:t xml:space="preserve">29</w:t>
            </w:r>
          </w:p>
        </w:tc>
        <w:tc>
          <w:tcPr/>
          <w:p>
            <w:pPr>
              <w:pStyle w:val="Compact"/>
              <w:jc w:val="left"/>
            </w:pPr>
            <m:oMath>
              <m:sSub>
                <m:e>
                  <m:r>
                    <m:t>Z</m:t>
                  </m:r>
                </m:e>
                <m:sub>
                  <m:r>
                    <m:t>2</m:t>
                  </m:r>
                </m:sub>
              </m:sSub>
            </m:oMath>
          </w:p>
        </w:tc>
        <w:tc>
          <w:tcPr/>
          <w:p>
            <w:pPr>
              <w:pStyle w:val="Compact"/>
              <w:jc w:val="left"/>
            </w:pPr>
            <w:r>
              <w:t xml:space="preserve">ES backtest</w:t>
            </w:r>
          </w:p>
        </w:tc>
      </w:tr>
      <w:tr>
        <w:tc>
          <w:tcPr/>
          <w:p>
            <w:pPr>
              <w:pStyle w:val="Compact"/>
              <w:jc w:val="left"/>
            </w:pPr>
            <w:r>
              <w:t xml:space="preserve">30</w:t>
            </w:r>
          </w:p>
        </w:tc>
        <w:tc>
          <w:tcPr/>
          <w:p>
            <w:pPr>
              <w:pStyle w:val="Compact"/>
              <w:jc w:val="left"/>
            </w:pPr>
            <m:oMath>
              <m:r>
                <m:t>P</m:t>
              </m:r>
              <m:d>
                <m:dPr>
                  <m:begChr m:val="("/>
                  <m:sepChr m:val=""/>
                  <m:endChr m:val=")"/>
                  <m:grow/>
                </m:dPr>
                <m:e>
                  <m:r>
                    <m:t>N</m:t>
                  </m:r>
                  <m:r>
                    <m:rPr>
                      <m:sty m:val="p"/>
                    </m:rPr>
                    <m:t>≥</m:t>
                  </m:r>
                  <m:r>
                    <m:t>n</m:t>
                  </m:r>
                </m:e>
              </m:d>
            </m:oMath>
            <w:r>
              <w:t xml:space="preserve">, Binomial(T, p)</w:t>
            </w:r>
          </w:p>
        </w:tc>
        <w:tc>
          <w:tcPr/>
          <w:p>
            <w:pPr>
              <w:pStyle w:val="Compact"/>
              <w:jc w:val="left"/>
            </w:pPr>
            <w:r>
              <w:t xml:space="preserve">exact breach p-value</w:t>
            </w:r>
          </w:p>
        </w:tc>
      </w:tr>
    </w:tbl>
    <w:p>
      <w:r>
        <w:pict>
          <v:rect style="width:0;height:1.5pt" o:hralign="center" o:hrstd="t" o:hr="t"/>
        </w:pict>
      </w:r>
    </w:p>
    <w:bookmarkEnd w:id="38"/>
    <w:bookmarkStart w:id="39" w:name="X4d659e1ee1ec9ceae9bf9e56235d1805b2082e5"/>
    <w:p>
      <w:pPr>
        <w:pStyle w:val="Heading2"/>
      </w:pPr>
      <w:r>
        <w:t xml:space="preserve">Part D – Development plan (step by step, one function at a time)</w:t>
      </w:r>
    </w:p>
    <w:p>
      <w:pPr>
        <w:pStyle w:val="FirstParagraph"/>
      </w:pPr>
      <w:r>
        <w:t xml:space="preserve">As in Projects 1–6, each step is one function or one cell, with the five questions, a line-by-line explanation and a validation; you run it and send the output before the next step.</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Functions (package</w:t>
            </w:r>
            <w:r>
              <w:t xml:space="preserve"> </w:t>
            </w:r>
            <w:r>
              <w:rPr>
                <w:rStyle w:val="VerbatimChar"/>
              </w:rPr>
              <w:t xml:space="preserve">tailrisk</w:t>
            </w:r>
            <w:r>
              <w:t xml:space="preserve">)</w:t>
            </w:r>
          </w:p>
        </w:tc>
      </w:tr>
      <w:tr>
        <w:tc>
          <w:tcPr/>
          <w:p>
            <w:pPr>
              <w:pStyle w:val="Compact"/>
              <w:jc w:val="left"/>
            </w:pPr>
            <w:r>
              <w:rPr>
                <w:bCs/>
                <w:b/>
              </w:rPr>
              <w:t xml:space="preserve">1. Data</w:t>
            </w:r>
          </w:p>
        </w:tc>
        <w:tc>
          <w:tcPr/>
          <w:p>
            <w:pPr>
              <w:pStyle w:val="Compact"/>
              <w:jc w:val="left"/>
            </w:pPr>
            <w:r>
              <w:t xml:space="preserve">Download ^GSPC since 1927; save; check the calendar (Saturday sessions to 1952), zero returns, known crash days; losses (Eq. 1)</w:t>
            </w:r>
          </w:p>
        </w:tc>
        <w:tc>
          <w:tcPr/>
          <w:p>
            <w:pPr>
              <w:pStyle w:val="Compact"/>
              <w:jc w:val="left"/>
            </w:pPr>
            <w:r>
              <w:rPr>
                <w:rStyle w:val="VerbatimChar"/>
              </w:rPr>
              <w:t xml:space="preserve">data.load_yahoo</w:t>
            </w:r>
            <w:r>
              <w:t xml:space="preserve">,</w:t>
            </w:r>
            <w:r>
              <w:t xml:space="preserve"> </w:t>
            </w:r>
            <w:r>
              <w:rPr>
                <w:rStyle w:val="VerbatimChar"/>
              </w:rPr>
              <w:t xml:space="preserve">data.losses</w:t>
            </w:r>
          </w:p>
        </w:tc>
      </w:tr>
      <w:tr>
        <w:tc>
          <w:tcPr/>
          <w:p>
            <w:pPr>
              <w:pStyle w:val="Compact"/>
              <w:jc w:val="left"/>
            </w:pPr>
            <w:r>
              <w:rPr>
                <w:bCs/>
                <w:b/>
              </w:rPr>
              <w:t xml:space="preserve">2. The tails in the data</w:t>
            </w:r>
          </w:p>
        </w:tc>
        <w:tc>
          <w:tcPr/>
          <w:p>
            <w:pPr>
              <w:pStyle w:val="Compact"/>
              <w:jc w:val="left"/>
            </w:pPr>
            <w:r>
              <w:t xml:space="preserve">Statistics by era (1928–45, 1946–86, 1987–2026); QQ plots against normal and t; the 20 worst days; both tails</w:t>
            </w:r>
          </w:p>
        </w:tc>
        <w:tc>
          <w:tcPr/>
          <w:p>
            <w:pPr>
              <w:pStyle w:val="Compact"/>
              <w:jc w:val="left"/>
            </w:pPr>
            <w:r>
              <w:rPr>
                <w:rStyle w:val="VerbatimChar"/>
              </w:rPr>
              <w:t xml:space="preserve">descriptive.tail_table</w:t>
            </w:r>
            <w:r>
              <w:t xml:space="preserve">,</w:t>
            </w:r>
            <w:r>
              <w:t xml:space="preserve"> </w:t>
            </w:r>
            <w:r>
              <w:rPr>
                <w:rStyle w:val="VerbatimChar"/>
              </w:rPr>
              <w:t xml:space="preserve">plots.plot_qq</w:t>
            </w:r>
          </w:p>
        </w:tc>
      </w:tr>
      <w:tr>
        <w:tc>
          <w:tcPr/>
          <w:p>
            <w:pPr>
              <w:pStyle w:val="Compact"/>
              <w:jc w:val="left"/>
            </w:pPr>
            <w:r>
              <w:rPr>
                <w:bCs/>
                <w:b/>
              </w:rPr>
              <w:t xml:space="preserve">3. Hill estimator</w:t>
            </w:r>
          </w:p>
        </w:tc>
        <w:tc>
          <w:tcPr/>
          <w:p>
            <w:pPr>
              <w:pStyle w:val="Compact"/>
              <w:jc w:val="left"/>
            </w:pPr>
            <w:r>
              <w:t xml:space="preserve">Hill function; validation on simulated t(4) and Pareto; Hill plots of both tails; ξ by era</w:t>
            </w:r>
          </w:p>
        </w:tc>
        <w:tc>
          <w:tcPr/>
          <w:p>
            <w:pPr>
              <w:pStyle w:val="Compact"/>
              <w:jc w:val="left"/>
            </w:pPr>
            <w:r>
              <w:rPr>
                <w:rStyle w:val="VerbatimChar"/>
              </w:rPr>
              <w:t xml:space="preserve">evt.hill</w:t>
            </w:r>
            <w:r>
              <w:t xml:space="preserve">,</w:t>
            </w:r>
            <w:r>
              <w:t xml:space="preserve"> </w:t>
            </w:r>
            <w:r>
              <w:rPr>
                <w:rStyle w:val="VerbatimChar"/>
              </w:rPr>
              <w:t xml:space="preserve">evt.hill_var_es</w:t>
            </w:r>
            <w:r>
              <w:t xml:space="preserve">,</w:t>
            </w:r>
            <w:r>
              <w:t xml:space="preserve"> </w:t>
            </w:r>
            <w:r>
              <w:rPr>
                <w:rStyle w:val="VerbatimChar"/>
              </w:rPr>
              <w:t xml:space="preserve">plots.plot_hill</w:t>
            </w:r>
          </w:p>
        </w:tc>
      </w:tr>
      <w:tr>
        <w:tc>
          <w:tcPr/>
          <w:p>
            <w:pPr>
              <w:pStyle w:val="Compact"/>
              <w:jc w:val="left"/>
            </w:pPr>
            <w:r>
              <w:rPr>
                <w:bCs/>
                <w:b/>
              </w:rPr>
              <w:t xml:space="preserve">4. POT and GPD</w:t>
            </w:r>
          </w:p>
        </w:tc>
        <w:tc>
          <w:tcPr/>
          <w:p>
            <w:pPr>
              <w:pStyle w:val="Compact"/>
              <w:jc w:val="left"/>
            </w:pPr>
            <w:r>
              <w:t xml:space="preserve">Mean excess plot; GPD maximum likelihood (vs scipy); parameter stability; QQ of excesses; threshold choice</w:t>
            </w:r>
          </w:p>
        </w:tc>
        <w:tc>
          <w:tcPr/>
          <w:p>
            <w:pPr>
              <w:pStyle w:val="Compact"/>
              <w:jc w:val="left"/>
            </w:pPr>
            <w:r>
              <w:rPr>
                <w:rStyle w:val="VerbatimChar"/>
              </w:rPr>
              <w:t xml:space="preserve">evt.mean_excess</w:t>
            </w:r>
            <w:r>
              <w:t xml:space="preserve">,</w:t>
            </w:r>
            <w:r>
              <w:t xml:space="preserve"> </w:t>
            </w:r>
            <w:r>
              <w:rPr>
                <w:rStyle w:val="VerbatimChar"/>
              </w:rPr>
              <w:t xml:space="preserve">evt.fit_gpd</w:t>
            </w:r>
            <w:r>
              <w:t xml:space="preserve">,</w:t>
            </w:r>
            <w:r>
              <w:t xml:space="preserve"> </w:t>
            </w:r>
            <w:r>
              <w:rPr>
                <w:rStyle w:val="VerbatimChar"/>
              </w:rPr>
              <w:t xml:space="preserve">evt.threshold_stability</w:t>
            </w:r>
          </w:p>
        </w:tc>
      </w:tr>
      <w:tr>
        <w:tc>
          <w:tcPr/>
          <w:p>
            <w:pPr>
              <w:pStyle w:val="Compact"/>
              <w:jc w:val="left"/>
            </w:pPr>
            <w:r>
              <w:rPr>
                <w:bCs/>
                <w:b/>
              </w:rPr>
              <w:t xml:space="preserve">5. Extreme VaR and ES</w:t>
            </w:r>
          </w:p>
        </w:tc>
        <w:tc>
          <w:tcPr/>
          <w:p>
            <w:pPr>
              <w:pStyle w:val="Compact"/>
              <w:jc w:val="left"/>
            </w:pPr>
            <w:r>
              <w:t xml:space="preserve">99%, 99.5%, 99.9% by GPD, Hill, normal, t, historical; return levels; the 1987 crash under each model</w:t>
            </w:r>
          </w:p>
        </w:tc>
        <w:tc>
          <w:tcPr/>
          <w:p>
            <w:pPr>
              <w:pStyle w:val="Compact"/>
              <w:jc w:val="left"/>
            </w:pPr>
            <w:r>
              <w:rPr>
                <w:rStyle w:val="VerbatimChar"/>
              </w:rPr>
              <w:t xml:space="preserve">evt.gpd_var_es</w:t>
            </w:r>
            <w:r>
              <w:t xml:space="preserve">,</w:t>
            </w:r>
            <w:r>
              <w:t xml:space="preserve"> </w:t>
            </w:r>
            <w:r>
              <w:rPr>
                <w:rStyle w:val="VerbatimChar"/>
              </w:rPr>
              <w:t xml:space="preserve">benchmarks.var_es_normal</w:t>
            </w:r>
            <w:r>
              <w:t xml:space="preserve">,</w:t>
            </w:r>
            <w:r>
              <w:t xml:space="preserve"> </w:t>
            </w:r>
            <w:r>
              <w:rPr>
                <w:rStyle w:val="VerbatimChar"/>
              </w:rPr>
              <w:t xml:space="preserve">var_es_t</w:t>
            </w:r>
            <w:r>
              <w:t xml:space="preserve">,</w:t>
            </w:r>
            <w:r>
              <w:t xml:space="preserve"> </w:t>
            </w:r>
            <w:r>
              <w:rPr>
                <w:rStyle w:val="VerbatimChar"/>
              </w:rPr>
              <w:t xml:space="preserve">var_es_hist</w:t>
            </w:r>
          </w:p>
        </w:tc>
      </w:tr>
      <w:tr>
        <w:tc>
          <w:tcPr/>
          <w:p>
            <w:pPr>
              <w:pStyle w:val="Compact"/>
              <w:jc w:val="left"/>
            </w:pPr>
            <w:r>
              <w:rPr>
                <w:bCs/>
                <w:b/>
              </w:rPr>
              <w:t xml:space="preserve">6. Uncertainty</w:t>
            </w:r>
          </w:p>
        </w:tc>
        <w:tc>
          <w:tcPr/>
          <w:p>
            <w:pPr>
              <w:pStyle w:val="Compact"/>
              <w:jc w:val="left"/>
            </w:pPr>
            <w:r>
              <w:t xml:space="preserve">Delta-method and profile-likelihood intervals; block bootstrap; coverage check on simulated data</w:t>
            </w:r>
          </w:p>
        </w:tc>
        <w:tc>
          <w:tcPr/>
          <w:p>
            <w:pPr>
              <w:pStyle w:val="Compact"/>
              <w:jc w:val="left"/>
            </w:pPr>
            <w:r>
              <w:rPr>
                <w:rStyle w:val="VerbatimChar"/>
              </w:rPr>
              <w:t xml:space="preserve">evt.gpd_var_ci</w:t>
            </w:r>
            <w:r>
              <w:t xml:space="preserve">,</w:t>
            </w:r>
            <w:r>
              <w:t xml:space="preserve"> </w:t>
            </w:r>
            <w:r>
              <w:rPr>
                <w:rStyle w:val="VerbatimChar"/>
              </w:rPr>
              <w:t xml:space="preserve">evt.bootstrap_var_ci</w:t>
            </w:r>
          </w:p>
        </w:tc>
      </w:tr>
      <w:tr>
        <w:tc>
          <w:tcPr/>
          <w:p>
            <w:pPr>
              <w:pStyle w:val="Compact"/>
              <w:jc w:val="left"/>
            </w:pPr>
            <w:r>
              <w:rPr>
                <w:bCs/>
                <w:b/>
              </w:rPr>
              <w:t xml:space="preserve">7. Clustering and the GARCH filter</w:t>
            </w:r>
          </w:p>
        </w:tc>
        <w:tc>
          <w:tcPr/>
          <w:p>
            <w:pPr>
              <w:pStyle w:val="Compact"/>
              <w:jc w:val="left"/>
            </w:pPr>
            <w:r>
              <w:t xml:space="preserve">Extremal index of losses; GJR-GARCH by QML (vs</w:t>
            </w:r>
            <w:r>
              <w:t xml:space="preserve"> </w:t>
            </w:r>
            <w:r>
              <w:rPr>
                <w:rStyle w:val="VerbatimChar"/>
              </w:rPr>
              <w:t xml:space="preserve">arch</w:t>
            </w:r>
            <w:r>
              <w:t xml:space="preserve">); residual diagnostics; extremal index of residuals</w:t>
            </w:r>
          </w:p>
        </w:tc>
        <w:tc>
          <w:tcPr/>
          <w:p>
            <w:pPr>
              <w:pStyle w:val="Compact"/>
              <w:jc w:val="left"/>
            </w:pPr>
            <w:r>
              <w:rPr>
                <w:rStyle w:val="VerbatimChar"/>
              </w:rPr>
              <w:t xml:space="preserve">evt.extremal_index_runs</w:t>
            </w:r>
            <w:r>
              <w:t xml:space="preserve">,</w:t>
            </w:r>
            <w:r>
              <w:t xml:space="preserve"> </w:t>
            </w:r>
            <w:r>
              <w:rPr>
                <w:rStyle w:val="VerbatimChar"/>
              </w:rPr>
              <w:t xml:space="preserve">garch.fit_gjr_qml</w:t>
            </w:r>
          </w:p>
        </w:tc>
      </w:tr>
      <w:tr>
        <w:tc>
          <w:tcPr/>
          <w:p>
            <w:pPr>
              <w:pStyle w:val="Compact"/>
              <w:jc w:val="left"/>
            </w:pPr>
            <w:r>
              <w:rPr>
                <w:bCs/>
                <w:b/>
              </w:rPr>
              <w:t xml:space="preserve">8. McNeil–Frey out of sample</w:t>
            </w:r>
          </w:p>
        </w:tc>
        <w:tc>
          <w:tcPr/>
          <w:p>
            <w:pPr>
              <w:pStyle w:val="Compact"/>
              <w:jc w:val="left"/>
            </w:pPr>
            <w:r>
              <w:t xml:space="preserve">Rolling engine (1,000 days, refit every 20): McNeil–Frey, GARCH-normal, GARCH-t, FHS, unconditional EVT, historical; look-ahead test</w:t>
            </w:r>
          </w:p>
        </w:tc>
        <w:tc>
          <w:tcPr/>
          <w:p>
            <w:pPr>
              <w:pStyle w:val="Compact"/>
              <w:jc w:val="left"/>
            </w:pPr>
            <w:r>
              <w:rPr>
                <w:rStyle w:val="VerbatimChar"/>
              </w:rPr>
              <w:t xml:space="preserve">engine.rolling_tail_var</w:t>
            </w:r>
          </w:p>
        </w:tc>
      </w:tr>
      <w:tr>
        <w:tc>
          <w:tcPr/>
          <w:p>
            <w:pPr>
              <w:pStyle w:val="Compact"/>
              <w:jc w:val="left"/>
            </w:pPr>
            <w:r>
              <w:rPr>
                <w:bCs/>
                <w:b/>
              </w:rPr>
              <w:t xml:space="preserve">9. Backtests</w:t>
            </w:r>
          </w:p>
        </w:tc>
        <w:tc>
          <w:tcPr/>
          <w:p>
            <w:pPr>
              <w:pStyle w:val="Compact"/>
              <w:jc w:val="left"/>
            </w:pPr>
            <w:r>
              <w:t xml:space="preserve">Kupiec, Christoffersen, Z2, exact binomial, traffic light at 99%, 99.5%, 99.9%; charts through 1929, 1987, 2008, 2020</w:t>
            </w:r>
          </w:p>
        </w:tc>
        <w:tc>
          <w:tcPr/>
          <w:p>
            <w:pPr>
              <w:pStyle w:val="Compact"/>
              <w:jc w:val="left"/>
            </w:pPr>
            <w:r>
              <w:rPr>
                <w:rStyle w:val="VerbatimChar"/>
              </w:rPr>
              <w:t xml:space="preserve">backtest.*</w:t>
            </w:r>
            <w:r>
              <w:t xml:space="preserve">,</w:t>
            </w:r>
            <w:r>
              <w:t xml:space="preserve"> </w:t>
            </w:r>
            <w:r>
              <w:rPr>
                <w:rStyle w:val="VerbatimChar"/>
              </w:rPr>
              <w:t xml:space="preserve">plots.plot_backtest</w:t>
            </w:r>
            <w:r>
              <w:t xml:space="preserve">,</w:t>
            </w:r>
            <w:r>
              <w:t xml:space="preserve"> </w:t>
            </w:r>
            <w:r>
              <w:rPr>
                <w:rStyle w:val="VerbatimChar"/>
              </w:rPr>
              <w:t xml:space="preserve">plots.plot_var_through_crises</w:t>
            </w:r>
          </w:p>
        </w:tc>
      </w:tr>
      <w:tr>
        <w:tc>
          <w:tcPr/>
          <w:p>
            <w:pPr>
              <w:pStyle w:val="Compact"/>
              <w:jc w:val="left"/>
            </w:pPr>
            <w:r>
              <w:rPr>
                <w:bCs/>
                <w:b/>
              </w:rPr>
              <w:t xml:space="preserve">10. Conclusions</w:t>
            </w:r>
          </w:p>
        </w:tc>
        <w:tc>
          <w:tcPr/>
          <w:p>
            <w:pPr>
              <w:pStyle w:val="Compact"/>
              <w:jc w:val="left"/>
            </w:pPr>
            <w:r>
              <w:t xml:space="preserve">Findings, recommendation, limitations; package, tests, notebook, report, README</w:t>
            </w:r>
          </w:p>
        </w:tc>
        <w:tc>
          <w:tcPr/>
          <w:p>
            <w:pPr>
              <w:pStyle w:val="Compact"/>
              <w:jc w:val="left"/>
            </w:pPr>
            <w:r>
              <w:t xml:space="preserve">—</w:t>
            </w:r>
          </w:p>
        </w:tc>
      </w:tr>
    </w:tbl>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7 – Extreme Value Theory for Tail Risk</dc:title>
  <dc:creator/>
  <cp:keywords/>
  <dcterms:created xsi:type="dcterms:W3CDTF">2026-10-27T17:20:10Z</dcterms:created>
  <dcterms:modified xsi:type="dcterms:W3CDTF">2026-10-27T17:20:10Z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Theory Notes: equations, problem solving, concepts and development plan</vt:lpwstr>
  </property>
</Properties>
</file>