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9.png" ContentType="image/png"/>
  <Override PartName="/word/media/rId40.png" ContentType="image/png"/>
  <Override PartName="/word/media/rId33.png" ContentType="image/png"/>
  <Override PartName="/word/media/rId64.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4</w:t>
      </w:r>
      <w:r>
        <w:t xml:space="preserve"> </w:t>
      </w:r>
      <w:r>
        <w:t xml:space="preserve">–</w:t>
      </w:r>
      <w:r>
        <w:t xml:space="preserve"> </w:t>
      </w:r>
      <w:r>
        <w:t xml:space="preserve">Multivariate</w:t>
      </w:r>
      <w:r>
        <w:t xml:space="preserve"> </w:t>
      </w:r>
      <w:r>
        <w:t xml:space="preserve">Volatility:</w:t>
      </w:r>
      <w:r>
        <w:t xml:space="preserve"> </w:t>
      </w:r>
      <w:r>
        <w:t xml:space="preserve">Rolling,</w:t>
      </w:r>
      <w:r>
        <w:t xml:space="preserve"> </w:t>
      </w:r>
      <w:r>
        <w:t xml:space="preserve">EWMA,</w:t>
      </w:r>
      <w:r>
        <w:t xml:space="preserve"> </w:t>
      </w:r>
      <w:r>
        <w:t xml:space="preserve">CCC</w:t>
      </w:r>
      <w:r>
        <w:t xml:space="preserve"> </w:t>
      </w:r>
      <w:r>
        <w:t xml:space="preserve">and</w:t>
      </w:r>
      <w:r>
        <w:t xml:space="preserve"> </w:t>
      </w:r>
      <w:r>
        <w:t xml:space="preserve">DCC</w:t>
      </w:r>
    </w:p>
    <w:p>
      <w:pPr>
        <w:pStyle w:val="Subtitle"/>
      </w:pPr>
      <w:r>
        <w:t xml:space="preserve">Final</w:t>
      </w:r>
      <w:r>
        <w:t xml:space="preserve"> </w:t>
      </w:r>
      <w:r>
        <w:t xml:space="preserve">Report:</w:t>
      </w:r>
      <w:r>
        <w:t xml:space="preserve"> </w:t>
      </w:r>
      <w:r>
        <w:t xml:space="preserve">what</w:t>
      </w:r>
      <w:r>
        <w:t xml:space="preserve"> </w:t>
      </w:r>
      <w:r>
        <w:t xml:space="preserve">was</w:t>
      </w:r>
      <w:r>
        <w:t xml:space="preserve"> </w:t>
      </w:r>
      <w:r>
        <w:t xml:space="preserve">done,</w:t>
      </w:r>
      <w:r>
        <w:t xml:space="preserve"> </w:t>
      </w:r>
      <w:r>
        <w:t xml:space="preserve">how</w:t>
      </w:r>
      <w:r>
        <w:t xml:space="preserve"> </w:t>
      </w:r>
      <w:r>
        <w:t xml:space="preserve">and</w:t>
      </w:r>
      <w:r>
        <w:t xml:space="preserve"> </w:t>
      </w:r>
      <w:r>
        <w:t xml:space="preserve">why</w:t>
      </w:r>
      <w:r>
        <w:t xml:space="preserve"> </w:t>
      </w:r>
      <w:r>
        <w:t xml:space="preserve">—</w:t>
      </w:r>
      <w:r>
        <w:t xml:space="preserve"> </w:t>
      </w:r>
      <w:r>
        <w:t xml:space="preserve">with</w:t>
      </w:r>
      <w:r>
        <w:t xml:space="preserve"> </w:t>
      </w:r>
      <w:r>
        <w:t xml:space="preserve">45</w:t>
      </w:r>
      <w:r>
        <w:t xml:space="preserve"> </w:t>
      </w:r>
      <w:r>
        <w:t xml:space="preserve">interview</w:t>
      </w:r>
      <w:r>
        <w:t xml:space="preserve"> </w:t>
      </w:r>
      <w:r>
        <w:t xml:space="preserve">questions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how-to-read-this-report"/>
    <w:p>
      <w:pPr>
        <w:pStyle w:val="Heading1"/>
      </w:pPr>
      <w:r>
        <w:t xml:space="preserve">How to Read This Report</w:t>
      </w:r>
    </w:p>
    <w:p>
      <w:pPr>
        <w:pStyle w:val="FirstParagraph"/>
      </w:pPr>
      <w:r>
        <w:t xml:space="preserve">This report explains Project 4 from start to finish:</w:t>
      </w:r>
      <w:r>
        <w:t xml:space="preserve"> </w:t>
      </w:r>
      <w:r>
        <w:rPr>
          <w:bCs/>
          <w:b/>
        </w:rPr>
        <w:t xml:space="preserve">what was done, why it was done, how each step was checked, and what it showed.</w:t>
      </w:r>
      <w:r>
        <w:t xml:space="preserve"> </w:t>
      </w:r>
      <w:r>
        <w:t xml:space="preserve">It is written so that someone who has never built a multivariate volatility model can follow it, and so that it can be used to prepare for interviews.</w:t>
      </w:r>
    </w:p>
    <w:p>
      <w:pPr>
        <w:pStyle w:val="BodyText"/>
      </w:pPr>
      <w:r>
        <w:t xml:space="preserve">Each step uses the same structure:</w:t>
      </w:r>
    </w:p>
    <w:p>
      <w:pPr>
        <w:numPr>
          <w:ilvl w:val="0"/>
          <w:numId w:val="1001"/>
        </w:numPr>
        <w:pStyle w:val="Compact"/>
      </w:pPr>
      <w:r>
        <w:rPr>
          <w:bCs/>
          <w:b/>
        </w:rPr>
        <w:t xml:space="preserve">What we did</w:t>
      </w:r>
      <w:r>
        <w:t xml:space="preserve"> </w:t>
      </w:r>
      <w:r>
        <w:t xml:space="preserve">– the task, in plain words.</w:t>
      </w:r>
    </w:p>
    <w:p>
      <w:pPr>
        <w:numPr>
          <w:ilvl w:val="0"/>
          <w:numId w:val="1001"/>
        </w:numPr>
        <w:pStyle w:val="Compact"/>
      </w:pPr>
      <w:r>
        <w:rPr>
          <w:bCs/>
          <w:b/>
        </w:rPr>
        <w:t xml:space="preserve">Why</w:t>
      </w:r>
      <w:r>
        <w:t xml:space="preserve"> </w:t>
      </w:r>
      <w:r>
        <w:t xml:space="preserve">– the reason for the choice.</w:t>
      </w:r>
    </w:p>
    <w:p>
      <w:pPr>
        <w:numPr>
          <w:ilvl w:val="0"/>
          <w:numId w:val="1001"/>
        </w:numPr>
        <w:pStyle w:val="Compact"/>
      </w:pPr>
      <w:r>
        <w:rPr>
          <w:bCs/>
          <w:b/>
        </w:rPr>
        <w:t xml:space="preserve">How</w:t>
      </w:r>
      <w:r>
        <w:t xml:space="preserve"> </w:t>
      </w:r>
      <w:r>
        <w:t xml:space="preserve">– the method and the Python function that implements it.</w:t>
      </w:r>
    </w:p>
    <w:p>
      <w:pPr>
        <w:numPr>
          <w:ilvl w:val="0"/>
          <w:numId w:val="1001"/>
        </w:numPr>
        <w:pStyle w:val="Compact"/>
      </w:pPr>
      <w:r>
        <w:rPr>
          <w:bCs/>
          <w:b/>
        </w:rPr>
        <w:t xml:space="preserve">How we checked it</w:t>
      </w:r>
      <w:r>
        <w:t xml:space="preserve"> </w:t>
      </w:r>
      <w:r>
        <w:t xml:space="preserve">– how we made sure the code was right before trusting the result.</w:t>
      </w:r>
    </w:p>
    <w:p>
      <w:pPr>
        <w:numPr>
          <w:ilvl w:val="0"/>
          <w:numId w:val="1001"/>
        </w:numPr>
        <w:pStyle w:val="Compact"/>
      </w:pPr>
      <w:r>
        <w:rPr>
          <w:bCs/>
          <w:b/>
        </w:rPr>
        <w:t xml:space="preserve">What we found</w:t>
      </w:r>
      <w:r>
        <w:t xml:space="preserve"> </w:t>
      </w:r>
      <w:r>
        <w:t xml:space="preserve">– the numbers.</w:t>
      </w:r>
    </w:p>
    <w:p>
      <w:pPr>
        <w:numPr>
          <w:ilvl w:val="0"/>
          <w:numId w:val="1001"/>
        </w:numPr>
        <w:pStyle w:val="Compact"/>
      </w:pPr>
      <w:r>
        <w:rPr>
          <w:bCs/>
          <w:b/>
        </w:rPr>
        <w:t xml:space="preserve">In plain words</w:t>
      </w:r>
      <w:r>
        <w:t xml:space="preserve"> </w:t>
      </w:r>
      <w:r>
        <w:t xml:space="preserve">– the takeaway in one or two sentences.</w:t>
      </w:r>
    </w:p>
    <w:p>
      <w:pPr>
        <w:pStyle w:val="FirstParagraph"/>
      </w:pPr>
      <w:r>
        <w:t xml:space="preserve">Definitions of every equation and variable, with worked examples, are in the separate document</w:t>
      </w:r>
      <w:r>
        <w:t xml:space="preserve"> </w:t>
      </w:r>
      <w:r>
        <w:rPr>
          <w:iCs/>
          <w:i/>
        </w:rPr>
        <w:t xml:space="preserve">Project 4 – Theory Notes</w:t>
      </w:r>
      <w:r>
        <w:t xml:space="preserve">; equation numbers in this report refer to it. At the end you will find a</w:t>
      </w:r>
      <w:r>
        <w:t xml:space="preserve"> </w:t>
      </w:r>
      <w:r>
        <w:rPr>
          <w:bCs/>
          <w:b/>
        </w:rPr>
        <w:t xml:space="preserve">glossary</w:t>
      </w:r>
      <w:r>
        <w:t xml:space="preserve"> </w:t>
      </w:r>
      <w:r>
        <w:t xml:space="preserve">and</w:t>
      </w:r>
      <w:r>
        <w:t xml:space="preserve"> </w:t>
      </w:r>
      <w:r>
        <w:rPr>
          <w:bCs/>
          <w:b/>
        </w:rPr>
        <w:t xml:space="preserve">45 interview questions with short answers</w:t>
      </w:r>
      <w:r>
        <w:t xml:space="preserve">.</w:t>
      </w:r>
    </w:p>
    <w:bookmarkEnd w:id="20"/>
    <w:bookmarkStart w:id="26" w:name="the-question"/>
    <w:p>
      <w:pPr>
        <w:pStyle w:val="Heading1"/>
      </w:pPr>
      <w:r>
        <w:t xml:space="preserve">1. The Question</w:t>
      </w:r>
    </w:p>
    <w:bookmarkStart w:id="21" w:name="the-business-question"/>
    <w:p>
      <w:pPr>
        <w:pStyle w:val="Heading2"/>
      </w:pPr>
      <w:r>
        <w:t xml:space="preserve">1.1 The business question</w:t>
      </w:r>
    </w:p>
    <w:p>
      <w:pPr>
        <w:pStyle w:val="BlockText"/>
      </w:pPr>
      <w:r>
        <w:rPr>
          <w:bCs/>
          <w:b/>
        </w:rPr>
        <w:t xml:space="preserve">How should a buy-side risk team forecast the covariance matrix of a multi-asset portfolio, and does a dynamic-correlation model give better risk numbers and better portfolios than constant or rolling correlations?</w:t>
      </w:r>
    </w:p>
    <w:bookmarkEnd w:id="21"/>
    <w:bookmarkStart w:id="22" w:name="why-it-matters"/>
    <w:p>
      <w:pPr>
        <w:pStyle w:val="Heading2"/>
      </w:pPr>
      <w:r>
        <w:t xml:space="preserve">1.2 Why it matters</w:t>
      </w:r>
    </w:p>
    <w:p>
      <w:pPr>
        <w:pStyle w:val="FirstParagraph"/>
      </w:pPr>
      <w:r>
        <w:t xml:space="preserve">A portfolio’s risk is not the sum of its assets’ risks: it depends on how they move</w:t>
      </w:r>
      <w:r>
        <w:t xml:space="preserve"> </w:t>
      </w:r>
      <w:r>
        <w:rPr>
          <w:bCs/>
          <w:b/>
        </w:rPr>
        <w:t xml:space="preserve">together</w:t>
      </w:r>
      <w:r>
        <w:t xml:space="preserve">. For a portfolio with weights</w:t>
      </w:r>
      <w:r>
        <w:t xml:space="preserve"> </w:t>
      </w:r>
      <m:oMath>
        <m:r>
          <m:rPr>
            <m:sty m:val="b"/>
          </m:rPr>
          <m:t>w</m:t>
        </m:r>
      </m:oMath>
      <w:r>
        <w:t xml:space="preserve"> </w:t>
      </w:r>
      <w:r>
        <w:t xml:space="preserve">and covariance matrix</w:t>
      </w:r>
      <w:r>
        <w:t xml:space="preserve"> </w:t>
      </w:r>
      <m:oMath>
        <m:r>
          <m:t>H</m:t>
        </m:r>
      </m:oMath>
      <w:r>
        <w:t xml:space="preserve">,</w:t>
      </w:r>
    </w:p>
    <w:p>
      <w:pPr>
        <w:pStyle w:val="BodyText"/>
      </w:pPr>
      <m:oMathPara>
        <m:oMathParaPr>
          <m:jc m:val="center"/>
        </m:oMathParaPr>
        <m:oMath>
          <m:sSubSup>
            <m:e>
              <m:r>
                <m:t>σ</m:t>
              </m:r>
            </m:e>
            <m:sub>
              <m:r>
                <m:t>p</m:t>
              </m:r>
            </m:sub>
            <m:sup>
              <m:r>
                <m:t>2</m:t>
              </m:r>
            </m:sup>
          </m:sSubSup>
          <m:r>
            <m:rPr>
              <m:sty m:val="p"/>
            </m:rPr>
            <m:t>=</m:t>
          </m:r>
          <m:r>
            <m:rPr>
              <m:sty m:val="b"/>
            </m:rPr>
            <m:t>w</m:t>
          </m:r>
          <m:r>
            <m:rPr>
              <m:sty m:val="p"/>
            </m:rPr>
            <m:t>′</m:t>
          </m:r>
          <m:r>
            <m:t>H</m:t>
          </m:r>
          <m:r>
            <m:rPr>
              <m:sty m:val="b"/>
            </m:rPr>
            <m:t>w</m:t>
          </m:r>
          <m:r>
            <m:rPr>
              <m:sty m:val="p"/>
            </m:rPr>
            <m:t>.</m:t>
          </m:r>
        </m:oMath>
      </m:oMathPara>
    </w:p>
    <w:p>
      <w:pPr>
        <w:pStyle w:val="FirstParagraph"/>
      </w:pPr>
      <w:r>
        <w:t xml:space="preserve">Every portfolio VaR, every hedge ratio and every optimised allocation is built on</w:t>
      </w:r>
      <w:r>
        <w:t xml:space="preserve"> </w:t>
      </w:r>
      <m:oMath>
        <m:r>
          <m:t>H</m:t>
        </m:r>
      </m:oMath>
      <w:r>
        <w:t xml:space="preserve">. If the correlations in</w:t>
      </w:r>
      <w:r>
        <w:t xml:space="preserve"> </w:t>
      </w:r>
      <m:oMath>
        <m:r>
          <m:t>H</m:t>
        </m:r>
      </m:oMath>
      <w:r>
        <w:t xml:space="preserve"> </w:t>
      </w:r>
      <w:r>
        <w:t xml:space="preserve">are wrong, the risk number is wrong even when every single volatility is right.</w:t>
      </w:r>
    </w:p>
    <w:p>
      <w:pPr>
        <w:pStyle w:val="BodyText"/>
      </w:pPr>
      <w:r>
        <w:rPr>
          <w:iCs/>
          <w:i/>
        </w:rPr>
        <w:t xml:space="preserve">Example from the theory notes:</w:t>
      </w:r>
      <w:r>
        <w:t xml:space="preserve"> </w:t>
      </w:r>
      <w:r>
        <w:t xml:space="preserve">a 60/40 stock–bond portfolio has a 99% VaR of EUR 160k on EUR 10m if the stock–bond correlation is −0.3, and EUR 187k if it is +0.3.</w:t>
      </w:r>
      <w:r>
        <w:t xml:space="preserve"> </w:t>
      </w:r>
      <w:r>
        <w:rPr>
          <w:bCs/>
          <w:b/>
        </w:rPr>
        <w:t xml:space="preserve">Same positions, 17% more risk</w:t>
      </w:r>
      <w:r>
        <w:t xml:space="preserve">, only because one correlation changed sign — which is exactly what happened in 2022 and again in 2026.</w:t>
      </w:r>
    </w:p>
    <w:bookmarkEnd w:id="22"/>
    <w:bookmarkStart w:id="23" w:name="where-this-project-starts"/>
    <w:p>
      <w:pPr>
        <w:pStyle w:val="Heading2"/>
      </w:pPr>
      <w:r>
        <w:t xml:space="preserve">1.3 Where this project starts</w:t>
      </w:r>
    </w:p>
    <w:p>
      <w:pPr>
        <w:numPr>
          <w:ilvl w:val="0"/>
          <w:numId w:val="1002"/>
        </w:numPr>
        <w:pStyle w:val="Compact"/>
      </w:pPr>
      <w:r>
        <w:rPr>
          <w:bCs/>
          <w:b/>
        </w:rPr>
        <w:t xml:space="preserve">Projects 1–2:</w:t>
      </w:r>
      <w:r>
        <w:t xml:space="preserve"> </w:t>
      </w:r>
      <w:r>
        <w:t xml:space="preserve">volatility clusters; GJR-GARCH with Student-t shocks is the best volatility model.</w:t>
      </w:r>
    </w:p>
    <w:p>
      <w:pPr>
        <w:numPr>
          <w:ilvl w:val="0"/>
          <w:numId w:val="1002"/>
        </w:numPr>
        <w:pStyle w:val="Compact"/>
      </w:pPr>
      <w:r>
        <w:rPr>
          <w:bCs/>
          <w:b/>
        </w:rPr>
        <w:t xml:space="preserve">Project 3:</w:t>
      </w:r>
      <w:r>
        <w:t xml:space="preserve"> </w:t>
      </w:r>
      <w:r>
        <w:t xml:space="preserve">filtered historical simulation (FHS) is the best VaR/ES method — but risk was measured one series at a time, and separately estimated ES were not even consistent (the portfolio ES exceeded the sum of its parts on 18 days). Diversification collapsed when correlations jumped.</w:t>
      </w:r>
    </w:p>
    <w:p>
      <w:pPr>
        <w:pStyle w:val="FirstParagraph"/>
      </w:pPr>
      <w:r>
        <w:t xml:space="preserve">Project 4 builds</w:t>
      </w:r>
      <w:r>
        <w:t xml:space="preserve"> </w:t>
      </w:r>
      <w:r>
        <w:rPr>
          <w:bCs/>
          <w:b/>
        </w:rPr>
        <w:t xml:space="preserve">one joint model</w:t>
      </w:r>
      <w:r>
        <w:t xml:space="preserve"> </w:t>
      </w:r>
      <w:r>
        <w:t xml:space="preserve">for several assets and asks whether making correlations dynamic is worth it.</w:t>
      </w:r>
    </w:p>
    <w:bookmarkEnd w:id="23"/>
    <w:bookmarkStart w:id="24" w:name="the-portfolio"/>
    <w:p>
      <w:pPr>
        <w:pStyle w:val="Heading2"/>
      </w:pPr>
      <w:r>
        <w:t xml:space="preserve">1.4 The portfolio</w:t>
      </w:r>
    </w:p>
    <w:p>
      <w:pPr>
        <w:pStyle w:val="FirstParagraph"/>
      </w:pPr>
      <w:r>
        <w:t xml:space="preserve">A European buy-side investor holding five assets, all measured in</w:t>
      </w:r>
      <w:r>
        <w:t xml:space="preserve"> </w:t>
      </w:r>
      <w:r>
        <w:rPr>
          <w:bCs/>
          <w:b/>
        </w:rPr>
        <w:t xml:space="preserve">EUR</w:t>
      </w:r>
      <w:r>
        <w:t xml:space="preserve">: CAC 40, DAX, S&amp;P 500, German government bonds (Bunds, 5.5–10.5 years) and gold. The main portfolio is a classic balanced</w:t>
      </w:r>
      <w:r>
        <w:t xml:space="preserve"> </w:t>
      </w:r>
      <w:r>
        <w:rPr>
          <w:bCs/>
          <w:b/>
        </w:rPr>
        <w:t xml:space="preserve">60/30/10</w:t>
      </w:r>
      <w:r>
        <w:t xml:space="preserve">: 20% in each equity index, 30% Bunds, 10% gold, rebalanced daily. We also build, every day, the</w:t>
      </w:r>
      <w:r>
        <w:t xml:space="preserve"> </w:t>
      </w:r>
      <w:r>
        <w:rPr>
          <w:bCs/>
          <w:b/>
        </w:rPr>
        <w:t xml:space="preserve">minimum-variance portfolio</w:t>
      </w:r>
      <w:r>
        <w:t xml:space="preserve"> </w:t>
      </w:r>
      <w:r>
        <w:t xml:space="preserve">implied by each model.</w:t>
      </w:r>
    </w:p>
    <w:bookmarkEnd w:id="24"/>
    <w:bookmarkStart w:id="25" w:name="an-analogy"/>
    <w:p>
      <w:pPr>
        <w:pStyle w:val="Heading2"/>
      </w:pPr>
      <w:r>
        <w:t xml:space="preserve">1.5 An analogy</w:t>
      </w:r>
    </w:p>
    <w:p>
      <w:pPr>
        <w:pStyle w:val="FirstParagraph"/>
      </w:pPr>
      <w:r>
        <w:t xml:space="preserve">A covariance forecast is like a weather map for a fleet of ships. Each ship’s own risk (volatility) matters, but so does whether storms hit them at the same time (correlation). A fleet that spreads its ships across regions is safe only if the regions don’t get storms together — and in a big storm, they often do.</w:t>
      </w:r>
    </w:p>
    <w:bookmarkEnd w:id="25"/>
    <w:bookmarkEnd w:id="26"/>
    <w:bookmarkStart w:id="27" w:name="six-ideas-you-need-first"/>
    <w:p>
      <w:pPr>
        <w:pStyle w:val="Heading1"/>
      </w:pPr>
      <w:r>
        <w:t xml:space="preserve">2. Six Ideas You Need First</w:t>
      </w:r>
    </w:p>
    <w:p>
      <w:pPr>
        <w:pStyle w:val="FirstParagraph"/>
      </w:pPr>
      <w:r>
        <w:rPr>
          <w:bCs/>
          <w:b/>
        </w:rPr>
        <w:t xml:space="preserve">1. The covariance matrix = volatilities × correlations.</w:t>
      </w:r>
      <w:r>
        <w:t xml:space="preserve"> </w:t>
      </w:r>
      <m:oMath>
        <m:sSub>
          <m:e>
            <m:r>
              <m:t>H</m:t>
            </m:r>
          </m:e>
          <m:sub>
            <m:r>
              <m:t>t</m:t>
            </m:r>
          </m:sub>
        </m:sSub>
        <m:r>
          <m:rPr>
            <m:sty m:val="p"/>
          </m:rPr>
          <m:t>=</m:t>
        </m:r>
        <m:sSub>
          <m:e>
            <m:r>
              <m:t>D</m:t>
            </m:r>
          </m:e>
          <m:sub>
            <m:r>
              <m:t>t</m:t>
            </m:r>
          </m:sub>
        </m:sSub>
        <m:sSub>
          <m:e>
            <m:r>
              <m:t>R</m:t>
            </m:r>
          </m:e>
          <m:sub>
            <m:r>
              <m:t>t</m:t>
            </m:r>
          </m:sub>
        </m:sSub>
        <m:sSub>
          <m:e>
            <m:r>
              <m:t>D</m:t>
            </m:r>
          </m:e>
          <m:sub>
            <m:r>
              <m:t>t</m:t>
            </m:r>
          </m:sub>
        </m:sSub>
      </m:oMath>
      <w:r>
        <w:t xml:space="preserve">, where</w:t>
      </w:r>
      <w:r>
        <w:t xml:space="preserve"> </w:t>
      </w:r>
      <m:oMath>
        <m:sSub>
          <m:e>
            <m:r>
              <m:t>D</m:t>
            </m:r>
          </m:e>
          <m:sub>
            <m:r>
              <m:t>t</m:t>
            </m:r>
          </m:sub>
        </m:sSub>
      </m:oMath>
      <w:r>
        <w:t xml:space="preserve"> </w:t>
      </w:r>
      <w:r>
        <w:t xml:space="preserve">holds the volatilities and</w:t>
      </w:r>
      <w:r>
        <w:t xml:space="preserve"> </w:t>
      </w:r>
      <m:oMath>
        <m:sSub>
          <m:e>
            <m:r>
              <m:t>R</m:t>
            </m:r>
          </m:e>
          <m:sub>
            <m:r>
              <m:t>t</m:t>
            </m:r>
          </m:sub>
        </m:sSub>
      </m:oMath>
      <w:r>
        <w:t xml:space="preserve"> </w:t>
      </w:r>
      <w:r>
        <w:t xml:space="preserve">the correlations. CCC and DCC model the two parts separately.</w:t>
      </w:r>
    </w:p>
    <w:p>
      <w:pPr>
        <w:pStyle w:val="BodyText"/>
      </w:pPr>
      <w:r>
        <w:rPr>
          <w:bCs/>
          <w:b/>
        </w:rPr>
        <w:t xml:space="preserve">2. A covariance matrix must be positive definite.</w:t>
      </w:r>
      <w:r>
        <w:t xml:space="preserve"> </w:t>
      </w:r>
      <w:r>
        <w:t xml:space="preserve">No combination of assets can have zero or negative variance. A matrix that is</w:t>
      </w:r>
      <w:r>
        <w:t xml:space="preserve"> </w:t>
      </w:r>
      <w:r>
        <w:rPr>
          <w:iCs/>
          <w:i/>
        </w:rPr>
        <w:t xml:space="preserve">nearly</w:t>
      </w:r>
      <w:r>
        <w:t xml:space="preserve"> </w:t>
      </w:r>
      <w:r>
        <w:t xml:space="preserve">singular (smallest eigenvalue close to 0) suggests a combination that looks almost risk-free — usually an illusion created by estimation noise.</w:t>
      </w:r>
    </w:p>
    <w:p>
      <w:pPr>
        <w:pStyle w:val="BodyText"/>
      </w:pPr>
      <w:r>
        <w:rPr>
          <w:bCs/>
          <w:b/>
        </w:rPr>
        <w:t xml:space="preserve">3. Correlations can change, and even change sign.</w:t>
      </w:r>
      <w:r>
        <w:t xml:space="preserve"> </w:t>
      </w:r>
      <w:r>
        <w:t xml:space="preserve">The stock–bond correlation was strongly negative in 2008–2012 and positive in 2026. A constant correlation cannot describe this.</w:t>
      </w:r>
    </w:p>
    <w:p>
      <w:pPr>
        <w:pStyle w:val="BodyText"/>
      </w:pPr>
      <w:r>
        <w:rPr>
          <w:bCs/>
          <w:b/>
        </w:rPr>
        <w:t xml:space="preserve">4. DCC is a GARCH for correlations.</w:t>
      </w:r>
      <w:r>
        <w:t xml:space="preserve"> </w:t>
      </w:r>
      <m:oMath>
        <m:sSub>
          <m:e>
            <m:r>
              <m:t>Q</m:t>
            </m:r>
          </m:e>
          <m:sub>
            <m:r>
              <m:t>t</m:t>
            </m:r>
          </m:sub>
        </m:sSub>
        <m:r>
          <m:rPr>
            <m:sty m:val="p"/>
          </m:rPr>
          <m:t>=</m:t>
        </m:r>
        <m:d>
          <m:dPr>
            <m:begChr m:val="("/>
            <m:sepChr m:val=""/>
            <m:endChr m:val=")"/>
            <m:grow/>
          </m:dPr>
          <m:e>
            <m:r>
              <m:t>1</m:t>
            </m:r>
            <m:r>
              <m:rPr>
                <m:sty m:val="p"/>
              </m:rPr>
              <m:t>−</m:t>
            </m:r>
            <m:r>
              <m:t>a</m:t>
            </m:r>
            <m:r>
              <m:rPr>
                <m:sty m:val="p"/>
              </m:rPr>
              <m:t>−</m:t>
            </m:r>
            <m:r>
              <m:t>b</m:t>
            </m:r>
          </m:e>
        </m:d>
        <m:acc>
          <m:accPr>
            <m:chr m:val="‾"/>
          </m:accPr>
          <m:e>
            <m:r>
              <m:t>Q</m:t>
            </m:r>
          </m:e>
        </m:acc>
        <m:r>
          <m:rPr>
            <m:sty m:val="p"/>
          </m:rPr>
          <m:t>+</m:t>
        </m:r>
        <m:r>
          <m:t>a</m:t>
        </m:r>
        <m:r>
          <m:t> </m:t>
        </m:r>
        <m:sSub>
          <m:e>
            <m:r>
              <m:rPr>
                <m:sty m:val="b"/>
              </m:rPr>
              <m:t>ε</m:t>
            </m:r>
          </m:e>
          <m:sub>
            <m:r>
              <m:t>t</m:t>
            </m:r>
            <m:r>
              <m:rPr>
                <m:sty m:val="p"/>
              </m:rPr>
              <m:t>−</m:t>
            </m:r>
            <m:r>
              <m:t>1</m:t>
            </m:r>
          </m:sub>
        </m:sSub>
        <m:sSub>
          <m:e>
            <m:r>
              <m:rPr>
                <m:sty m:val="b"/>
              </m:rPr>
              <m:t>ε</m:t>
            </m:r>
          </m:e>
          <m:sub>
            <m:r>
              <m:t>t</m:t>
            </m:r>
            <m:r>
              <m:rPr>
                <m:sty m:val="p"/>
              </m:rPr>
              <m:t>−</m:t>
            </m:r>
            <m:r>
              <m:t>1</m:t>
            </m:r>
          </m:sub>
        </m:sSub>
        <m:r>
          <m:rPr>
            <m:sty m:val="p"/>
          </m:rPr>
          <m:t>′</m:t>
        </m:r>
        <m:r>
          <m:rPr>
            <m:sty m:val="p"/>
          </m:rPr>
          <m:t>+</m:t>
        </m:r>
        <m:r>
          <m:t>b</m:t>
        </m:r>
        <m:r>
          <m:t> </m:t>
        </m:r>
        <m:sSub>
          <m:e>
            <m:r>
              <m:t>Q</m:t>
            </m:r>
          </m:e>
          <m:sub>
            <m:r>
              <m:t>t</m:t>
            </m:r>
            <m:r>
              <m:rPr>
                <m:sty m:val="p"/>
              </m:rPr>
              <m:t>−</m:t>
            </m:r>
            <m:r>
              <m:t>1</m:t>
            </m:r>
          </m:sub>
        </m:sSub>
      </m:oMath>
      <w:r>
        <w:t xml:space="preserve">: a reaction to yesterday’s joint shock (</w:t>
      </w:r>
      <m:oMath>
        <m:r>
          <m:t>a</m:t>
        </m:r>
      </m:oMath>
      <w:r>
        <w:t xml:space="preserve">), persistence (</w:t>
      </w:r>
      <m:oMath>
        <m:r>
          <m:t>b</m:t>
        </m:r>
      </m:oMath>
      <w:r>
        <w:t xml:space="preserve">), and a pull back to the long-run level (</w:t>
      </w:r>
      <m:oMath>
        <m:acc>
          <m:accPr>
            <m:chr m:val="‾"/>
          </m:accPr>
          <m:e>
            <m:r>
              <m:t>Q</m:t>
            </m:r>
          </m:e>
        </m:acc>
      </m:oMath>
      <w:r>
        <w:t xml:space="preserve">). Two parameters for all pairs.</w:t>
      </w:r>
    </w:p>
    <w:p>
      <w:pPr>
        <w:pStyle w:val="BodyText"/>
      </w:pPr>
      <w:r>
        <w:rPr>
          <w:bCs/>
          <w:b/>
        </w:rPr>
        <w:t xml:space="preserve">5. The true covariance is never observed.</w:t>
      </w:r>
      <w:r>
        <w:t xml:space="preserve"> </w:t>
      </w:r>
      <w:r>
        <w:t xml:space="preserve">Forecasts are judged against the noisy proxy</w:t>
      </w:r>
      <w:r>
        <w:t xml:space="preserve"> </w:t>
      </w:r>
      <m:oMath>
        <m:sSub>
          <m:e>
            <m:r>
              <m:rPr>
                <m:sty m:val="b"/>
              </m:rPr>
              <m:t>y</m:t>
            </m:r>
          </m:e>
          <m:sub>
            <m:r>
              <m:t>t</m:t>
            </m:r>
          </m:sub>
        </m:sSub>
        <m:sSub>
          <m:e>
            <m:r>
              <m:rPr>
                <m:sty m:val="b"/>
              </m:rPr>
              <m:t>y</m:t>
            </m:r>
          </m:e>
          <m:sub>
            <m:r>
              <m:t>t</m:t>
            </m:r>
          </m:sub>
        </m:sSub>
        <m:r>
          <m:rPr>
            <m:sty m:val="p"/>
          </m:rPr>
          <m:t>′</m:t>
        </m:r>
      </m:oMath>
      <w:r>
        <w:t xml:space="preserve"> </w:t>
      </w:r>
      <w:r>
        <w:t xml:space="preserve">with a loss function (QLIKE) that still ranks models correctly.</w:t>
      </w:r>
    </w:p>
    <w:p>
      <w:pPr>
        <w:pStyle w:val="BodyText"/>
      </w:pPr>
      <w:r>
        <w:rPr>
          <w:bCs/>
          <w:b/>
        </w:rPr>
        <w:t xml:space="preserve">6. Out of sample, no look-ahead.</w:t>
      </w:r>
      <w:r>
        <w:t xml:space="preserve"> </w:t>
      </w:r>
      <w:r>
        <w:t xml:space="preserve">Every forecast for day</w:t>
      </w:r>
      <w:r>
        <w:t xml:space="preserve"> </w:t>
      </w:r>
      <m:oMath>
        <m:r>
          <m:t>t</m:t>
        </m:r>
      </m:oMath>
      <w:r>
        <w:t xml:space="preserve"> </w:t>
      </w:r>
      <w:r>
        <w:t xml:space="preserve">uses data up to</w:t>
      </w:r>
      <w:r>
        <w:t xml:space="preserve"> </w:t>
      </w:r>
      <m:oMath>
        <m:r>
          <m:t>t</m:t>
        </m:r>
        <m:r>
          <m:rPr>
            <m:sty m:val="p"/>
          </m:rPr>
          <m:t>−</m:t>
        </m:r>
        <m:r>
          <m:t>1</m:t>
        </m:r>
      </m:oMath>
      <w:r>
        <w:t xml:space="preserve">; models are estimated on a 1,000-day window and judged on the following days:</w:t>
      </w:r>
      <w:r>
        <w:t xml:space="preserve"> </w:t>
      </w:r>
      <w:r>
        <w:rPr>
          <w:bCs/>
          <w:b/>
        </w:rPr>
        <w:t xml:space="preserve">3,602 days, January 2012 – October 2026.</w:t>
      </w:r>
    </w:p>
    <w:bookmarkEnd w:id="27"/>
    <w:bookmarkStart w:id="68" w:name="step-by-step"/>
    <w:p>
      <w:pPr>
        <w:pStyle w:val="Heading1"/>
      </w:pPr>
      <w:r>
        <w:t xml:space="preserve">3. Step by Step</w:t>
      </w:r>
    </w:p>
    <w:bookmarkStart w:id="32" w:name="step-1-data"/>
    <w:p>
      <w:pPr>
        <w:pStyle w:val="Heading2"/>
      </w:pPr>
      <w:r>
        <w:t xml:space="preserve">Step 1 – Data</w:t>
      </w:r>
    </w:p>
    <w:bookmarkStart w:id="28" w:name="downloading-and-choosing-the-series"/>
    <w:p>
      <w:pPr>
        <w:pStyle w:val="Heading3"/>
      </w:pPr>
      <w:r>
        <w:t xml:space="preserve">1.1 Downloading and choosing the series</w:t>
      </w:r>
    </w:p>
    <w:p>
      <w:pPr>
        <w:pStyle w:val="FirstParagraph"/>
      </w:pPr>
      <w:r>
        <w:rPr>
          <w:bCs/>
          <w:b/>
        </w:rPr>
        <w:t xml:space="preserve">What we did.</w:t>
      </w:r>
      <w:r>
        <w:t xml:space="preserve"> </w:t>
      </w:r>
      <w:r>
        <w:t xml:space="preserve">Downloaded from scratch the three equity indices, two candidate bond ETFs (US Treasuries IEF; German Bunds EXHD and EXHA), two gold series (the GLD ETF and COMEX futures GC=F), both the traded price (Close) and the price adjusted for payouts (Adj Close), and EUR/USD from the Federal Reserve (FRED). Everything is saved, so later runs do not depend on the internet.</w:t>
      </w:r>
    </w:p>
    <w:p>
      <w:pPr>
        <w:pStyle w:val="BodyText"/>
      </w:pPr>
      <w:r>
        <w:rPr>
          <w:bCs/>
          <w:b/>
        </w:rPr>
        <w:t xml:space="preserve">Why these choices.</w:t>
      </w:r>
    </w:p>
    <w:p>
      <w:pPr>
        <w:numPr>
          <w:ilvl w:val="0"/>
          <w:numId w:val="1003"/>
        </w:numPr>
        <w:pStyle w:val="Compact"/>
      </w:pPr>
      <w:r>
        <w:rPr>
          <w:bCs/>
          <w:b/>
        </w:rPr>
        <w:t xml:space="preserve">Bond: German Bunds, not US Treasuries.</w:t>
      </w:r>
      <w:r>
        <w:t xml:space="preserve"> </w:t>
      </w:r>
      <w:r>
        <w:t xml:space="preserve">A European fund holds euro government bonds. US Treasuries converted into EUR become mostly a currency bet: EUR/USD is more volatile than the bond itself (IEF: 6.8% a year in USD). The cost is history: Yahoo’s Bund ETF series starts in January 2008.</w:t>
      </w:r>
    </w:p>
    <w:p>
      <w:pPr>
        <w:numPr>
          <w:ilvl w:val="0"/>
          <w:numId w:val="1003"/>
        </w:numPr>
        <w:pStyle w:val="Compact"/>
      </w:pPr>
      <w:r>
        <w:rPr>
          <w:bCs/>
          <w:b/>
        </w:rPr>
        <w:t xml:space="preserve">Gold: GLD, not futures.</w:t>
      </w:r>
      <w:r>
        <w:t xml:space="preserve"> </w:t>
      </w:r>
      <w:r>
        <w:t xml:space="preserve">Futures jump on contract-roll days; these jumps are not real returns. GLD holds physical gold, has no rolls, and starts in 2004 — earlier than the Bund, so the futures’ longer history adds nothing.</w:t>
      </w:r>
    </w:p>
    <w:p>
      <w:pPr>
        <w:numPr>
          <w:ilvl w:val="0"/>
          <w:numId w:val="1003"/>
        </w:numPr>
        <w:pStyle w:val="Compact"/>
      </w:pPr>
      <w:r>
        <w:rPr>
          <w:bCs/>
          <w:b/>
        </w:rPr>
        <w:t xml:space="preserve">Why both prices?</w:t>
      </w:r>
      <w:r>
        <w:t xml:space="preserve"> </w:t>
      </w:r>
      <w:r>
        <w:t xml:space="preserve">A bond ETF’s return is mostly its coupons, which only the adjusted price includes. Comparing Adj Close with Close at the first date shows how much the adjustment adds (Bund ETFs 0.83–0.86, IEF 0.49; indices and gold exactly 1, as expected).</w:t>
      </w:r>
    </w:p>
    <w:bookmarkEnd w:id="28"/>
    <w:bookmarkStart w:id="29" w:name="quality-checks-and-the-bund-problem"/>
    <w:p>
      <w:pPr>
        <w:pStyle w:val="Heading3"/>
      </w:pPr>
      <w:r>
        <w:t xml:space="preserve">1.2 Quality checks and the Bund problem</w:t>
      </w:r>
    </w:p>
    <w:p>
      <w:pPr>
        <w:pStyle w:val="FirstParagraph"/>
      </w:pPr>
      <w:r>
        <w:rPr>
          <w:bCs/>
          <w:b/>
        </w:rPr>
        <w:t xml:space="preserve">What we did.</w:t>
      </w:r>
      <w:r>
        <w:t xml:space="preserve"> </w:t>
      </w:r>
      <w:r>
        <w:t xml:space="preserve">For each series: share of zero returns (stale prices), longest run of unchanged prices, worst and best day with dates.</w:t>
      </w:r>
    </w:p>
    <w:p>
      <w:pPr>
        <w:pStyle w:val="BodyText"/>
      </w:pPr>
      <w:r>
        <w:rPr>
          <w:bCs/>
          <w:b/>
        </w:rPr>
        <w:t xml:space="preserve">What we found.</w:t>
      </w:r>
      <w:r>
        <w:t xml:space="preserve"> </w:t>
      </w:r>
      <w:r>
        <w:t xml:space="preserve">Equities and gold were clean, with extremes on known dates (12 March 2020, 13 October 2008, the Lehman week for gold). Gold’s −10.27% on 30 January 2026 was confirmed by the futures (−10.78% the same day). But</w:t>
      </w:r>
      <w:r>
        <w:t xml:space="preserve"> </w:t>
      </w:r>
      <w:r>
        <w:rPr>
          <w:bCs/>
          <w:b/>
        </w:rPr>
        <w:t xml:space="preserve">the four largest Bund moves were all in mid-May</w:t>
      </w:r>
      <w:r>
        <w:t xml:space="preserve"> </w:t>
      </w:r>
      <w:r>
        <w:t xml:space="preserve">(2009–2012, −2.6% to −3.5%). Market crashes don’t happen every May.</w:t>
      </w:r>
    </w:p>
    <w:p>
      <w:pPr>
        <w:pStyle w:val="BodyText"/>
      </w:pPr>
      <w:r>
        <w:rPr>
          <w:bCs/>
          <w:b/>
        </w:rPr>
        <w:t xml:space="preserve">Diagnosis.</w:t>
      </w:r>
    </w:p>
    <w:p>
      <w:pPr>
        <w:numPr>
          <w:ilvl w:val="0"/>
          <w:numId w:val="1004"/>
        </w:numPr>
        <w:pStyle w:val="Compact"/>
      </w:pPr>
      <w:r>
        <w:t xml:space="preserve">Yahoo’s payout history for this ETF starts only in 2013. From 2013, the adjustment is exactly right: on every ex-date, adjusted return − close return = payout yield (0.599 vs 0.600, 0.545 vs 0.545, …).</w:t>
      </w:r>
    </w:p>
    <w:p>
      <w:pPr>
        <w:numPr>
          <w:ilvl w:val="0"/>
          <w:numId w:val="1004"/>
        </w:numPr>
        <w:pStyle w:val="Compact"/>
      </w:pPr>
      <w:r>
        <w:t xml:space="preserve">Before 2013, Adj Close was just Close × 0.826: the annual May payouts (about 3% when Bund yields were about 3%) were</w:t>
      </w:r>
      <w:r>
        <w:t xml:space="preserve"> </w:t>
      </w:r>
      <w:r>
        <w:rPr>
          <w:bCs/>
          <w:b/>
        </w:rPr>
        <w:t xml:space="preserve">not adjusted</w:t>
      </w:r>
      <w:r>
        <w:t xml:space="preserve">, and looked like crashes.</w:t>
      </w:r>
    </w:p>
    <w:p>
      <w:pPr>
        <w:numPr>
          <w:ilvl w:val="0"/>
          <w:numId w:val="1004"/>
        </w:numPr>
        <w:pStyle w:val="Compact"/>
      </w:pPr>
      <w:r>
        <w:t xml:space="preserve">A systematic search found</w:t>
      </w:r>
      <w:r>
        <w:t xml:space="preserve"> </w:t>
      </w:r>
      <w:r>
        <w:rPr>
          <w:bCs/>
          <w:b/>
        </w:rPr>
        <w:t xml:space="preserve">8 unadjusted payouts</w:t>
      </w:r>
      <w:r>
        <w:t xml:space="preserve">: February and May 2008, May 2009–2011, and May, August and November 2012 (when the fund switched to quarterly payouts).</w:t>
      </w:r>
    </w:p>
    <w:p>
      <w:pPr>
        <w:pStyle w:val="FirstParagraph"/>
      </w:pPr>
      <w:r>
        <w:rPr>
          <w:bCs/>
          <w:b/>
        </w:rPr>
        <w:t xml:space="preserve">The fix (</w:t>
      </w:r>
      <w:r>
        <w:rPr>
          <w:rStyle w:val="VerbatimChar"/>
          <w:bCs/>
          <w:b/>
        </w:rPr>
        <w:t xml:space="preserve">total_return</w:t>
      </w:r>
      <w:r>
        <w:rPr>
          <w:bCs/>
          <w:b/>
        </w:rPr>
        <w:t xml:space="preserve">).</w:t>
      </w:r>
      <w:r>
        <w:t xml:space="preserve"> </w:t>
      </w:r>
      <w:r>
        <w:t xml:space="preserve">We rebuilt the total return ourselves:</w:t>
      </w:r>
      <w:r>
        <w:t xml:space="preserve"> </w:t>
      </w:r>
      <m:oMath>
        <m:sSub>
          <m:e>
            <m:r>
              <m:t>R</m:t>
            </m:r>
          </m:e>
          <m:sub>
            <m:r>
              <m:t>t</m:t>
            </m:r>
          </m:sub>
        </m:sSub>
        <m:r>
          <m:rPr>
            <m:sty m:val="p"/>
          </m:rPr>
          <m:t>=</m:t>
        </m:r>
        <m:d>
          <m:dPr>
            <m:begChr m:val="("/>
            <m:sepChr m:val=""/>
            <m:endChr m:val=")"/>
            <m:grow/>
          </m:dPr>
          <m:e>
            <m:sSub>
              <m:e>
                <m:r>
                  <m:t>P</m:t>
                </m:r>
              </m:e>
              <m:sub>
                <m:r>
                  <m:t>t</m:t>
                </m:r>
              </m:sub>
            </m:sSub>
            <m:r>
              <m:rPr>
                <m:sty m:val="p"/>
              </m:rPr>
              <m:t>+</m:t>
            </m:r>
            <m:sSub>
              <m:e>
                <m:r>
                  <m:t>D</m:t>
                </m:r>
              </m:e>
              <m:sub>
                <m:r>
                  <m:t>t</m:t>
                </m:r>
              </m:sub>
            </m:sSub>
          </m:e>
        </m:d>
        <m:r>
          <m:rPr>
            <m:sty m:val="p"/>
          </m:rPr>
          <m:t>/</m:t>
        </m:r>
        <m:sSub>
          <m:e>
            <m:r>
              <m:t>P</m:t>
            </m:r>
          </m:e>
          <m:sub>
            <m:r>
              <m:t>t</m:t>
            </m:r>
            <m:r>
              <m:rPr>
                <m:sty m:val="p"/>
              </m:rPr>
              <m:t>−</m:t>
            </m:r>
            <m:r>
              <m:t>1</m:t>
            </m:r>
          </m:sub>
        </m:sSub>
        <m:r>
          <m:rPr>
            <m:sty m:val="p"/>
          </m:rPr>
          <m:t>−</m:t>
        </m:r>
        <m:r>
          <m:t>1</m:t>
        </m:r>
      </m:oMath>
      <w:r>
        <w:t xml:space="preserve">, using Yahoo’s payouts from 2013 and, for the 8 missing ones, the price drop on the ex-date (so the return on those days is set to 0%). The error of this estimate is at most one normal day’s move (about 0.3%), against a 2–3.5% fake drop.</w:t>
      </w:r>
    </w:p>
    <w:p>
      <w:pPr>
        <w:pStyle w:val="BodyText"/>
      </w:pPr>
      <w:r>
        <w:rPr>
          <w:bCs/>
          <w:b/>
        </w:rPr>
        <w:t xml:space="preserve">How we checked it.</w:t>
      </w:r>
    </w:p>
    <w:p>
      <w:pPr>
        <w:numPr>
          <w:ilvl w:val="0"/>
          <w:numId w:val="1005"/>
        </w:numPr>
        <w:pStyle w:val="Compact"/>
      </w:pPr>
      <w:r>
        <w:t xml:space="preserve">From 2013 our series equals Yahoo’s adjusted return (to 0.003%, Yahoo’s rounding).</w:t>
      </w:r>
    </w:p>
    <w:p>
      <w:pPr>
        <w:numPr>
          <w:ilvl w:val="0"/>
          <w:numId w:val="1005"/>
        </w:numPr>
        <w:pStyle w:val="Compact"/>
      </w:pPr>
      <w:r>
        <w:t xml:space="preserve">The implied yearly payout yield follows Bund yields: 3.3–3.7% in 2008–2011, falling to 1.4% by 2016 (4.5% in 2012, a transition year with annual and quarterly payouts).</w:t>
      </w:r>
    </w:p>
    <w:p>
      <w:pPr>
        <w:numPr>
          <w:ilvl w:val="0"/>
          <w:numId w:val="1005"/>
        </w:numPr>
        <w:pStyle w:val="Compact"/>
      </w:pPr>
      <w:r>
        <w:t xml:space="preserve">After the fix, every extreme Bund day is a real event: 5 March 2025 (−2.08%, the German fiscal package), 18 March 2020 (−1.72%, Covid</w:t>
      </w:r>
      <w:r>
        <w:t xml:space="preserve"> </w:t>
      </w:r>
      <w:r>
        <w:t xml:space="preserve">“</w:t>
      </w:r>
      <w:r>
        <w:t xml:space="preserve">dash for cash</w:t>
      </w:r>
      <w:r>
        <w:t xml:space="preserve">”</w:t>
      </w:r>
      <w:r>
        <w:t xml:space="preserve">), 15 March 2023 (+2.56%, SVB / Credit Suisse).</w:t>
      </w:r>
    </w:p>
    <w:p>
      <w:pPr>
        <w:pStyle w:val="FirstParagraph"/>
      </w:pPr>
      <w:r>
        <w:rPr>
          <w:bCs/>
          <w:b/>
        </w:rPr>
        <w:t xml:space="preserve">What we found.</w:t>
      </w:r>
      <w:r>
        <w:t xml:space="preserve"> </w:t>
      </w:r>
      <w:r>
        <w:t xml:space="preserve">Bund volatility fell from 5.37% to 5.11%:</w:t>
      </w:r>
      <w:r>
        <w:t xml:space="preserve"> </w:t>
      </w:r>
      <w:r>
        <w:rPr>
          <w:bCs/>
          <w:b/>
        </w:rPr>
        <w:t xml:space="preserve">8 fake days out of 4,778 added 5% of the measured risk.</w:t>
      </w:r>
    </w:p>
    <w:p>
      <w:pPr>
        <w:pStyle w:val="BodyText"/>
      </w:pPr>
      <w:r>
        <w:rPr>
          <w:bCs/>
          <w:b/>
        </w:rPr>
        <w:t xml:space="preserve">In plain words.</w:t>
      </w:r>
      <w:r>
        <w:t xml:space="preserve"> </w:t>
      </w:r>
      <w:r>
        <w:t xml:space="preserve">“</w:t>
      </w:r>
      <w:r>
        <w:t xml:space="preserve">Adjusted</w:t>
      </w:r>
      <w:r>
        <w:t xml:space="preserve">”</w:t>
      </w:r>
      <w:r>
        <w:t xml:space="preserve"> </w:t>
      </w:r>
      <w:r>
        <w:t xml:space="preserve">data from a free source can be wrong for years. Checking extremes against known events is the first job of any model validation.</w:t>
      </w:r>
    </w:p>
    <w:bookmarkEnd w:id="29"/>
    <w:bookmarkStart w:id="30" w:name="returns-in-eur-on-a-common-calendar"/>
    <w:p>
      <w:pPr>
        <w:pStyle w:val="Heading3"/>
      </w:pPr>
      <w:r>
        <w:t xml:space="preserve">1.3 Returns in EUR on a common calendar</w:t>
      </w:r>
    </w:p>
    <w:p>
      <w:pPr>
        <w:pStyle w:val="FirstParagraph"/>
      </w:pPr>
      <w:r>
        <w:rPr>
          <w:bCs/>
          <w:b/>
        </w:rPr>
        <w:t xml:space="preserve">What we did (</w:t>
      </w:r>
      <w:r>
        <w:rPr>
          <w:rStyle w:val="VerbatimChar"/>
          <w:bCs/>
          <w:b/>
        </w:rPr>
        <w:t xml:space="preserve">return_index</w:t>
      </w:r>
      <w:r>
        <w:rPr>
          <w:bCs/>
          <w:b/>
        </w:rPr>
        <w:t xml:space="preserve">,</w:t>
      </w:r>
      <w:r>
        <w:rPr>
          <w:bCs/>
          <w:b/>
        </w:rPr>
        <w:t xml:space="preserve"> </w:t>
      </w:r>
      <w:r>
        <w:rPr>
          <w:rStyle w:val="VerbatimChar"/>
          <w:bCs/>
          <w:b/>
        </w:rPr>
        <w:t xml:space="preserve">eur_returns</w:t>
      </w:r>
      <w:r>
        <w:rPr>
          <w:bCs/>
          <w:b/>
        </w:rPr>
        <w:t xml:space="preserve">).</w:t>
      </w:r>
      <w:r>
        <w:t xml:space="preserve"> </w:t>
      </w:r>
      <w:r>
        <w:t xml:space="preserve">Turned the Bund’s total return into a price index, kept only days on which all five prices and the FX rate exist, computed simple returns between those days, and converted the S&amp;P 500 and gold into EUR:</w:t>
      </w:r>
      <w:r>
        <w:t xml:space="preserve"> </w:t>
      </w:r>
      <m:oMath>
        <m:sSup>
          <m:e>
            <m:r>
              <m:t>R</m:t>
            </m:r>
          </m:e>
          <m:sup>
            <m:r>
              <m:t>E</m:t>
            </m:r>
            <m:r>
              <m:t>U</m:t>
            </m:r>
            <m:r>
              <m:t>R</m:t>
            </m:r>
          </m:sup>
        </m:sSup>
        <m:r>
          <m:rPr>
            <m:sty m:val="p"/>
          </m:rPr>
          <m:t>=</m:t>
        </m:r>
        <m:d>
          <m:dPr>
            <m:begChr m:val="("/>
            <m:sepChr m:val=""/>
            <m:endChr m:val=")"/>
            <m:grow/>
          </m:dPr>
          <m:e>
            <m:r>
              <m:t>1</m:t>
            </m:r>
            <m:r>
              <m:rPr>
                <m:sty m:val="p"/>
              </m:rPr>
              <m:t>+</m:t>
            </m:r>
            <m:r>
              <m:t>R</m:t>
            </m:r>
          </m:e>
        </m:d>
        <m:r>
          <m:rPr>
            <m:sty m:val="p"/>
          </m:rPr>
          <m:t>/</m:t>
        </m:r>
        <m:d>
          <m:dPr>
            <m:begChr m:val="("/>
            <m:sepChr m:val=""/>
            <m:endChr m:val=")"/>
            <m:grow/>
          </m:dPr>
          <m:e>
            <m:r>
              <m:t>1</m:t>
            </m:r>
            <m:r>
              <m:rPr>
                <m:sty m:val="p"/>
              </m:rPr>
              <m:t>+</m:t>
            </m:r>
            <m:sSub>
              <m:e>
                <m:r>
                  <m:t>R</m:t>
                </m:r>
              </m:e>
              <m:sub>
                <m:r>
                  <m:t>X</m:t>
                </m:r>
              </m:sub>
            </m:sSub>
          </m:e>
        </m:d>
        <m:r>
          <m:rPr>
            <m:sty m:val="p"/>
          </m:rPr>
          <m:t>−</m:t>
        </m:r>
        <m:r>
          <m:t>1</m:t>
        </m:r>
      </m:oMath>
      <w:r>
        <w:t xml:space="preserve">.</w:t>
      </w:r>
    </w:p>
    <w:p>
      <w:pPr>
        <w:pStyle w:val="BodyText"/>
      </w:pPr>
      <w:r>
        <w:rPr>
          <w:bCs/>
          <w:b/>
        </w:rPr>
        <w:t xml:space="preserve">Why.</w:t>
      </w:r>
      <w:r>
        <w:t xml:space="preserve"> </w:t>
      </w:r>
      <w:r>
        <w:t xml:space="preserve">A covariance matrix needs every return to cover the same time interval. Filling holidays with the last price would create fake 0% returns that lower both volatility and correlation.</w:t>
      </w:r>
    </w:p>
    <w:p>
      <w:pPr>
        <w:pStyle w:val="BodyText"/>
      </w:pPr>
      <w:r>
        <w:rPr>
          <w:bCs/>
          <w:b/>
        </w:rPr>
        <w:t xml:space="preserve">How we checked it.</w:t>
      </w:r>
      <w:r>
        <w:t xml:space="preserve"> </w:t>
      </w:r>
      <w:r>
        <w:t xml:space="preserve">The Bund index reproduces the total return to 2e-14; with a constant exchange rate, the EUR return equals the USD return exactly.</w:t>
      </w:r>
    </w:p>
    <w:p>
      <w:pPr>
        <w:pStyle w:val="BodyText"/>
      </w:pPr>
      <w:r>
        <w:rPr>
          <w:bCs/>
          <w:b/>
        </w:rPr>
        <w:t xml:space="preserve">What we found.</w:t>
      </w:r>
      <w:r>
        <w:t xml:space="preserve"> </w:t>
      </w:r>
      <w:r>
        <w:rPr>
          <w:bCs/>
          <w:b/>
        </w:rPr>
        <w:t xml:space="preserve">4,602 common days, 3 January 2008 – 16 October 2026.</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CAC 40</w:t>
            </w:r>
          </w:p>
        </w:tc>
        <w:tc>
          <w:tcPr/>
          <w:p>
            <w:pPr>
              <w:pStyle w:val="Compact"/>
              <w:jc w:val="left"/>
            </w:pPr>
            <w:r>
              <w:t xml:space="preserve">DAX</w:t>
            </w:r>
          </w:p>
        </w:tc>
        <w:tc>
          <w:tcPr/>
          <w:p>
            <w:pPr>
              <w:pStyle w:val="Compact"/>
              <w:jc w:val="left"/>
            </w:pPr>
            <w:r>
              <w:t xml:space="preserve">S&amp;P 500 (EUR)</w:t>
            </w:r>
          </w:p>
        </w:tc>
        <w:tc>
          <w:tcPr/>
          <w:p>
            <w:pPr>
              <w:pStyle w:val="Compact"/>
              <w:jc w:val="left"/>
            </w:pPr>
            <w:r>
              <w:t xml:space="preserve">Bund</w:t>
            </w:r>
          </w:p>
        </w:tc>
        <w:tc>
          <w:tcPr/>
          <w:p>
            <w:pPr>
              <w:pStyle w:val="Compact"/>
              <w:jc w:val="left"/>
            </w:pPr>
            <w:r>
              <w:t xml:space="preserve">Gold (EUR)</w:t>
            </w:r>
          </w:p>
        </w:tc>
      </w:tr>
      <w:tr>
        <w:tc>
          <w:tcPr/>
          <w:p>
            <w:pPr>
              <w:pStyle w:val="Compact"/>
              <w:jc w:val="left"/>
            </w:pPr>
            <w:r>
              <w:t xml:space="preserve">Annual volatility</w:t>
            </w:r>
          </w:p>
        </w:tc>
        <w:tc>
          <w:tcPr/>
          <w:p>
            <w:pPr>
              <w:pStyle w:val="Compact"/>
              <w:jc w:val="left"/>
            </w:pPr>
            <w:r>
              <w:t xml:space="preserve">21.9%</w:t>
            </w:r>
          </w:p>
        </w:tc>
        <w:tc>
          <w:tcPr/>
          <w:p>
            <w:pPr>
              <w:pStyle w:val="Compact"/>
              <w:jc w:val="left"/>
            </w:pPr>
            <w:r>
              <w:t xml:space="preserve">21.7%</w:t>
            </w:r>
          </w:p>
        </w:tc>
        <w:tc>
          <w:tcPr/>
          <w:p>
            <w:pPr>
              <w:pStyle w:val="Compact"/>
              <w:jc w:val="left"/>
            </w:pPr>
            <w:r>
              <w:t xml:space="preserve">20.5%</w:t>
            </w:r>
          </w:p>
        </w:tc>
        <w:tc>
          <w:tcPr/>
          <w:p>
            <w:pPr>
              <w:pStyle w:val="Compact"/>
              <w:jc w:val="left"/>
            </w:pPr>
            <w:r>
              <w:t xml:space="preserve">5.2%</w:t>
            </w:r>
          </w:p>
        </w:tc>
        <w:tc>
          <w:tcPr/>
          <w:p>
            <w:pPr>
              <w:pStyle w:val="Compact"/>
              <w:jc w:val="left"/>
            </w:pPr>
            <w:r>
              <w:t xml:space="preserve">17.9%</w:t>
            </w:r>
          </w:p>
        </w:tc>
      </w:tr>
      <w:tr>
        <w:tc>
          <w:tcPr/>
          <w:p>
            <w:pPr>
              <w:pStyle w:val="Compact"/>
              <w:jc w:val="left"/>
            </w:pPr>
            <w:r>
              <w:t xml:space="preserve">Correlation with CAC 40</w:t>
            </w:r>
          </w:p>
        </w:tc>
        <w:tc>
          <w:tcPr/>
          <w:p>
            <w:pPr>
              <w:pStyle w:val="Compact"/>
              <w:jc w:val="left"/>
            </w:pPr>
            <w:r>
              <w:t xml:space="preserve">1</w:t>
            </w:r>
          </w:p>
        </w:tc>
        <w:tc>
          <w:tcPr/>
          <w:p>
            <w:pPr>
              <w:pStyle w:val="Compact"/>
              <w:jc w:val="left"/>
            </w:pPr>
            <w:r>
              <w:t xml:space="preserve">0.92</w:t>
            </w:r>
          </w:p>
        </w:tc>
        <w:tc>
          <w:tcPr/>
          <w:p>
            <w:pPr>
              <w:pStyle w:val="Compact"/>
              <w:jc w:val="left"/>
            </w:pPr>
            <w:r>
              <w:t xml:space="preserve">0.48</w:t>
            </w:r>
          </w:p>
        </w:tc>
        <w:tc>
          <w:tcPr/>
          <w:p>
            <w:pPr>
              <w:pStyle w:val="Compact"/>
              <w:jc w:val="left"/>
            </w:pPr>
            <w:r>
              <w:t xml:space="preserve">−0.29</w:t>
            </w:r>
          </w:p>
        </w:tc>
        <w:tc>
          <w:tcPr/>
          <w:p>
            <w:pPr>
              <w:pStyle w:val="Compact"/>
              <w:jc w:val="left"/>
            </w:pPr>
            <w:r>
              <w:t xml:space="preserve">−0.09</w:t>
            </w:r>
          </w:p>
        </w:tc>
      </w:tr>
    </w:tbl>
    <w:p>
      <w:pPr>
        <w:pStyle w:val="BodyText"/>
      </w:pPr>
      <w:r>
        <w:t xml:space="preserve">Two details: the S&amp;P 500’s correlation with the Bund is only −0.09, because in EUR it also carries the dollar move and because the US closes 4.5 hours after Europe; and the famous 13 October 2008 rally appears on 14 October, because FRED publishes no EUR/USD rate on Columbus Day.</w:t>
      </w:r>
    </w:p>
    <w:bookmarkEnd w:id="30"/>
    <w:bookmarkStart w:id="31" w:name="X9440f05bfdb8218bcef7dc343b651ace25c335b"/>
    <w:p>
      <w:pPr>
        <w:pStyle w:val="Heading3"/>
      </w:pPr>
      <w:r>
        <w:t xml:space="preserve">1.4 The portfolio and the first sign of changing correlations</w:t>
      </w:r>
    </w:p>
    <w:p>
      <w:pPr>
        <w:pStyle w:val="FirstParagraph"/>
      </w:pPr>
      <w:r>
        <w:rPr>
          <w:bCs/>
          <w:b/>
        </w:rPr>
        <w:t xml:space="preserve">What we did.</w:t>
      </w:r>
      <w:r>
        <w:t xml:space="preserve"> </w:t>
      </w:r>
      <w:r>
        <w:t xml:space="preserve">Built the 60/30/10 portfolio (</w:t>
      </w:r>
      <w:r>
        <w:rPr>
          <w:rStyle w:val="VerbatimChar"/>
        </w:rPr>
        <w:t xml:space="preserve">portfolio_returns</w:t>
      </w:r>
      <w:r>
        <w:t xml:space="preserve">) and computed the stock–Bund correlation calendar year by calendar year.</w:t>
      </w:r>
    </w:p>
    <w:p>
      <w:pPr>
        <w:pStyle w:val="BodyText"/>
      </w:pPr>
      <w:r>
        <w:rPr>
          <w:bCs/>
          <w:b/>
        </w:rPr>
        <w:t xml:space="preserve">What we found.</w:t>
      </w:r>
    </w:p>
    <w:p>
      <w:pPr>
        <w:numPr>
          <w:ilvl w:val="0"/>
          <w:numId w:val="1006"/>
        </w:numPr>
        <w:pStyle w:val="Compact"/>
      </w:pPr>
      <w:r>
        <w:t xml:space="preserve">Portfolio volatility</w:t>
      </w:r>
      <w:r>
        <w:t xml:space="preserve"> </w:t>
      </w:r>
      <w:r>
        <w:rPr>
          <w:bCs/>
          <w:b/>
        </w:rPr>
        <w:t xml:space="preserve">11.05%</w:t>
      </w:r>
      <w:r>
        <w:t xml:space="preserve"> </w:t>
      </w:r>
      <w:r>
        <w:t xml:space="preserve">a year, against 16.18% if everything moved together: diversification removes</w:t>
      </w:r>
      <w:r>
        <w:t xml:space="preserve"> </w:t>
      </w:r>
      <w:r>
        <w:rPr>
          <w:bCs/>
          <w:b/>
        </w:rPr>
        <w:t xml:space="preserve">32%</w:t>
      </w:r>
      <w:r>
        <w:t xml:space="preserve"> </w:t>
      </w:r>
      <w:r>
        <w:t xml:space="preserve">of the risk (12% in Project 3 with equities only).</w:t>
      </w:r>
    </w:p>
    <w:p>
      <w:pPr>
        <w:numPr>
          <w:ilvl w:val="0"/>
          <w:numId w:val="1006"/>
        </w:numPr>
        <w:pStyle w:val="Compact"/>
      </w:pPr>
      <w:r>
        <w:t xml:space="preserve">The yearly stock–Bund correlation:</w:t>
      </w:r>
      <w:r>
        <w:t xml:space="preserve"> </w:t>
      </w:r>
      <w:r>
        <w:rPr>
          <w:bCs/>
          <w:b/>
        </w:rPr>
        <w:t xml:space="preserve">−0.70 in 2011</w:t>
      </w:r>
      <w:r>
        <w:t xml:space="preserve">, about −0.25 in 2013–2021,</w:t>
      </w:r>
      <w:r>
        <w:t xml:space="preserve"> </w:t>
      </w:r>
      <w:r>
        <w:rPr>
          <w:bCs/>
          <w:b/>
        </w:rPr>
        <w:t xml:space="preserve">about 0 in 2022</w:t>
      </w:r>
      <w:r>
        <w:t xml:space="preserve">, and</w:t>
      </w:r>
      <w:r>
        <w:t xml:space="preserve"> </w:t>
      </w:r>
      <w:r>
        <w:rPr>
          <w:bCs/>
          <w:b/>
        </w:rPr>
        <w:t xml:space="preserve">+0.62 in 2026</w:t>
      </w:r>
      <w:r>
        <w:t xml:space="preserve">.</w:t>
      </w:r>
    </w:p>
    <w:p>
      <w:pPr>
        <w:pStyle w:val="FirstParagraph"/>
      </w:pPr>
      <w:r>
        <w:rPr>
          <w:bCs/>
          <w:b/>
        </w:rPr>
        <w:t xml:space="preserve">The 2026 value was checked three ways</w:t>
      </w:r>
      <w:r>
        <w:t xml:space="preserve"> </w:t>
      </w:r>
      <w:r>
        <w:t xml:space="preserve">because it is extreme: the other Bund ETF gives +0.64; without the 10 biggest equity days it is still +0.57; and month by month it is +0.41 to +0.84 from March to September 2026, after −0.52 in February. It is a real regime change.</w:t>
      </w:r>
    </w:p>
    <w:p>
      <w:pPr>
        <w:pStyle w:val="BodyText"/>
      </w:pPr>
      <w:r>
        <w:rPr>
          <w:bCs/>
          <w:b/>
        </w:rPr>
        <w:t xml:space="preserve">In plain words.</w:t>
      </w:r>
      <w:r>
        <w:t xml:space="preserve"> </w:t>
      </w:r>
      <w:r>
        <w:t xml:space="preserve">The</w:t>
      </w:r>
      <w:r>
        <w:t xml:space="preserve"> </w:t>
      </w:r>
      <w:r>
        <w:t xml:space="preserve">“</w:t>
      </w:r>
      <w:r>
        <w:t xml:space="preserve">safe</w:t>
      </w:r>
      <w:r>
        <w:t xml:space="preserve">”</w:t>
      </w:r>
      <w:r>
        <w:t xml:space="preserve"> </w:t>
      </w:r>
      <w:r>
        <w:t xml:space="preserve">asset hedged equities for 14 years, stopped hedging in 2022, and added to risk in 2026. Any model with a fixed correlation is wrong for part of the sample.</w:t>
      </w:r>
    </w:p>
    <w:bookmarkEnd w:id="31"/>
    <w:bookmarkEnd w:id="32"/>
    <w:bookmarkStart w:id="39" w:name="X54d90d64f0dd1285fd61eee656e7e869fe2403f"/>
    <w:p>
      <w:pPr>
        <w:pStyle w:val="Heading2"/>
      </w:pPr>
      <w:r>
        <w:t xml:space="preserve">Step 2 – Covariance basics and rolling correlations</w:t>
      </w:r>
    </w:p>
    <w:p>
      <w:pPr>
        <w:pStyle w:val="FirstParagraph"/>
      </w:pPr>
      <w:r>
        <w:rPr>
          <w:bCs/>
          <w:b/>
        </w:rPr>
        <w:t xml:space="preserve">What we did (</w:t>
      </w:r>
      <w:r>
        <w:rPr>
          <w:rStyle w:val="VerbatimChar"/>
          <w:bCs/>
          <w:b/>
        </w:rPr>
        <w:t xml:space="preserve">portfolio_variance</w:t>
      </w:r>
      <w:r>
        <w:rPr>
          <w:bCs/>
          <w:b/>
        </w:rPr>
        <w:t xml:space="preserve">,</w:t>
      </w:r>
      <w:r>
        <w:rPr>
          <w:bCs/>
          <w:b/>
        </w:rPr>
        <w:t xml:space="preserve"> </w:t>
      </w:r>
      <w:r>
        <w:rPr>
          <w:rStyle w:val="VerbatimChar"/>
          <w:bCs/>
          <w:b/>
        </w:rPr>
        <w:t xml:space="preserve">rolling_cov</w:t>
      </w:r>
      <w:r>
        <w:rPr>
          <w:bCs/>
          <w:b/>
        </w:rPr>
        <w:t xml:space="preserve">,</w:t>
      </w:r>
      <w:r>
        <w:rPr>
          <w:bCs/>
          <w:b/>
        </w:rPr>
        <w:t xml:space="preserve"> </w:t>
      </w:r>
      <w:r>
        <w:rPr>
          <w:rStyle w:val="VerbatimChar"/>
          <w:bCs/>
          <w:b/>
        </w:rPr>
        <w:t xml:space="preserve">cov_to_corr</w:t>
      </w:r>
      <w:r>
        <w:rPr>
          <w:bCs/>
          <w:b/>
        </w:rPr>
        <w:t xml:space="preserve">,</w:t>
      </w:r>
      <w:r>
        <w:rPr>
          <w:bCs/>
          <w:b/>
        </w:rPr>
        <w:t xml:space="preserve"> </w:t>
      </w:r>
      <w:r>
        <w:rPr>
          <w:rStyle w:val="VerbatimChar"/>
          <w:bCs/>
          <w:b/>
        </w:rPr>
        <w:t xml:space="preserve">pair_series</w:t>
      </w:r>
      <w:r>
        <w:rPr>
          <w:bCs/>
          <w:b/>
        </w:rPr>
        <w:t xml:space="preserve">).</w:t>
      </w:r>
      <w:r>
        <w:t xml:space="preserve"> </w:t>
      </w:r>
      <w:r>
        <w:t xml:space="preserve">Wrote the basic tools for stacks of daily matrices:</w:t>
      </w:r>
      <w:r>
        <w:t xml:space="preserve"> </w:t>
      </w:r>
      <m:oMath>
        <m:r>
          <m:rPr>
            <m:sty m:val="b"/>
          </m:rPr>
          <m:t>w</m:t>
        </m:r>
        <m:r>
          <m:rPr>
            <m:sty m:val="p"/>
          </m:rPr>
          <m:t>′</m:t>
        </m:r>
        <m:r>
          <m:t>H</m:t>
        </m:r>
        <m:r>
          <m:rPr>
            <m:sty m:val="b"/>
          </m:rPr>
          <m:t>w</m:t>
        </m:r>
      </m:oMath>
      <w:r>
        <w:t xml:space="preserve">, the rolling-window covariance forecast (average of</w:t>
      </w:r>
      <w:r>
        <w:t xml:space="preserve"> </w:t>
      </w:r>
      <m:oMath>
        <m:r>
          <m:rPr>
            <m:sty m:val="b"/>
          </m:rPr>
          <m:t>y</m:t>
        </m:r>
        <m:r>
          <m:rPr>
            <m:sty m:val="b"/>
          </m:rPr>
          <m:t>y</m:t>
        </m:r>
        <m:r>
          <m:rPr>
            <m:sty m:val="p"/>
          </m:rPr>
          <m:t>′</m:t>
        </m:r>
      </m:oMath>
      <w:r>
        <w:t xml:space="preserve"> </w:t>
      </w:r>
      <w:r>
        <w:t xml:space="preserve">over the previous 250 or 60 days), and correlations.</w:t>
      </w:r>
    </w:p>
    <w:p>
      <w:pPr>
        <w:pStyle w:val="BodyText"/>
      </w:pPr>
      <w:r>
        <w:rPr>
          <w:bCs/>
          <w:b/>
        </w:rPr>
        <w:t xml:space="preserve">How we checked it.</w:t>
      </w:r>
    </w:p>
    <w:p>
      <w:pPr>
        <w:numPr>
          <w:ilvl w:val="0"/>
          <w:numId w:val="1007"/>
        </w:numPr>
        <w:pStyle w:val="Compact"/>
      </w:pPr>
      <m:oMath>
        <m:r>
          <m:rPr>
            <m:sty m:val="b"/>
          </m:rPr>
          <m:t>w</m:t>
        </m:r>
        <m:r>
          <m:rPr>
            <m:sty m:val="p"/>
          </m:rPr>
          <m:t>′</m:t>
        </m:r>
        <m:r>
          <m:t>H</m:t>
        </m:r>
        <m:r>
          <m:rPr>
            <m:sty m:val="b"/>
          </m:rPr>
          <m:t>w</m:t>
        </m:r>
      </m:oMath>
      <w:r>
        <w:t xml:space="preserve"> </w:t>
      </w:r>
      <w:r>
        <w:t xml:space="preserve">= 0.472 against 0.47216 on 1 million simulated returns.</w:t>
      </w:r>
    </w:p>
    <w:p>
      <w:pPr>
        <w:numPr>
          <w:ilvl w:val="0"/>
          <w:numId w:val="1007"/>
        </w:numPr>
        <w:pStyle w:val="Compact"/>
      </w:pPr>
      <w:r>
        <w:t xml:space="preserve">The rolling forecast equals a direct matrix product to 1e-15.</w:t>
      </w:r>
    </w:p>
    <w:p>
      <w:pPr>
        <w:numPr>
          <w:ilvl w:val="0"/>
          <w:numId w:val="1007"/>
        </w:numPr>
        <w:pStyle w:val="Compact"/>
      </w:pPr>
      <w:r>
        <w:t xml:space="preserve">An exact identity: the rolling</w:t>
      </w:r>
      <w:r>
        <w:t xml:space="preserve"> </w:t>
      </w:r>
      <m:oMath>
        <m:r>
          <m:rPr>
            <m:sty m:val="b"/>
          </m:rPr>
          <m:t>w</m:t>
        </m:r>
        <m:r>
          <m:rPr>
            <m:sty m:val="p"/>
          </m:rPr>
          <m:t>′</m:t>
        </m:r>
        <m:sSub>
          <m:e>
            <m:r>
              <m:t>H</m:t>
            </m:r>
          </m:e>
          <m:sub>
            <m:r>
              <m:t>t</m:t>
            </m:r>
          </m:sub>
        </m:sSub>
        <m:r>
          <m:rPr>
            <m:sty m:val="b"/>
          </m:rPr>
          <m:t>w</m:t>
        </m:r>
      </m:oMath>
      <w:r>
        <w:t xml:space="preserve"> </w:t>
      </w:r>
      <w:r>
        <w:t xml:space="preserve">equals the rolling mean of the portfolio’s squared returns (1e-15).</w:t>
      </w:r>
    </w:p>
    <w:p>
      <w:pPr>
        <w:numPr>
          <w:ilvl w:val="0"/>
          <w:numId w:val="1007"/>
        </w:numPr>
        <w:pStyle w:val="Compact"/>
      </w:pPr>
      <w:r>
        <w:t xml:space="preserve">Every correlation matrix is symmetric, has ones on the diagonal and is positive definite.</w:t>
      </w:r>
    </w:p>
    <w:p>
      <w:pPr>
        <w:pStyle w:val="FirstParagraph"/>
      </w:pPr>
      <w:r>
        <w:rPr>
          <w:bCs/>
          <w:b/>
        </w:rPr>
        <w:t xml:space="preserve">What we found.</w:t>
      </w:r>
    </w:p>
    <w:p>
      <w:pPr>
        <w:pStyle w:val="CaptionedFigure"/>
      </w:pPr>
      <w:r>
        <w:drawing>
          <wp:inline>
            <wp:extent cx="5334000" cy="1973894"/>
            <wp:effectExtent b="0" l="0" r="0" t="0"/>
            <wp:docPr descr="Stock-bond correlation, rolling windows" title="" id="34" name="Picture"/>
            <a:graphic>
              <a:graphicData uri="http://schemas.openxmlformats.org/drawingml/2006/picture">
                <pic:pic>
                  <pic:nvPicPr>
                    <pic:cNvPr descr="fig4/corr_stock_bond_rolling.png" id="35" name="Picture"/>
                    <pic:cNvPicPr>
                      <a:picLocks noChangeArrowheads="1" noChangeAspect="1"/>
                    </pic:cNvPicPr>
                  </pic:nvPicPr>
                  <pic:blipFill>
                    <a:blip r:embed="rId33"/>
                    <a:stretch>
                      <a:fillRect/>
                    </a:stretch>
                  </pic:blipFill>
                  <pic:spPr bwMode="auto">
                    <a:xfrm>
                      <a:off x="0" y="0"/>
                      <a:ext cx="5334000" cy="1973894"/>
                    </a:xfrm>
                    <a:prstGeom prst="rect">
                      <a:avLst/>
                    </a:prstGeom>
                    <a:noFill/>
                    <a:ln w="9525">
                      <a:noFill/>
                      <a:headEnd/>
                      <a:tailEnd/>
                    </a:ln>
                  </pic:spPr>
                </pic:pic>
              </a:graphicData>
            </a:graphic>
          </wp:inline>
        </w:drawing>
      </w:r>
    </w:p>
    <w:p>
      <w:pPr>
        <w:pStyle w:val="ImageCaption"/>
      </w:pPr>
      <w:r>
        <w:t xml:space="preserve">Stock-bond correlation, rolling windows</w:t>
      </w:r>
    </w:p>
    <w:p>
      <w:pPr>
        <w:numPr>
          <w:ilvl w:val="0"/>
          <w:numId w:val="1008"/>
        </w:numPr>
        <w:pStyle w:val="Compact"/>
      </w:pPr>
      <w:r>
        <w:rPr>
          <w:bCs/>
          <w:b/>
        </w:rPr>
        <w:t xml:space="preserve">The stock–bond correlation ranges from −0.87 (November 2011) to +0.79 (June 2026)</w:t>
      </w:r>
      <w:r>
        <w:t xml:space="preserve"> </w:t>
      </w:r>
      <w:r>
        <w:t xml:space="preserve">on 60 days; −0.75 to +0.55 on 250 days.</w:t>
      </w:r>
    </w:p>
    <w:p>
      <w:pPr>
        <w:numPr>
          <w:ilvl w:val="0"/>
          <w:numId w:val="1008"/>
        </w:numPr>
        <w:pStyle w:val="Compact"/>
      </w:pPr>
      <w:r>
        <w:rPr>
          <w:bCs/>
          <w:b/>
        </w:rPr>
        <w:t xml:space="preserve">The 250-day window is late:</w:t>
      </w:r>
      <w:r>
        <w:t xml:space="preserve"> </w:t>
      </w:r>
      <w:r>
        <w:t xml:space="preserve">in March 2026 the 60-day correlation had crossed zero while the 250-day one was still −0.17; it only peaked in September.</w:t>
      </w:r>
    </w:p>
    <w:p>
      <w:pPr>
        <w:numPr>
          <w:ilvl w:val="0"/>
          <w:numId w:val="1008"/>
        </w:numPr>
        <w:pStyle w:val="Compact"/>
      </w:pPr>
      <w:r>
        <w:t xml:space="preserve">Correlation can flip within weeks: in March 2023 (SVB) the 60-day value fell from +0.5 to −0.75.</w:t>
      </w:r>
    </w:p>
    <w:p>
      <w:pPr>
        <w:numPr>
          <w:ilvl w:val="0"/>
          <w:numId w:val="1008"/>
        </w:numPr>
        <w:pStyle w:val="Compact"/>
      </w:pPr>
      <w:r>
        <w:rPr>
          <w:bCs/>
          <w:b/>
        </w:rPr>
        <w:t xml:space="preserve">The smallest eigenvalue is only 0.029:</w:t>
      </w:r>
      <w:r>
        <w:t xml:space="preserve"> </w:t>
      </w:r>
      <w:r>
        <w:t xml:space="preserve">CAC 40 and DAX are almost the same asset, so</w:t>
      </w:r>
      <w:r>
        <w:t xml:space="preserve"> </w:t>
      </w:r>
      <w:r>
        <w:t xml:space="preserve">“</w:t>
      </w:r>
      <w:r>
        <w:t xml:space="preserve">long CAC, short DAX</w:t>
      </w:r>
      <w:r>
        <w:t xml:space="preserve">”</w:t>
      </w:r>
      <w:r>
        <w:t xml:space="preserve"> </w:t>
      </w:r>
      <w:r>
        <w:t xml:space="preserve">looks almost risk-free. This becomes important for portfolio construction (Step 10).</w:t>
      </w:r>
    </w:p>
    <w:p>
      <w:pPr>
        <w:pStyle w:val="CaptionedFigure"/>
      </w:pPr>
      <w:r>
        <w:drawing>
          <wp:inline>
            <wp:extent cx="5334000" cy="1973894"/>
            <wp:effectExtent b="0" l="0" r="0" t="0"/>
            <wp:docPr descr="Stock-gold and US stock-Bund correlations" title="" id="37" name="Picture"/>
            <a:graphic>
              <a:graphicData uri="http://schemas.openxmlformats.org/drawingml/2006/picture">
                <pic:pic>
                  <pic:nvPicPr>
                    <pic:cNvPr descr="fig4/corr_gold_us_rolling.png" id="38" name="Picture"/>
                    <pic:cNvPicPr>
                      <a:picLocks noChangeArrowheads="1" noChangeAspect="1"/>
                    </pic:cNvPicPr>
                  </pic:nvPicPr>
                  <pic:blipFill>
                    <a:blip r:embed="rId36"/>
                    <a:stretch>
                      <a:fillRect/>
                    </a:stretch>
                  </pic:blipFill>
                  <pic:spPr bwMode="auto">
                    <a:xfrm>
                      <a:off x="0" y="0"/>
                      <a:ext cx="5334000" cy="1973894"/>
                    </a:xfrm>
                    <a:prstGeom prst="rect">
                      <a:avLst/>
                    </a:prstGeom>
                    <a:noFill/>
                    <a:ln w="9525">
                      <a:noFill/>
                      <a:headEnd/>
                      <a:tailEnd/>
                    </a:ln>
                  </pic:spPr>
                </pic:pic>
              </a:graphicData>
            </a:graphic>
          </wp:inline>
        </w:drawing>
      </w:r>
    </w:p>
    <w:p>
      <w:pPr>
        <w:pStyle w:val="ImageCaption"/>
      </w:pPr>
      <w:r>
        <w:t xml:space="preserve">Stock-gold and US stock-Bund correlations</w:t>
      </w:r>
    </w:p>
    <w:p>
      <w:pPr>
        <w:pStyle w:val="BodyText"/>
      </w:pPr>
      <w:r>
        <w:t xml:space="preserve">The CAC–gold correlation shows the</w:t>
      </w:r>
      <w:r>
        <w:t xml:space="preserve"> </w:t>
      </w:r>
      <w:r>
        <w:rPr>
          <w:bCs/>
          <w:b/>
        </w:rPr>
        <w:t xml:space="preserve">ghost effect</w:t>
      </w:r>
      <w:r>
        <w:t xml:space="preserve">: it jumps in March 2020 (gold was sold with stocks in the dash for cash) and drops back exactly one year later, when those days leave the window — nothing happened in March 2021.</w:t>
      </w:r>
    </w:p>
    <w:bookmarkEnd w:id="39"/>
    <w:bookmarkStart w:id="43" w:name="step-3-ewma-covariance-riskmetrics"/>
    <w:p>
      <w:pPr>
        <w:pStyle w:val="Heading2"/>
      </w:pPr>
      <w:r>
        <w:t xml:space="preserve">Step 3 – EWMA covariance (RiskMetrics)</w:t>
      </w:r>
    </w:p>
    <w:p>
      <w:pPr>
        <w:pStyle w:val="FirstParagraph"/>
      </w:pPr>
      <w:r>
        <w:rPr>
          <w:bCs/>
          <w:b/>
        </w:rPr>
        <w:t xml:space="preserve">What we did (</w:t>
      </w:r>
      <w:r>
        <w:rPr>
          <w:rStyle w:val="VerbatimChar"/>
          <w:bCs/>
          <w:b/>
        </w:rPr>
        <w:t xml:space="preserve">ewma_cov</w:t>
      </w:r>
      <w:r>
        <w:rPr>
          <w:bCs/>
          <w:b/>
        </w:rPr>
        <w:t xml:space="preserve">).</w:t>
      </w:r>
      <w:r>
        <w:t xml:space="preserve"> </w:t>
      </w:r>
      <m:oMath>
        <m:sSub>
          <m:e>
            <m:r>
              <m:t>H</m:t>
            </m:r>
          </m:e>
          <m:sub>
            <m:r>
              <m:t>t</m:t>
            </m:r>
          </m:sub>
        </m:sSub>
        <m:r>
          <m:rPr>
            <m:sty m:val="p"/>
          </m:rPr>
          <m:t>=</m:t>
        </m:r>
        <m:d>
          <m:dPr>
            <m:begChr m:val="("/>
            <m:sepChr m:val=""/>
            <m:endChr m:val=")"/>
            <m:grow/>
          </m:dPr>
          <m:e>
            <m:r>
              <m:t>1</m:t>
            </m:r>
            <m:r>
              <m:rPr>
                <m:sty m:val="p"/>
              </m:rPr>
              <m:t>−</m:t>
            </m:r>
            <m:r>
              <m:t>λ</m:t>
            </m:r>
          </m:e>
        </m:d>
        <m:r>
          <m:t> </m:t>
        </m:r>
        <m:sSub>
          <m:e>
            <m:r>
              <m:rPr>
                <m:sty m:val="b"/>
              </m:rPr>
              <m:t>y</m:t>
            </m:r>
          </m:e>
          <m:sub>
            <m:r>
              <m:t>t</m:t>
            </m:r>
            <m:r>
              <m:rPr>
                <m:sty m:val="p"/>
              </m:rPr>
              <m:t>−</m:t>
            </m:r>
            <m:r>
              <m:t>1</m:t>
            </m:r>
          </m:sub>
        </m:sSub>
        <m:sSub>
          <m:e>
            <m:r>
              <m:rPr>
                <m:sty m:val="b"/>
              </m:rPr>
              <m:t>y</m:t>
            </m:r>
          </m:e>
          <m:sub>
            <m:r>
              <m:t>t</m:t>
            </m:r>
            <m:r>
              <m:rPr>
                <m:sty m:val="p"/>
              </m:rPr>
              <m:t>−</m:t>
            </m:r>
            <m:r>
              <m:t>1</m:t>
            </m:r>
          </m:sub>
        </m:sSub>
        <m:r>
          <m:rPr>
            <m:sty m:val="p"/>
          </m:rPr>
          <m:t>′</m:t>
        </m:r>
        <m:r>
          <m:rPr>
            <m:sty m:val="p"/>
          </m:rPr>
          <m:t>+</m:t>
        </m:r>
        <m:r>
          <m:t>λ</m:t>
        </m:r>
        <m:sSub>
          <m:e>
            <m:r>
              <m:t>H</m:t>
            </m:r>
          </m:e>
          <m:sub>
            <m:r>
              <m:t>t</m:t>
            </m:r>
            <m:r>
              <m:rPr>
                <m:sty m:val="p"/>
              </m:rPr>
              <m:t>−</m:t>
            </m:r>
            <m:r>
              <m:t>1</m:t>
            </m:r>
          </m:sub>
        </m:sSub>
      </m:oMath>
      <w:r>
        <w:t xml:space="preserve"> </w:t>
      </w:r>
      <w:r>
        <w:t xml:space="preserve">with λ = 0.94 (half-life of a day’s weight: about 11 days).</w:t>
      </w:r>
    </w:p>
    <w:p>
      <w:pPr>
        <w:pStyle w:val="BodyText"/>
      </w:pPr>
      <w:r>
        <w:rPr>
          <w:bCs/>
          <w:b/>
        </w:rPr>
        <w:t xml:space="preserve">Why.</w:t>
      </w:r>
      <w:r>
        <w:t xml:space="preserve"> </w:t>
      </w:r>
      <w:r>
        <w:t xml:space="preserve">Old days fade gradually instead of dropping out on one date: no ghost effect, fast reaction, no estimation.</w:t>
      </w:r>
    </w:p>
    <w:p>
      <w:pPr>
        <w:pStyle w:val="BodyText"/>
      </w:pPr>
      <w:r>
        <w:rPr>
          <w:bCs/>
          <w:b/>
        </w:rPr>
        <w:t xml:space="preserve">How we checked it.</w:t>
      </w:r>
      <w:r>
        <w:t xml:space="preserve"> </w:t>
      </w:r>
      <w:r>
        <w:t xml:space="preserve">Each element equals pandas’</w:t>
      </w:r>
      <w:r>
        <w:t xml:space="preserve"> </w:t>
      </w:r>
      <w:r>
        <w:rPr>
          <w:rStyle w:val="VerbatimChar"/>
        </w:rPr>
        <w:t xml:space="preserve">ewm</w:t>
      </w:r>
      <w:r>
        <w:t xml:space="preserve"> </w:t>
      </w:r>
      <w:r>
        <w:t xml:space="preserve">on the cross-products (1.5e-14); one day computed by hand gives exactly the same matrix; every matrix is positive definite.</w:t>
      </w:r>
    </w:p>
    <w:p>
      <w:pPr>
        <w:pStyle w:val="BodyText"/>
      </w:pPr>
      <w:r>
        <w:rPr>
          <w:bCs/>
          <w:b/>
        </w:rPr>
        <w:t xml:space="preserve">What we found.</w:t>
      </w:r>
    </w:p>
    <w:p>
      <w:pPr>
        <w:pStyle w:val="CaptionedFigure"/>
      </w:pPr>
      <w:r>
        <w:drawing>
          <wp:inline>
            <wp:extent cx="5334000" cy="1975555"/>
            <wp:effectExtent b="0" l="0" r="0" t="0"/>
            <wp:docPr descr="EWMA vs rolling windows" title="" id="41" name="Picture"/>
            <a:graphic>
              <a:graphicData uri="http://schemas.openxmlformats.org/drawingml/2006/picture">
                <pic:pic>
                  <pic:nvPicPr>
                    <pic:cNvPr descr="fig4/corr_stock_bond_ewma.png" id="42" name="Picture"/>
                    <pic:cNvPicPr>
                      <a:picLocks noChangeArrowheads="1" noChangeAspect="1"/>
                    </pic:cNvPicPr>
                  </pic:nvPicPr>
                  <pic:blipFill>
                    <a:blip r:embed="rId40"/>
                    <a:stretch>
                      <a:fillRect/>
                    </a:stretch>
                  </pic:blipFill>
                  <pic:spPr bwMode="auto">
                    <a:xfrm>
                      <a:off x="0" y="0"/>
                      <a:ext cx="5334000" cy="1975555"/>
                    </a:xfrm>
                    <a:prstGeom prst="rect">
                      <a:avLst/>
                    </a:prstGeom>
                    <a:noFill/>
                    <a:ln w="9525">
                      <a:noFill/>
                      <a:headEnd/>
                      <a:tailEnd/>
                    </a:ln>
                  </pic:spPr>
                </pic:pic>
              </a:graphicData>
            </a:graphic>
          </wp:inline>
        </w:drawing>
      </w:r>
    </w:p>
    <w:p>
      <w:pPr>
        <w:pStyle w:val="ImageCaption"/>
      </w:pPr>
      <w:r>
        <w:t xml:space="preserve">EWMA vs rolling windows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First positive day after 1 March 2026</w:t>
            </w:r>
          </w:p>
        </w:tc>
        <w:tc>
          <w:tcPr/>
          <w:p>
            <w:pPr>
              <w:pStyle w:val="Compact"/>
              <w:jc w:val="left"/>
            </w:pPr>
            <w:r>
              <w:t xml:space="preserve">Average daily change of the correlation</w:t>
            </w:r>
          </w:p>
        </w:tc>
      </w:tr>
      <w:tr>
        <w:tc>
          <w:tcPr/>
          <w:p>
            <w:pPr>
              <w:pStyle w:val="Compact"/>
              <w:jc w:val="left"/>
            </w:pPr>
            <w:r>
              <w:t xml:space="preserve">EWMA</w:t>
            </w:r>
          </w:p>
        </w:tc>
        <w:tc>
          <w:tcPr/>
          <w:p>
            <w:pPr>
              <w:pStyle w:val="Compact"/>
              <w:jc w:val="left"/>
            </w:pPr>
            <w:r>
              <w:t xml:space="preserve">3 March</w:t>
            </w:r>
          </w:p>
        </w:tc>
        <w:tc>
          <w:tcPr/>
          <w:p>
            <w:pPr>
              <w:pStyle w:val="Compact"/>
              <w:jc w:val="left"/>
            </w:pPr>
            <w:r>
              <w:rPr>
                <w:bCs/>
                <w:b/>
              </w:rPr>
              <w:t xml:space="preserve">0.032</w:t>
            </w:r>
          </w:p>
        </w:tc>
      </w:tr>
      <w:tr>
        <w:tc>
          <w:tcPr/>
          <w:p>
            <w:pPr>
              <w:pStyle w:val="Compact"/>
              <w:jc w:val="left"/>
            </w:pPr>
            <w:r>
              <w:t xml:space="preserve">Rolling 60 days</w:t>
            </w:r>
          </w:p>
        </w:tc>
        <w:tc>
          <w:tcPr/>
          <w:p>
            <w:pPr>
              <w:pStyle w:val="Compact"/>
              <w:jc w:val="left"/>
            </w:pPr>
            <w:r>
              <w:t xml:space="preserve">2 March</w:t>
            </w:r>
          </w:p>
        </w:tc>
        <w:tc>
          <w:tcPr/>
          <w:p>
            <w:pPr>
              <w:pStyle w:val="Compact"/>
              <w:jc w:val="left"/>
            </w:pPr>
            <w:r>
              <w:t xml:space="preserve">0.016</w:t>
            </w:r>
          </w:p>
        </w:tc>
      </w:tr>
      <w:tr>
        <w:tc>
          <w:tcPr/>
          <w:p>
            <w:pPr>
              <w:pStyle w:val="Compact"/>
              <w:jc w:val="left"/>
            </w:pPr>
            <w:r>
              <w:t xml:space="preserve">Rolling 250 days</w:t>
            </w:r>
          </w:p>
        </w:tc>
        <w:tc>
          <w:tcPr/>
          <w:p>
            <w:pPr>
              <w:pStyle w:val="Compact"/>
              <w:jc w:val="left"/>
            </w:pPr>
            <w:r>
              <w:rPr>
                <w:bCs/>
                <w:b/>
              </w:rPr>
              <w:t xml:space="preserve">2 April</w:t>
            </w:r>
          </w:p>
        </w:tc>
        <w:tc>
          <w:tcPr/>
          <w:p>
            <w:pPr>
              <w:pStyle w:val="Compact"/>
              <w:jc w:val="left"/>
            </w:pPr>
            <w:r>
              <w:t xml:space="preserve">0.004</w:t>
            </w:r>
          </w:p>
        </w:tc>
      </w:tr>
    </w:tbl>
    <w:p>
      <w:pPr>
        <w:numPr>
          <w:ilvl w:val="0"/>
          <w:numId w:val="1009"/>
        </w:numPr>
        <w:pStyle w:val="Compact"/>
      </w:pPr>
      <w:r>
        <w:rPr>
          <w:bCs/>
          <w:b/>
        </w:rPr>
        <w:t xml:space="preserve">Speed costs noise:</w:t>
      </w:r>
      <w:r>
        <w:t xml:space="preserve"> </w:t>
      </w:r>
      <w:r>
        <w:t xml:space="preserve">EWMA is as fast as the 60-day window but twice as noisy, and 8 times noisier than the 250-day one.</w:t>
      </w:r>
    </w:p>
    <w:p>
      <w:pPr>
        <w:numPr>
          <w:ilvl w:val="0"/>
          <w:numId w:val="1009"/>
        </w:numPr>
        <w:pStyle w:val="Compact"/>
      </w:pPr>
      <w:r>
        <w:t xml:space="preserve">EWMA has the lowest smallest eigenvalue of all models (0.0065, August 2021): a short memory makes calm-period matrices nearly singular.</w:t>
      </w:r>
    </w:p>
    <w:p>
      <w:pPr>
        <w:numPr>
          <w:ilvl w:val="0"/>
          <w:numId w:val="1009"/>
        </w:numPr>
        <w:pStyle w:val="Compact"/>
      </w:pPr>
      <w:r>
        <w:t xml:space="preserve">(The date we first chose to show the ghost effect, 16 March 2021, missed the step; the chart shows it in March 2024, when the SVB days left the 250-day window.)</w:t>
      </w:r>
    </w:p>
    <w:p>
      <w:pPr>
        <w:pStyle w:val="FirstParagraph"/>
      </w:pPr>
      <w:r>
        <w:rPr>
          <w:bCs/>
          <w:b/>
        </w:rPr>
        <w:t xml:space="preserve">In plain words.</w:t>
      </w:r>
      <w:r>
        <w:t xml:space="preserve"> </w:t>
      </w:r>
      <w:r>
        <w:t xml:space="preserve">A faster forecast is a noisier forecast. DCC tries to get the speed with less noise by estimating the right speed from the data.</w:t>
      </w:r>
    </w:p>
    <w:bookmarkEnd w:id="43"/>
    <w:bookmarkStart w:id="46" w:name="X329cf2de0ac780226f0c5506cf90f74358979f5"/>
    <w:p>
      <w:pPr>
        <w:pStyle w:val="Heading2"/>
      </w:pPr>
      <w:r>
        <w:t xml:space="preserve">Step 4 – One volatility model per asset, and constant correlation (CCC)</w:t>
      </w:r>
    </w:p>
    <w:bookmarkStart w:id="44" w:name="gjr-garch-student-t-per-asset"/>
    <w:p>
      <w:pPr>
        <w:pStyle w:val="Heading3"/>
      </w:pPr>
      <w:r>
        <w:t xml:space="preserve">4.1 GJR-GARCH Student-t per asset</w:t>
      </w:r>
    </w:p>
    <w:p>
      <w:pPr>
        <w:pStyle w:val="FirstParagraph"/>
      </w:pPr>
      <w:r>
        <w:rPr>
          <w:bCs/>
          <w:b/>
        </w:rPr>
        <w:t xml:space="preserve">What we did (</w:t>
      </w:r>
      <w:r>
        <w:rPr>
          <w:rStyle w:val="VerbatimChar"/>
          <w:bCs/>
          <w:b/>
        </w:rPr>
        <w:t xml:space="preserve">fit_gjr_t</w:t>
      </w:r>
      <w:r>
        <w:rPr>
          <w:bCs/>
          <w:b/>
        </w:rPr>
        <w:t xml:space="preserve">,</w:t>
      </w:r>
      <w:r>
        <w:rPr>
          <w:bCs/>
          <w:b/>
        </w:rPr>
        <w:t xml:space="preserve"> </w:t>
      </w:r>
      <w:r>
        <w:rPr>
          <w:rStyle w:val="VerbatimChar"/>
          <w:bCs/>
          <w:b/>
        </w:rPr>
        <w:t xml:space="preserve">gjr_variance</w:t>
      </w:r>
      <w:r>
        <w:rPr>
          <w:bCs/>
          <w:b/>
        </w:rPr>
        <w:t xml:space="preserve">).</w:t>
      </w:r>
      <w:r>
        <w:t xml:space="preserve"> </w:t>
      </w:r>
      <w:r>
        <w:t xml:space="preserve">Estimated, for each asset,</w:t>
      </w:r>
      <w:r>
        <w:t xml:space="preserve"> </w:t>
      </w:r>
      <m:oMath>
        <m:sSubSup>
          <m:e>
            <m:r>
              <m:t>σ</m:t>
            </m:r>
          </m:e>
          <m:sub>
            <m:r>
              <m:t>t</m:t>
            </m:r>
          </m:sub>
          <m:sup>
            <m:r>
              <m:t>2</m:t>
            </m:r>
          </m:sup>
        </m:sSubSup>
        <m:r>
          <m:rPr>
            <m:sty m:val="p"/>
          </m:rPr>
          <m:t>=</m:t>
        </m:r>
        <m:r>
          <m:t>ω</m:t>
        </m:r>
        <m:r>
          <m:rPr>
            <m:sty m:val="p"/>
          </m:rPr>
          <m:t>+</m:t>
        </m:r>
        <m:d>
          <m:dPr>
            <m:begChr m:val="("/>
            <m:sepChr m:val=""/>
            <m:endChr m:val=")"/>
            <m:grow/>
          </m:dPr>
          <m:e>
            <m:r>
              <m:t>α</m:t>
            </m:r>
            <m:r>
              <m:rPr>
                <m:sty m:val="p"/>
              </m:rPr>
              <m:t>+</m:t>
            </m:r>
            <m:r>
              <m:t>γ</m:t>
            </m:r>
            <m:sSub>
              <m:e>
                <m:r>
                  <m:t>I</m:t>
                </m:r>
              </m:e>
              <m:sub>
                <m:r>
                  <m:t>t</m:t>
                </m:r>
                <m:r>
                  <m:rPr>
                    <m:sty m:val="p"/>
                  </m:rPr>
                  <m:t>−</m:t>
                </m:r>
                <m:r>
                  <m:t>1</m:t>
                </m:r>
              </m:sub>
            </m:sSub>
          </m:e>
        </m:d>
        <m:sSubSup>
          <m:e>
            <m:r>
              <m:t>y</m:t>
            </m:r>
          </m:e>
          <m:sub>
            <m:r>
              <m:t>t</m:t>
            </m:r>
            <m:r>
              <m:rPr>
                <m:sty m:val="p"/>
              </m:rPr>
              <m:t>−</m:t>
            </m:r>
            <m:r>
              <m:t>1</m:t>
            </m:r>
          </m:sub>
          <m:sup>
            <m:r>
              <m:t>2</m:t>
            </m:r>
          </m:sup>
        </m:sSubSup>
        <m:r>
          <m:rPr>
            <m:sty m:val="p"/>
          </m:rPr>
          <m:t>+</m:t>
        </m:r>
        <m:r>
          <m:t>β</m:t>
        </m:r>
        <m:sSubSup>
          <m:e>
            <m:r>
              <m:t>σ</m:t>
            </m:r>
          </m:e>
          <m:sub>
            <m:r>
              <m:t>t</m:t>
            </m:r>
            <m:r>
              <m:rPr>
                <m:sty m:val="p"/>
              </m:rPr>
              <m:t>−</m:t>
            </m:r>
            <m:r>
              <m:t>1</m:t>
            </m:r>
          </m:sub>
          <m:sup>
            <m:r>
              <m:t>2</m:t>
            </m:r>
          </m:sup>
        </m:sSubSup>
      </m:oMath>
      <w:r>
        <w:t xml:space="preserve"> </w:t>
      </w:r>
      <w:r>
        <w:t xml:space="preserve">with Student-t shocks — written fresh for this project.</w:t>
      </w:r>
    </w:p>
    <w:p>
      <w:pPr>
        <w:pStyle w:val="BodyText"/>
      </w:pPr>
      <w:r>
        <w:rPr>
          <w:bCs/>
          <w:b/>
        </w:rPr>
        <w:t xml:space="preserve">How we checked it.</w:t>
      </w:r>
      <w:r>
        <w:t xml:space="preserve"> </w:t>
      </w:r>
      <w:r>
        <w:t xml:space="preserve">Our γ and ν equal those of the</w:t>
      </w:r>
      <w:r>
        <w:t xml:space="preserve"> </w:t>
      </w:r>
      <w:r>
        <w:rPr>
          <w:rStyle w:val="VerbatimChar"/>
        </w:rPr>
        <w:t xml:space="preserve">arch</w:t>
      </w:r>
      <w:r>
        <w:t xml:space="preserve"> </w:t>
      </w:r>
      <w:r>
        <w:t xml:space="preserve">package to 3–4 decimals for all five assets; all fits converge; the standardised residuals have variance 0.99–1.01.</w:t>
      </w:r>
    </w:p>
    <w:p>
      <w:pPr>
        <w:pStyle w:val="BodyText"/>
      </w:pPr>
      <w:r>
        <w:rPr>
          <w:bCs/>
          <w:b/>
        </w:rPr>
        <w:t xml:space="preserve">What we found.</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pPr>
          </w:p>
        </w:tc>
        <w:tc>
          <w:tcPr/>
          <w:p>
            <w:pPr>
              <w:pStyle w:val="Compact"/>
              <w:jc w:val="left"/>
            </w:pPr>
            <w:r>
              <w:t xml:space="preserve">α</w:t>
            </w:r>
          </w:p>
        </w:tc>
        <w:tc>
          <w:tcPr/>
          <w:p>
            <w:pPr>
              <w:pStyle w:val="Compact"/>
              <w:jc w:val="left"/>
            </w:pPr>
            <w:r>
              <w:t xml:space="preserve">γ</w:t>
            </w:r>
          </w:p>
        </w:tc>
        <w:tc>
          <w:tcPr/>
          <w:p>
            <w:pPr>
              <w:pStyle w:val="Compact"/>
              <w:jc w:val="left"/>
            </w:pPr>
            <w:r>
              <w:t xml:space="preserve">Half-life</w:t>
            </w:r>
          </w:p>
        </w:tc>
        <w:tc>
          <w:tcPr/>
          <w:p>
            <w:pPr>
              <w:pStyle w:val="Compact"/>
              <w:jc w:val="left"/>
            </w:pPr>
            <w:r>
              <w:t xml:space="preserve">Reading</w:t>
            </w:r>
          </w:p>
        </w:tc>
      </w:tr>
      <w:tr>
        <w:tc>
          <w:tcPr/>
          <w:p>
            <w:pPr>
              <w:pStyle w:val="Compact"/>
              <w:jc w:val="left"/>
            </w:pPr>
            <w:r>
              <w:t xml:space="preserve">CAC 40</w:t>
            </w:r>
          </w:p>
        </w:tc>
        <w:tc>
          <w:tcPr/>
          <w:p>
            <w:pPr>
              <w:pStyle w:val="Compact"/>
              <w:jc w:val="left"/>
            </w:pPr>
            <w:r>
              <w:t xml:space="preserve">0.000</w:t>
            </w:r>
          </w:p>
        </w:tc>
        <w:tc>
          <w:tcPr/>
          <w:p>
            <w:pPr>
              <w:pStyle w:val="Compact"/>
              <w:jc w:val="left"/>
            </w:pPr>
            <w:r>
              <w:t xml:space="preserve">0.228</w:t>
            </w:r>
          </w:p>
        </w:tc>
        <w:tc>
          <w:tcPr/>
          <w:p>
            <w:pPr>
              <w:pStyle w:val="Compact"/>
              <w:jc w:val="left"/>
            </w:pPr>
            <w:r>
              <w:t xml:space="preserve">55 days</w:t>
            </w:r>
          </w:p>
        </w:tc>
        <w:tc>
          <w:tcPr/>
          <w:p>
            <w:pPr>
              <w:pStyle w:val="Compact"/>
              <w:jc w:val="left"/>
            </w:pPr>
            <w:r>
              <w:t xml:space="preserve">volatility reacts</w:t>
            </w:r>
            <w:r>
              <w:t xml:space="preserve"> </w:t>
            </w:r>
            <w:r>
              <w:rPr>
                <w:bCs/>
                <w:b/>
              </w:rPr>
              <w:t xml:space="preserve">only to falls</w:t>
            </w:r>
          </w:p>
        </w:tc>
      </w:tr>
      <w:tr>
        <w:tc>
          <w:tcPr/>
          <w:p>
            <w:pPr>
              <w:pStyle w:val="Compact"/>
              <w:jc w:val="left"/>
            </w:pPr>
            <w:r>
              <w:t xml:space="preserve">DAX</w:t>
            </w:r>
          </w:p>
        </w:tc>
        <w:tc>
          <w:tcPr/>
          <w:p>
            <w:pPr>
              <w:pStyle w:val="Compact"/>
              <w:jc w:val="left"/>
            </w:pPr>
            <w:r>
              <w:t xml:space="preserve">0.000</w:t>
            </w:r>
          </w:p>
        </w:tc>
        <w:tc>
          <w:tcPr/>
          <w:p>
            <w:pPr>
              <w:pStyle w:val="Compact"/>
              <w:jc w:val="left"/>
            </w:pPr>
            <w:r>
              <w:t xml:space="preserve">0.199</w:t>
            </w:r>
          </w:p>
        </w:tc>
        <w:tc>
          <w:tcPr/>
          <w:p>
            <w:pPr>
              <w:pStyle w:val="Compact"/>
              <w:jc w:val="left"/>
            </w:pPr>
            <w:r>
              <w:t xml:space="preserve">49 days</w:t>
            </w:r>
          </w:p>
        </w:tc>
        <w:tc>
          <w:tcPr/>
          <w:p>
            <w:pPr>
              <w:pStyle w:val="Compact"/>
              <w:jc w:val="left"/>
            </w:pPr>
            <w:r>
              <w:t xml:space="preserve">same</w:t>
            </w:r>
          </w:p>
        </w:tc>
      </w:tr>
      <w:tr>
        <w:tc>
          <w:tcPr/>
          <w:p>
            <w:pPr>
              <w:pStyle w:val="Compact"/>
              <w:jc w:val="left"/>
            </w:pPr>
            <w:r>
              <w:t xml:space="preserve">S&amp;P 500 (EUR)</w:t>
            </w:r>
          </w:p>
        </w:tc>
        <w:tc>
          <w:tcPr/>
          <w:p>
            <w:pPr>
              <w:pStyle w:val="Compact"/>
              <w:jc w:val="left"/>
            </w:pPr>
            <w:r>
              <w:t xml:space="preserve">0.004</w:t>
            </w:r>
          </w:p>
        </w:tc>
        <w:tc>
          <w:tcPr/>
          <w:p>
            <w:pPr>
              <w:pStyle w:val="Compact"/>
              <w:jc w:val="left"/>
            </w:pPr>
            <w:r>
              <w:t xml:space="preserve">0.205</w:t>
            </w:r>
          </w:p>
        </w:tc>
        <w:tc>
          <w:tcPr/>
          <w:p>
            <w:pPr>
              <w:pStyle w:val="Compact"/>
              <w:jc w:val="left"/>
            </w:pPr>
            <w:r>
              <w:t xml:space="preserve">26 days</w:t>
            </w:r>
          </w:p>
        </w:tc>
        <w:tc>
          <w:tcPr/>
          <w:p>
            <w:pPr>
              <w:pStyle w:val="Compact"/>
              <w:jc w:val="left"/>
            </w:pPr>
            <w:r>
              <w:t xml:space="preserve">same, forgets faster</w:t>
            </w:r>
          </w:p>
        </w:tc>
      </w:tr>
      <w:tr>
        <w:tc>
          <w:tcPr/>
          <w:p>
            <w:pPr>
              <w:pStyle w:val="Compact"/>
              <w:jc w:val="left"/>
            </w:pPr>
            <w:r>
              <w:t xml:space="preserve">Bund</w:t>
            </w:r>
          </w:p>
        </w:tc>
        <w:tc>
          <w:tcPr/>
          <w:p>
            <w:pPr>
              <w:pStyle w:val="Compact"/>
              <w:jc w:val="left"/>
            </w:pPr>
            <w:r>
              <w:t xml:space="preserve">0.045</w:t>
            </w:r>
          </w:p>
        </w:tc>
        <w:tc>
          <w:tcPr/>
          <w:p>
            <w:pPr>
              <w:pStyle w:val="Compact"/>
              <w:jc w:val="left"/>
            </w:pPr>
            <w:r>
              <w:t xml:space="preserve">0.005</w:t>
            </w:r>
          </w:p>
        </w:tc>
        <w:tc>
          <w:tcPr/>
          <w:p>
            <w:pPr>
              <w:pStyle w:val="Compact"/>
              <w:jc w:val="left"/>
            </w:pPr>
            <w:r>
              <w:rPr>
                <w:bCs/>
                <w:b/>
              </w:rPr>
              <w:t xml:space="preserve">214 days</w:t>
            </w:r>
          </w:p>
        </w:tc>
        <w:tc>
          <w:tcPr/>
          <w:p>
            <w:pPr>
              <w:pStyle w:val="Compact"/>
              <w:jc w:val="left"/>
            </w:pPr>
            <w:r>
              <w:t xml:space="preserve">symmetric, long volatility regimes</w:t>
            </w:r>
          </w:p>
        </w:tc>
      </w:tr>
      <w:tr>
        <w:tc>
          <w:tcPr/>
          <w:p>
            <w:pPr>
              <w:pStyle w:val="Compact"/>
              <w:jc w:val="left"/>
            </w:pPr>
            <w:r>
              <w:t xml:space="preserve">Gold</w:t>
            </w:r>
          </w:p>
        </w:tc>
        <w:tc>
          <w:tcPr/>
          <w:p>
            <w:pPr>
              <w:pStyle w:val="Compact"/>
              <w:jc w:val="left"/>
            </w:pPr>
            <w:r>
              <w:t xml:space="preserve">0.077</w:t>
            </w:r>
          </w:p>
        </w:tc>
        <w:tc>
          <w:tcPr/>
          <w:p>
            <w:pPr>
              <w:pStyle w:val="Compact"/>
              <w:jc w:val="left"/>
            </w:pPr>
            <w:r>
              <w:rPr>
                <w:bCs/>
                <w:b/>
              </w:rPr>
              <w:t xml:space="preserve">−0.024</w:t>
            </w:r>
          </w:p>
        </w:tc>
        <w:tc>
          <w:tcPr/>
          <w:p>
            <w:pPr>
              <w:pStyle w:val="Compact"/>
              <w:jc w:val="left"/>
            </w:pPr>
            <w:r>
              <w:t xml:space="preserve">62 days</w:t>
            </w:r>
          </w:p>
        </w:tc>
        <w:tc>
          <w:tcPr/>
          <w:p>
            <w:pPr>
              <w:pStyle w:val="Compact"/>
              <w:jc w:val="left"/>
            </w:pPr>
            <w:r>
              <w:t xml:space="preserve">inverse leverage; ν = 5.6, fattest tails</w:t>
            </w:r>
          </w:p>
        </w:tc>
      </w:tr>
    </w:tbl>
    <w:p>
      <w:pPr>
        <w:pStyle w:val="BodyText"/>
      </w:pPr>
      <w:r>
        <w:rPr>
          <w:bCs/>
          <w:b/>
        </w:rPr>
        <w:t xml:space="preserve">In plain words.</w:t>
      </w:r>
      <w:r>
        <w:t xml:space="preserve"> </w:t>
      </w:r>
      <w:r>
        <w:t xml:space="preserve">Each asset has its own volatility personality. EWMA’s single 11-day half-life is wrong for all of them.</w:t>
      </w:r>
    </w:p>
    <w:bookmarkEnd w:id="44"/>
    <w:bookmarkStart w:id="45" w:name="ccc"/>
    <w:p>
      <w:pPr>
        <w:pStyle w:val="Heading3"/>
      </w:pPr>
      <w:r>
        <w:t xml:space="preserve">4.2 CCC</w:t>
      </w:r>
    </w:p>
    <w:p>
      <w:pPr>
        <w:pStyle w:val="FirstParagraph"/>
      </w:pPr>
      <w:r>
        <w:rPr>
          <w:bCs/>
          <w:b/>
        </w:rPr>
        <w:t xml:space="preserve">What we did (</w:t>
      </w:r>
      <w:r>
        <w:rPr>
          <w:rStyle w:val="VerbatimChar"/>
          <w:bCs/>
          <w:b/>
        </w:rPr>
        <w:t xml:space="preserve">qbar</w:t>
      </w:r>
      <w:r>
        <w:rPr>
          <w:bCs/>
          <w:b/>
        </w:rPr>
        <w:t xml:space="preserve">,</w:t>
      </w:r>
      <w:r>
        <w:rPr>
          <w:bCs/>
          <w:b/>
        </w:rPr>
        <w:t xml:space="preserve"> </w:t>
      </w:r>
      <w:r>
        <w:rPr>
          <w:rStyle w:val="VerbatimChar"/>
          <w:bCs/>
          <w:b/>
        </w:rPr>
        <w:t xml:space="preserve">ccc_cov</w:t>
      </w:r>
      <w:r>
        <w:rPr>
          <w:bCs/>
          <w:b/>
        </w:rPr>
        <w:t xml:space="preserve">).</w:t>
      </w:r>
      <w:r>
        <w:t xml:space="preserve"> </w:t>
      </w:r>
      <w:r>
        <w:t xml:space="preserve">CCC uses each asset’s GJR volatility and</w:t>
      </w:r>
      <w:r>
        <w:t xml:space="preserve"> </w:t>
      </w:r>
      <w:r>
        <w:rPr>
          <w:bCs/>
          <w:b/>
        </w:rPr>
        <w:t xml:space="preserve">one constant correlation matrix</w:t>
      </w:r>
      <w:r>
        <w:t xml:space="preserve"> </w:t>
      </w:r>
      <m:oMath>
        <m:acc>
          <m:accPr>
            <m:chr m:val="‾"/>
          </m:accPr>
          <m:e>
            <m:r>
              <m:t>R</m:t>
            </m:r>
          </m:e>
        </m:acc>
      </m:oMath>
      <w:r>
        <w:t xml:space="preserve">: the correlation of the standardised residuals.</w:t>
      </w:r>
      <w:r>
        <w:t xml:space="preserve"> </w:t>
      </w:r>
      <m:oMath>
        <m:sSub>
          <m:e>
            <m:r>
              <m:t>H</m:t>
            </m:r>
          </m:e>
          <m:sub>
            <m:r>
              <m:t>t</m:t>
            </m:r>
          </m:sub>
        </m:sSub>
        <m:r>
          <m:rPr>
            <m:sty m:val="p"/>
          </m:rPr>
          <m:t>=</m:t>
        </m:r>
        <m:sSub>
          <m:e>
            <m:r>
              <m:t>D</m:t>
            </m:r>
          </m:e>
          <m:sub>
            <m:r>
              <m:t>t</m:t>
            </m:r>
          </m:sub>
        </m:sSub>
        <m:acc>
          <m:accPr>
            <m:chr m:val="‾"/>
          </m:accPr>
          <m:e>
            <m:r>
              <m:t>R</m:t>
            </m:r>
          </m:e>
        </m:acc>
        <m:sSub>
          <m:e>
            <m:r>
              <m:t>D</m:t>
            </m:r>
          </m:e>
          <m:sub>
            <m:r>
              <m:t>t</m:t>
            </m:r>
          </m:sub>
        </m:sSub>
      </m:oMath>
      <w:r>
        <w:t xml:space="preserve">.</w:t>
      </w:r>
    </w:p>
    <w:p>
      <w:pPr>
        <w:pStyle w:val="BodyText"/>
      </w:pPr>
      <w:r>
        <w:rPr>
          <w:bCs/>
          <w:b/>
        </w:rPr>
        <w:t xml:space="preserve">How we checked it.</w:t>
      </w:r>
      <w:r>
        <w:t xml:space="preserve"> </w:t>
      </w:r>
      <m:oMath>
        <m:acc>
          <m:accPr>
            <m:chr m:val="‾"/>
          </m:accPr>
          <m:e>
            <m:r>
              <m:t>R</m:t>
            </m:r>
          </m:e>
        </m:acc>
      </m:oMath>
      <w:r>
        <w:t xml:space="preserve"> </w:t>
      </w:r>
      <w:r>
        <w:t xml:space="preserve">is a valid correlation matrix; the diagonal of every</w:t>
      </w:r>
      <w:r>
        <w:t xml:space="preserve"> </w:t>
      </w:r>
      <m:oMath>
        <m:sSub>
          <m:e>
            <m:r>
              <m:t>H</m:t>
            </m:r>
          </m:e>
          <m:sub>
            <m:r>
              <m:t>t</m:t>
            </m:r>
          </m:sub>
        </m:sSub>
      </m:oMath>
      <w:r>
        <w:t xml:space="preserve"> </w:t>
      </w:r>
      <w:r>
        <w:t xml:space="preserve">equals the GJR variances (1e-14); the correlations of every</w:t>
      </w:r>
      <w:r>
        <w:t xml:space="preserve"> </w:t>
      </w:r>
      <m:oMath>
        <m:sSub>
          <m:e>
            <m:r>
              <m:t>H</m:t>
            </m:r>
          </m:e>
          <m:sub>
            <m:r>
              <m:t>t</m:t>
            </m:r>
          </m:sub>
        </m:sSub>
      </m:oMath>
      <w:r>
        <w:t xml:space="preserve"> </w:t>
      </w:r>
      <w:r>
        <w:t xml:space="preserve">equal</w:t>
      </w:r>
      <w:r>
        <w:t xml:space="preserve"> </w:t>
      </w:r>
      <m:oMath>
        <m:acc>
          <m:accPr>
            <m:chr m:val="‾"/>
          </m:accPr>
          <m:e>
            <m:r>
              <m:t>R</m:t>
            </m:r>
          </m:e>
        </m:acc>
      </m:oMath>
      <w:r>
        <w:t xml:space="preserve"> </w:t>
      </w:r>
      <w:r>
        <w:t xml:space="preserve">(4e-16).</w:t>
      </w:r>
    </w:p>
    <w:p>
      <w:pPr>
        <w:pStyle w:val="BodyText"/>
      </w:pPr>
      <w:r>
        <w:rPr>
          <w:bCs/>
          <w:b/>
        </w:rPr>
        <w:t xml:space="preserve">What we found.</w:t>
      </w:r>
      <w:r>
        <w:t xml:space="preserve"> </w:t>
      </w:r>
      <w:r>
        <w:t xml:space="preserve">The residual correlations are slightly lower than the raw ones for equity pairs and less negative for stock–Bund (by about 0.02–0.04):</w:t>
      </w:r>
      <w:r>
        <w:t xml:space="preserve"> </w:t>
      </w:r>
      <w:r>
        <w:rPr>
          <w:bCs/>
          <w:b/>
        </w:rPr>
        <w:t xml:space="preserve">part of what looks like correlation in crises is really volatility</w:t>
      </w:r>
      <w:r>
        <w:t xml:space="preserve"> </w:t>
      </w:r>
      <w:r>
        <w:t xml:space="preserve">— when everything moves a lot, everything seems more related. But CCC’s stock–Bund correlation is</w:t>
      </w:r>
      <w:r>
        <w:t xml:space="preserve"> </w:t>
      </w:r>
      <w:r>
        <w:rPr>
          <w:bCs/>
          <w:b/>
        </w:rPr>
        <w:t xml:space="preserve">−0.24 on every day</w:t>
      </w:r>
      <w:r>
        <w:t xml:space="preserve">, in 2011 (real −0.70) and in 2026 (real +0.62).</w:t>
      </w:r>
    </w:p>
    <w:bookmarkEnd w:id="45"/>
    <w:bookmarkEnd w:id="46"/>
    <w:bookmarkStart w:id="53" w:name="Xac74b47b6d7179b2ed05ee2eef764482f0af57a"/>
    <w:p>
      <w:pPr>
        <w:pStyle w:val="Heading2"/>
      </w:pPr>
      <w:r>
        <w:t xml:space="preserve">Step 5 – DCC: dynamic conditional correlation</w:t>
      </w:r>
    </w:p>
    <w:bookmarkStart w:id="47" w:name="the-recursion"/>
    <w:p>
      <w:pPr>
        <w:pStyle w:val="Heading3"/>
      </w:pPr>
      <w:r>
        <w:t xml:space="preserve">5.1 The recursion</w:t>
      </w:r>
    </w:p>
    <w:p>
      <w:pPr>
        <w:pStyle w:val="FirstParagraph"/>
      </w:pPr>
      <w:r>
        <w:rPr>
          <w:bCs/>
          <w:b/>
        </w:rPr>
        <w:t xml:space="preserve">What we did (</w:t>
      </w:r>
      <w:r>
        <w:rPr>
          <w:rStyle w:val="VerbatimChar"/>
          <w:bCs/>
          <w:b/>
        </w:rPr>
        <w:t xml:space="preserve">dcc_correlations</w:t>
      </w:r>
      <w:r>
        <w:rPr>
          <w:bCs/>
          <w:b/>
        </w:rPr>
        <w:t xml:space="preserve">).</w:t>
      </w:r>
      <w:r>
        <w:t xml:space="preserve"> </w:t>
      </w:r>
      <w:r>
        <w:t xml:space="preserve">Equations 10–11:</w:t>
      </w:r>
      <w:r>
        <w:t xml:space="preserve"> </w:t>
      </w:r>
      <m:oMath>
        <m:sSub>
          <m:e>
            <m:r>
              <m:t>Q</m:t>
            </m:r>
          </m:e>
          <m:sub>
            <m:r>
              <m:t>t</m:t>
            </m:r>
          </m:sub>
        </m:sSub>
        <m:r>
          <m:rPr>
            <m:sty m:val="p"/>
          </m:rPr>
          <m:t>=</m:t>
        </m:r>
        <m:d>
          <m:dPr>
            <m:begChr m:val="("/>
            <m:sepChr m:val=""/>
            <m:endChr m:val=")"/>
            <m:grow/>
          </m:dPr>
          <m:e>
            <m:r>
              <m:t>1</m:t>
            </m:r>
            <m:r>
              <m:rPr>
                <m:sty m:val="p"/>
              </m:rPr>
              <m:t>−</m:t>
            </m:r>
            <m:r>
              <m:t>a</m:t>
            </m:r>
            <m:r>
              <m:rPr>
                <m:sty m:val="p"/>
              </m:rPr>
              <m:t>−</m:t>
            </m:r>
            <m:r>
              <m:t>b</m:t>
            </m:r>
          </m:e>
        </m:d>
        <m:acc>
          <m:accPr>
            <m:chr m:val="‾"/>
          </m:accPr>
          <m:e>
            <m:r>
              <m:t>Q</m:t>
            </m:r>
          </m:e>
        </m:acc>
        <m:r>
          <m:rPr>
            <m:sty m:val="p"/>
          </m:rPr>
          <m:t>+</m:t>
        </m:r>
        <m:r>
          <m:t>a</m:t>
        </m:r>
        <m:r>
          <m:t> </m:t>
        </m:r>
        <m:sSub>
          <m:e>
            <m:r>
              <m:rPr>
                <m:sty m:val="b"/>
              </m:rPr>
              <m:t>ε</m:t>
            </m:r>
          </m:e>
          <m:sub>
            <m:r>
              <m:t>t</m:t>
            </m:r>
            <m:r>
              <m:rPr>
                <m:sty m:val="p"/>
              </m:rPr>
              <m:t>−</m:t>
            </m:r>
            <m:r>
              <m:t>1</m:t>
            </m:r>
          </m:sub>
        </m:sSub>
        <m:sSub>
          <m:e>
            <m:r>
              <m:rPr>
                <m:sty m:val="b"/>
              </m:rPr>
              <m:t>ε</m:t>
            </m:r>
          </m:e>
          <m:sub>
            <m:r>
              <m:t>t</m:t>
            </m:r>
            <m:r>
              <m:rPr>
                <m:sty m:val="p"/>
              </m:rPr>
              <m:t>−</m:t>
            </m:r>
            <m:r>
              <m:t>1</m:t>
            </m:r>
          </m:sub>
        </m:sSub>
        <m:r>
          <m:rPr>
            <m:sty m:val="p"/>
          </m:rPr>
          <m:t>′</m:t>
        </m:r>
        <m:r>
          <m:rPr>
            <m:sty m:val="p"/>
          </m:rPr>
          <m:t>+</m:t>
        </m:r>
        <m:r>
          <m:t>b</m:t>
        </m:r>
        <m:r>
          <m:t> </m:t>
        </m:r>
        <m:sSub>
          <m:e>
            <m:r>
              <m:t>Q</m:t>
            </m:r>
          </m:e>
          <m:sub>
            <m:r>
              <m:t>t</m:t>
            </m:r>
            <m:r>
              <m:rPr>
                <m:sty m:val="p"/>
              </m:rPr>
              <m:t>−</m:t>
            </m:r>
            <m:r>
              <m:t>1</m:t>
            </m:r>
          </m:sub>
        </m:sSub>
      </m:oMath>
      <w:r>
        <w:t xml:space="preserve">, rescaled to an exact correlation matrix</w:t>
      </w:r>
      <w:r>
        <w:t xml:space="preserve"> </w:t>
      </w:r>
      <m:oMath>
        <m:sSub>
          <m:e>
            <m:r>
              <m:t>R</m:t>
            </m:r>
          </m:e>
          <m:sub>
            <m:r>
              <m:t>t</m:t>
            </m:r>
          </m:sub>
        </m:sSub>
      </m:oMath>
      <w:r>
        <w:t xml:space="preserve">.</w:t>
      </w:r>
    </w:p>
    <w:p>
      <w:pPr>
        <w:pStyle w:val="BodyText"/>
      </w:pPr>
      <w:r>
        <w:rPr>
          <w:bCs/>
          <w:b/>
        </w:rPr>
        <w:t xml:space="preserve">How we checked it.</w:t>
      </w:r>
    </w:p>
    <w:p>
      <w:pPr>
        <w:numPr>
          <w:ilvl w:val="0"/>
          <w:numId w:val="1010"/>
        </w:numPr>
        <w:pStyle w:val="Compact"/>
      </w:pPr>
      <w:r>
        <w:t xml:space="preserve">The theory-note example: after a joint crash day (shocks −3 and −2.5), the correlation rises from 0.50 to</w:t>
      </w:r>
      <w:r>
        <w:t xml:space="preserve"> </w:t>
      </w:r>
      <w:r>
        <w:rPr>
          <w:bCs/>
          <w:b/>
        </w:rPr>
        <w:t xml:space="preserve">0.639</w:t>
      </w:r>
      <w:r>
        <w:t xml:space="preserve">, exactly.</w:t>
      </w:r>
    </w:p>
    <w:p>
      <w:pPr>
        <w:numPr>
          <w:ilvl w:val="0"/>
          <w:numId w:val="1010"/>
        </w:numPr>
        <w:pStyle w:val="Compact"/>
      </w:pPr>
      <w:r>
        <w:t xml:space="preserve">With</w:t>
      </w:r>
      <w:r>
        <w:t xml:space="preserve"> </w:t>
      </w:r>
      <m:oMath>
        <m:r>
          <m:t>a</m:t>
        </m:r>
        <m:r>
          <m:rPr>
            <m:sty m:val="p"/>
          </m:rPr>
          <m:t>=</m:t>
        </m:r>
        <m:r>
          <m:t>b</m:t>
        </m:r>
        <m:r>
          <m:rPr>
            <m:sty m:val="p"/>
          </m:rPr>
          <m:t>=</m:t>
        </m:r>
        <m:r>
          <m:t>0</m:t>
        </m:r>
      </m:oMath>
      <w:r>
        <w:t xml:space="preserve">, DCC equals CCC</w:t>
      </w:r>
      <w:r>
        <w:t xml:space="preserve"> </w:t>
      </w:r>
      <w:r>
        <w:rPr>
          <w:bCs/>
          <w:b/>
        </w:rPr>
        <w:t xml:space="preserve">exactly</w:t>
      </w:r>
      <w:r>
        <w:t xml:space="preserve"> </w:t>
      </w:r>
      <w:r>
        <w:t xml:space="preserve">(CCC is nested in DCC).</w:t>
      </w:r>
    </w:p>
    <w:p>
      <w:pPr>
        <w:numPr>
          <w:ilvl w:val="0"/>
          <w:numId w:val="1010"/>
        </w:numPr>
        <w:pStyle w:val="Compact"/>
      </w:pPr>
      <w:r>
        <w:t xml:space="preserve">Every</w:t>
      </w:r>
      <w:r>
        <w:t xml:space="preserve"> </w:t>
      </w:r>
      <m:oMath>
        <m:sSub>
          <m:e>
            <m:r>
              <m:t>R</m:t>
            </m:r>
          </m:e>
          <m:sub>
            <m:r>
              <m:t>t</m:t>
            </m:r>
          </m:sub>
        </m:sSub>
      </m:oMath>
      <w:r>
        <w:t xml:space="preserve"> </w:t>
      </w:r>
      <w:r>
        <w:t xml:space="preserve">is a valid correlation matrix on our data.</w:t>
      </w:r>
    </w:p>
    <w:bookmarkEnd w:id="47"/>
    <w:bookmarkStart w:id="48" w:name="likelihood-and-estimation"/>
    <w:p>
      <w:pPr>
        <w:pStyle w:val="Heading3"/>
      </w:pPr>
      <w:r>
        <w:t xml:space="preserve">5.2 Likelihood and estimation</w:t>
      </w:r>
    </w:p>
    <w:p>
      <w:pPr>
        <w:pStyle w:val="FirstParagraph"/>
      </w:pPr>
      <w:r>
        <w:rPr>
          <w:bCs/>
          <w:b/>
        </w:rPr>
        <w:t xml:space="preserve">What we did (</w:t>
      </w:r>
      <w:r>
        <w:rPr>
          <w:rStyle w:val="VerbatimChar"/>
          <w:bCs/>
          <w:b/>
        </w:rPr>
        <w:t xml:space="preserve">dcc_loglik</w:t>
      </w:r>
      <w:r>
        <w:rPr>
          <w:bCs/>
          <w:b/>
        </w:rPr>
        <w:t xml:space="preserve">,</w:t>
      </w:r>
      <w:r>
        <w:rPr>
          <w:bCs/>
          <w:b/>
        </w:rPr>
        <w:t xml:space="preserve"> </w:t>
      </w:r>
      <w:r>
        <w:rPr>
          <w:rStyle w:val="VerbatimChar"/>
          <w:bCs/>
          <w:b/>
        </w:rPr>
        <w:t xml:space="preserve">fit_dcc</w:t>
      </w:r>
      <w:r>
        <w:rPr>
          <w:bCs/>
          <w:b/>
        </w:rPr>
        <w:t xml:space="preserve">).</w:t>
      </w:r>
      <w:r>
        <w:t xml:space="preserve"> </w:t>
      </w:r>
      <w:r>
        <w:t xml:space="preserve">The second step of the two-step estimation maximises the correlation part of the Gaussian log-likelihood,</w:t>
      </w:r>
      <w:r>
        <w:t xml:space="preserve"> </w:t>
      </w:r>
      <m:oMath>
        <m:sSub>
          <m:e>
            <m:r>
              <m:rPr>
                <m:sty m:val="p"/>
              </m:rPr>
              <m:t>ℓ</m:t>
            </m:r>
          </m:e>
          <m:sub>
            <m:r>
              <m:t>C</m:t>
            </m:r>
          </m:sub>
        </m:sSub>
        <m:r>
          <m:rPr>
            <m:sty m:val="p"/>
          </m:rPr>
          <m:t>=</m:t>
        </m:r>
        <m:r>
          <m:rPr>
            <m:sty m:val="p"/>
          </m:rPr>
          <m:t>−</m:t>
        </m:r>
        <m:f>
          <m:fPr>
            <m:type m:val="bar"/>
          </m:fPr>
          <m:num>
            <m:r>
              <m:t>1</m:t>
            </m:r>
          </m:num>
          <m:den>
            <m:r>
              <m:t>2</m:t>
            </m:r>
          </m:den>
        </m:f>
        <m:nary>
          <m:naryPr>
            <m:chr m:val="∑"/>
            <m:limLoc m:val="undOvr"/>
            <m:subHide m:val="off"/>
            <m:supHide m:val="on"/>
          </m:naryPr>
          <m:sub>
            <m:r>
              <m:t>t</m:t>
            </m:r>
          </m:sub>
          <m:sup>
            <m:r>
              <m:t>​</m:t>
            </m:r>
          </m:sup>
          <m:e>
            <m:d>
              <m:dPr>
                <m:begChr m:val="["/>
                <m:sepChr m:val=""/>
                <m:endChr m:val="]"/>
                <m:grow/>
              </m:dPr>
              <m:e>
                <m:r>
                  <m:rPr>
                    <m:sty m:val="p"/>
                  </m:rPr>
                  <m:t>ln</m:t>
                </m:r>
                <m:d>
                  <m:dPr>
                    <m:begChr m:val="|"/>
                    <m:sepChr m:val=""/>
                    <m:endChr m:val="|"/>
                    <m:grow/>
                  </m:dPr>
                  <m:e>
                    <m:sSub>
                      <m:e>
                        <m:r>
                          <m:t>R</m:t>
                        </m:r>
                      </m:e>
                      <m:sub>
                        <m:r>
                          <m:t>t</m:t>
                        </m:r>
                      </m:sub>
                    </m:sSub>
                  </m:e>
                </m:d>
                <m:r>
                  <m:rPr>
                    <m:sty m:val="p"/>
                  </m:rPr>
                  <m:t>+</m:t>
                </m:r>
                <m:sSub>
                  <m:e>
                    <m:r>
                      <m:rPr>
                        <m:sty m:val="b"/>
                      </m:rPr>
                      <m:t>ε</m:t>
                    </m:r>
                  </m:e>
                  <m:sub>
                    <m:r>
                      <m:t>t</m:t>
                    </m:r>
                  </m:sub>
                </m:sSub>
                <m:r>
                  <m:rPr>
                    <m:sty m:val="p"/>
                  </m:rPr>
                  <m:t>′</m:t>
                </m:r>
                <m:sSubSup>
                  <m:e>
                    <m:r>
                      <m:t>R</m:t>
                    </m:r>
                  </m:e>
                  <m:sub>
                    <m:r>
                      <m:t>t</m:t>
                    </m:r>
                  </m:sub>
                  <m:sup>
                    <m:r>
                      <m:rPr>
                        <m:sty m:val="p"/>
                      </m:rPr>
                      <m:t>−</m:t>
                    </m:r>
                    <m:r>
                      <m:t>1</m:t>
                    </m:r>
                  </m:sup>
                </m:sSubSup>
                <m:sSub>
                  <m:e>
                    <m:r>
                      <m:rPr>
                        <m:sty m:val="b"/>
                      </m:rPr>
                      <m:t>ε</m:t>
                    </m:r>
                  </m:e>
                  <m:sub>
                    <m:r>
                      <m:t>t</m:t>
                    </m:r>
                  </m:sub>
                </m:sSub>
                <m:r>
                  <m:rPr>
                    <m:sty m:val="p"/>
                  </m:rPr>
                  <m:t>−</m:t>
                </m:r>
                <m:sSub>
                  <m:e>
                    <m:r>
                      <m:rPr>
                        <m:sty m:val="b"/>
                      </m:rPr>
                      <m:t>ε</m:t>
                    </m:r>
                  </m:e>
                  <m:sub>
                    <m:r>
                      <m:t>t</m:t>
                    </m:r>
                  </m:sub>
                </m:sSub>
                <m:r>
                  <m:rPr>
                    <m:sty m:val="p"/>
                  </m:rPr>
                  <m:t>′</m:t>
                </m:r>
                <m:sSub>
                  <m:e>
                    <m:r>
                      <m:rPr>
                        <m:sty m:val="b"/>
                      </m:rPr>
                      <m:t>ε</m:t>
                    </m:r>
                  </m:e>
                  <m:sub>
                    <m:r>
                      <m:t>t</m:t>
                    </m:r>
                  </m:sub>
                </m:sSub>
              </m:e>
            </m:d>
          </m:e>
        </m:nary>
      </m:oMath>
      <w:r>
        <w:t xml:space="preserve">, over</w:t>
      </w:r>
      <w:r>
        <w:t xml:space="preserve"> </w:t>
      </w:r>
      <m:oMath>
        <m:d>
          <m:dPr>
            <m:begChr m:val="("/>
            <m:sepChr m:val=""/>
            <m:endChr m:val=")"/>
            <m:grow/>
          </m:dPr>
          <m:e>
            <m:r>
              <m:t>a</m:t>
            </m:r>
            <m:r>
              <m:rPr>
                <m:sty m:val="p"/>
              </m:rPr>
              <m:t>,</m:t>
            </m:r>
            <m:r>
              <m:t>b</m:t>
            </m:r>
          </m:e>
        </m:d>
      </m:oMath>
      <w:r>
        <w:t xml:space="preserve">.</w:t>
      </w:r>
    </w:p>
    <w:p>
      <w:pPr>
        <w:pStyle w:val="BodyText"/>
      </w:pPr>
      <w:r>
        <w:rPr>
          <w:bCs/>
          <w:b/>
        </w:rPr>
        <w:t xml:space="preserve">How we checked it.</w:t>
      </w:r>
    </w:p>
    <w:p>
      <w:pPr>
        <w:numPr>
          <w:ilvl w:val="0"/>
          <w:numId w:val="1011"/>
        </w:numPr>
        <w:pStyle w:val="Compact"/>
      </w:pPr>
      <w:r>
        <w:t xml:space="preserve">Our likelihood equals scipy’s multivariate normal log-density, up to a known constant, to 6 decimals.</w:t>
      </w:r>
    </w:p>
    <w:p>
      <w:pPr>
        <w:numPr>
          <w:ilvl w:val="0"/>
          <w:numId w:val="1011"/>
        </w:numPr>
        <w:pStyle w:val="Compact"/>
      </w:pPr>
      <w:r>
        <w:rPr>
          <w:bCs/>
          <w:b/>
        </w:rPr>
        <w:t xml:space="preserve">Simulation:</w:t>
      </w:r>
      <w:r>
        <w:t xml:space="preserve"> </w:t>
      </w:r>
      <w:r>
        <w:t xml:space="preserve">on DCC data generated with</w:t>
      </w:r>
      <w:r>
        <w:t xml:space="preserve"> </w:t>
      </w:r>
      <m:oMath>
        <m:r>
          <m:t>a</m:t>
        </m:r>
        <m:r>
          <m:rPr>
            <m:sty m:val="p"/>
          </m:rPr>
          <m:t>=</m:t>
        </m:r>
        <m:r>
          <m:t>0.05</m:t>
        </m:r>
      </m:oMath>
      <w:r>
        <w:t xml:space="preserve">,</w:t>
      </w:r>
      <w:r>
        <w:t xml:space="preserve"> </w:t>
      </w:r>
      <m:oMath>
        <m:r>
          <m:t>b</m:t>
        </m:r>
        <m:r>
          <m:rPr>
            <m:sty m:val="p"/>
          </m:rPr>
          <m:t>=</m:t>
        </m:r>
        <m:r>
          <m:t>0.93</m:t>
        </m:r>
      </m:oMath>
      <w:r>
        <w:t xml:space="preserve">, the estimation recovers</w:t>
      </w:r>
      <w:r>
        <w:t xml:space="preserve"> </w:t>
      </w:r>
      <w:r>
        <w:rPr>
          <w:bCs/>
          <w:b/>
        </w:rPr>
        <w:t xml:space="preserve">0.052 and 0.928</w:t>
      </w:r>
      <w:r>
        <w:t xml:space="preserve">.</w:t>
      </w:r>
    </w:p>
    <w:bookmarkEnd w:id="48"/>
    <w:bookmarkStart w:id="52" w:name="results-on-the-five-assets"/>
    <w:p>
      <w:pPr>
        <w:pStyle w:val="Heading3"/>
      </w:pPr>
      <w:r>
        <w:t xml:space="preserve">5.3 Results on the five assets</w:t>
      </w:r>
    </w:p>
    <w:p>
      <w:pPr>
        <w:pStyle w:val="FirstParagraph"/>
      </w:pPr>
      <w:r>
        <w:rPr>
          <w:bCs/>
          <w:b/>
        </w:rPr>
        <w:t xml:space="preserve">What we found (full sample, 2008–2026).</w:t>
      </w:r>
    </w:p>
    <w:p>
      <w:pPr>
        <w:numPr>
          <w:ilvl w:val="0"/>
          <w:numId w:val="1012"/>
        </w:numPr>
        <w:pStyle w:val="Compact"/>
      </w:pPr>
      <w:r>
        <w:rPr>
          <w:bCs/>
          <w:b/>
        </w:rPr>
        <w:t xml:space="preserve">a = 0.031, b = 0.945, half-life of a correlation shock 28 days.</w:t>
      </w:r>
      <w:r>
        <w:t xml:space="preserve"> </w:t>
      </w:r>
      <w:r>
        <w:t xml:space="preserve">The data ask for slower, mean-reverting correlation dynamics than RiskMetrics (11 days, no long-run level).</w:t>
      </w:r>
    </w:p>
    <w:p>
      <w:pPr>
        <w:numPr>
          <w:ilvl w:val="0"/>
          <w:numId w:val="1012"/>
        </w:numPr>
        <w:pStyle w:val="Compact"/>
      </w:pPr>
      <w:r>
        <w:rPr>
          <w:bCs/>
          <w:b/>
        </w:rPr>
        <w:t xml:space="preserve">Correlations are not constant: LR = 888.8</w:t>
      </w:r>
      <w:r>
        <w:t xml:space="preserve"> </w:t>
      </w:r>
      <w:r>
        <w:t xml:space="preserve">(log-likelihood 5,229.8 for DCC vs 4,785.4 for CCC), p ≈ 10⁻¹⁹³. Two extra parameters improve the fit by 444 log-points.</w:t>
      </w:r>
    </w:p>
    <w:p>
      <w:pPr>
        <w:pStyle w:val="CaptionedFigure"/>
      </w:pPr>
      <w:r>
        <w:drawing>
          <wp:inline>
            <wp:extent cx="5334000" cy="1975555"/>
            <wp:effectExtent b="0" l="0" r="0" t="0"/>
            <wp:docPr descr="DCC vs CCC vs rolling" title="" id="50" name="Picture"/>
            <a:graphic>
              <a:graphicData uri="http://schemas.openxmlformats.org/drawingml/2006/picture">
                <pic:pic>
                  <pic:nvPicPr>
                    <pic:cNvPr descr="fig4/corr_stock_bond_dcc.png" id="51" name="Picture"/>
                    <pic:cNvPicPr>
                      <a:picLocks noChangeArrowheads="1" noChangeAspect="1"/>
                    </pic:cNvPicPr>
                  </pic:nvPicPr>
                  <pic:blipFill>
                    <a:blip r:embed="rId49"/>
                    <a:stretch>
                      <a:fillRect/>
                    </a:stretch>
                  </pic:blipFill>
                  <pic:spPr bwMode="auto">
                    <a:xfrm>
                      <a:off x="0" y="0"/>
                      <a:ext cx="5334000" cy="1975555"/>
                    </a:xfrm>
                    <a:prstGeom prst="rect">
                      <a:avLst/>
                    </a:prstGeom>
                    <a:noFill/>
                    <a:ln w="9525">
                      <a:noFill/>
                      <a:headEnd/>
                      <a:tailEnd/>
                    </a:ln>
                  </pic:spPr>
                </pic:pic>
              </a:graphicData>
            </a:graphic>
          </wp:inline>
        </w:drawing>
      </w:r>
    </w:p>
    <w:p>
      <w:pPr>
        <w:pStyle w:val="ImageCaption"/>
      </w:pPr>
      <w:r>
        <w:t xml:space="preserve">DCC vs CCC vs rolling</w:t>
      </w:r>
    </w:p>
    <w:p>
      <w:pPr>
        <w:numPr>
          <w:ilvl w:val="0"/>
          <w:numId w:val="1013"/>
        </w:numPr>
        <w:pStyle w:val="Compact"/>
      </w:pPr>
      <w:r>
        <w:t xml:space="preserve">DCC’s stock–bond correlation goes from</w:t>
      </w:r>
      <w:r>
        <w:t xml:space="preserve"> </w:t>
      </w:r>
      <w:r>
        <w:rPr>
          <w:bCs/>
          <w:b/>
        </w:rPr>
        <w:t xml:space="preserve">−0.70 (November 2011)</w:t>
      </w:r>
      <w:r>
        <w:t xml:space="preserve"> </w:t>
      </w:r>
      <w:r>
        <w:t xml:space="preserve">to</w:t>
      </w:r>
      <w:r>
        <w:t xml:space="preserve"> </w:t>
      </w:r>
      <w:r>
        <w:rPr>
          <w:bCs/>
          <w:b/>
        </w:rPr>
        <w:t xml:space="preserve">+0.44 (9 April 2026)</w:t>
      </w:r>
      <w:r>
        <w:t xml:space="preserve">, with half of EWMA’s noise (0.018 a day) and no ghost effects.</w:t>
      </w:r>
    </w:p>
    <w:p>
      <w:pPr>
        <w:numPr>
          <w:ilvl w:val="0"/>
          <w:numId w:val="1013"/>
        </w:numPr>
        <w:pStyle w:val="Compact"/>
      </w:pPr>
      <w:r>
        <w:rPr>
          <w:bCs/>
          <w:b/>
        </w:rPr>
        <w:t xml:space="preserve">But DCC is</w:t>
      </w:r>
      <w:r>
        <w:rPr>
          <w:bCs/>
          <w:b/>
        </w:rPr>
        <w:t xml:space="preserve"> </w:t>
      </w:r>
      <w:r>
        <w:rPr>
          <w:bCs/>
          <w:b/>
        </w:rPr>
        <w:t xml:space="preserve">“</w:t>
      </w:r>
      <w:r>
        <w:rPr>
          <w:bCs/>
          <w:b/>
        </w:rPr>
        <w:t xml:space="preserve">muted</w:t>
      </w:r>
      <w:r>
        <w:rPr>
          <w:bCs/>
          <w:b/>
        </w:rPr>
        <w:t xml:space="preserve">”</w:t>
      </w:r>
      <w:r>
        <w:rPr>
          <w:bCs/>
          <w:b/>
        </w:rPr>
        <w:t xml:space="preserve">:</w:t>
      </w:r>
      <w:r>
        <w:t xml:space="preserve"> </w:t>
      </w:r>
      <w:r>
        <w:t xml:space="preserve">in 2026 it peaks at +0.44 while the 60-day window reaches +0.79, and by October it is back near 0. Two reasons: it always pulls correlations back towards their long-run level (−0.24), and one</w:t>
      </w:r>
      <w:r>
        <w:t xml:space="preserve"> </w:t>
      </w:r>
      <m:oMath>
        <m:d>
          <m:dPr>
            <m:begChr m:val="("/>
            <m:sepChr m:val=""/>
            <m:endChr m:val=")"/>
            <m:grow/>
          </m:dPr>
          <m:e>
            <m:r>
              <m:t>a</m:t>
            </m:r>
            <m:r>
              <m:rPr>
                <m:sty m:val="p"/>
              </m:rPr>
              <m:t>,</m:t>
            </m:r>
            <m:r>
              <m:t>b</m:t>
            </m:r>
          </m:e>
        </m:d>
      </m:oMath>
      <w:r>
        <w:t xml:space="preserve"> </w:t>
      </w:r>
      <w:r>
        <w:t xml:space="preserve">must fit all 10 pairs, including CAC–DAX, which barely moves.</w:t>
      </w:r>
    </w:p>
    <w:p>
      <w:pPr>
        <w:pStyle w:val="FirstParagraph"/>
      </w:pPr>
      <w:r>
        <w:rPr>
          <w:bCs/>
          <w:b/>
        </w:rPr>
        <w:t xml:space="preserve">In plain words.</w:t>
      </w:r>
      <w:r>
        <w:t xml:space="preserve"> </w:t>
      </w:r>
      <w:r>
        <w:t xml:space="preserve">DCC sees a regime change quickly but doesn’t believe it will last.</w:t>
      </w:r>
    </w:p>
    <w:bookmarkEnd w:id="52"/>
    <w:bookmarkEnd w:id="53"/>
    <w:bookmarkStart w:id="54" w:name="X708d2bf508dcf063294f62f50591a3f44dce4d0"/>
    <w:p>
      <w:pPr>
        <w:pStyle w:val="Heading2"/>
      </w:pPr>
      <w:r>
        <w:t xml:space="preserve">Step 6 – Correlations and portfolio risk in crises (in-sample)</w:t>
      </w:r>
    </w:p>
    <w:p>
      <w:pPr>
        <w:pStyle w:val="FirstParagraph"/>
      </w:pPr>
      <w:r>
        <w:rPr>
          <w:bCs/>
          <w:b/>
        </w:rPr>
        <w:t xml:space="preserve">What we did (</w:t>
      </w:r>
      <w:r>
        <w:rPr>
          <w:rStyle w:val="VerbatimChar"/>
          <w:bCs/>
          <w:b/>
        </w:rPr>
        <w:t xml:space="preserve">dcc_cov</w:t>
      </w:r>
      <w:r>
        <w:rPr>
          <w:bCs/>
          <w:b/>
        </w:rPr>
        <w:t xml:space="preserve">).</w:t>
      </w:r>
      <w:r>
        <w:t xml:space="preserve"> </w:t>
      </w:r>
      <w:r>
        <w:t xml:space="preserve">Averaged the DCC correlations and the forecast portfolio volatilities (DCC and CCC) over calm days and five stress periods, and compared them with the realised volatility.</w:t>
      </w:r>
    </w:p>
    <w:p>
      <w:pPr>
        <w:pStyle w:val="BodyText"/>
      </w:pPr>
      <w:r>
        <w:rPr>
          <w:bCs/>
          <w:b/>
        </w:rPr>
        <w:t xml:space="preserve">What we found.</w:t>
      </w:r>
    </w:p>
    <w:tbl>
      <w:tblPr>
        <w:tblStyle w:val="Table"/>
        <w:tblW w:type="pct" w:w="5000"/>
        <w:jc w:val="lef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Average DCC correlation</w:t>
            </w:r>
          </w:p>
        </w:tc>
        <w:tc>
          <w:tcPr/>
          <w:p>
            <w:pPr>
              <w:pStyle w:val="Compact"/>
              <w:jc w:val="left"/>
            </w:pPr>
            <w:r>
              <w:t xml:space="preserve">Calm</w:t>
            </w:r>
          </w:p>
        </w:tc>
        <w:tc>
          <w:tcPr/>
          <w:p>
            <w:pPr>
              <w:pStyle w:val="Compact"/>
              <w:jc w:val="left"/>
            </w:pPr>
            <w:r>
              <w:t xml:space="preserve">GFC</w:t>
            </w:r>
          </w:p>
        </w:tc>
        <w:tc>
          <w:tcPr/>
          <w:p>
            <w:pPr>
              <w:pStyle w:val="Compact"/>
              <w:jc w:val="left"/>
            </w:pPr>
            <w:r>
              <w:t xml:space="preserve">Euro crisis</w:t>
            </w:r>
          </w:p>
        </w:tc>
        <w:tc>
          <w:tcPr/>
          <w:p>
            <w:pPr>
              <w:pStyle w:val="Compact"/>
              <w:jc w:val="left"/>
            </w:pPr>
            <w:r>
              <w:t xml:space="preserve">Covid</w:t>
            </w:r>
          </w:p>
        </w:tc>
        <w:tc>
          <w:tcPr/>
          <w:p>
            <w:pPr>
              <w:pStyle w:val="Compact"/>
              <w:jc w:val="left"/>
            </w:pPr>
            <w:r>
              <w:t xml:space="preserve">2022</w:t>
            </w:r>
          </w:p>
        </w:tc>
        <w:tc>
          <w:tcPr/>
          <w:p>
            <w:pPr>
              <w:pStyle w:val="Compact"/>
              <w:jc w:val="left"/>
            </w:pPr>
            <w:r>
              <w:t xml:space="preserve">2026</w:t>
            </w:r>
          </w:p>
        </w:tc>
      </w:tr>
      <w:tr>
        <w:tc>
          <w:tcPr/>
          <w:p>
            <w:pPr>
              <w:pStyle w:val="Compact"/>
              <w:jc w:val="left"/>
            </w:pPr>
            <w:r>
              <w:t xml:space="preserve">CAC–S&amp;P</w:t>
            </w:r>
          </w:p>
        </w:tc>
        <w:tc>
          <w:tcPr/>
          <w:p>
            <w:pPr>
              <w:pStyle w:val="Compact"/>
              <w:jc w:val="left"/>
            </w:pPr>
            <w:r>
              <w:t xml:space="preserve">0.45</w:t>
            </w:r>
          </w:p>
        </w:tc>
        <w:tc>
          <w:tcPr/>
          <w:p>
            <w:pPr>
              <w:pStyle w:val="Compact"/>
              <w:jc w:val="left"/>
            </w:pPr>
            <w:r>
              <w:t xml:space="preserve">0.49</w:t>
            </w:r>
          </w:p>
        </w:tc>
        <w:tc>
          <w:tcPr/>
          <w:p>
            <w:pPr>
              <w:pStyle w:val="Compact"/>
              <w:jc w:val="left"/>
            </w:pPr>
            <w:r>
              <w:t xml:space="preserve">0.46</w:t>
            </w:r>
          </w:p>
        </w:tc>
        <w:tc>
          <w:tcPr/>
          <w:p>
            <w:pPr>
              <w:pStyle w:val="Compact"/>
              <w:jc w:val="left"/>
            </w:pPr>
            <w:r>
              <w:rPr>
                <w:bCs/>
                <w:b/>
              </w:rPr>
              <w:t xml:space="preserve">0.64</w:t>
            </w:r>
          </w:p>
        </w:tc>
        <w:tc>
          <w:tcPr/>
          <w:p>
            <w:pPr>
              <w:pStyle w:val="Compact"/>
              <w:jc w:val="left"/>
            </w:pPr>
            <w:r>
              <w:t xml:space="preserve">0.41</w:t>
            </w:r>
          </w:p>
        </w:tc>
        <w:tc>
          <w:tcPr/>
          <w:p>
            <w:pPr>
              <w:pStyle w:val="Compact"/>
              <w:jc w:val="left"/>
            </w:pPr>
            <w:r>
              <w:t xml:space="preserve">0.38</w:t>
            </w:r>
          </w:p>
        </w:tc>
      </w:tr>
      <w:tr>
        <w:tc>
          <w:tcPr/>
          <w:p>
            <w:pPr>
              <w:pStyle w:val="Compact"/>
              <w:jc w:val="left"/>
            </w:pPr>
            <w:r>
              <w:t xml:space="preserve">CAC–Bund</w:t>
            </w:r>
          </w:p>
        </w:tc>
        <w:tc>
          <w:tcPr/>
          <w:p>
            <w:pPr>
              <w:pStyle w:val="Compact"/>
              <w:jc w:val="left"/>
            </w:pPr>
            <w:r>
              <w:t xml:space="preserve">−0.25</w:t>
            </w:r>
          </w:p>
        </w:tc>
        <w:tc>
          <w:tcPr/>
          <w:p>
            <w:pPr>
              <w:pStyle w:val="Compact"/>
              <w:jc w:val="left"/>
            </w:pPr>
            <w:r>
              <w:t xml:space="preserve">−0.38</w:t>
            </w:r>
          </w:p>
        </w:tc>
        <w:tc>
          <w:tcPr/>
          <w:p>
            <w:pPr>
              <w:pStyle w:val="Compact"/>
              <w:jc w:val="left"/>
            </w:pPr>
            <w:r>
              <w:rPr>
                <w:bCs/>
                <w:b/>
              </w:rPr>
              <w:t xml:space="preserve">−0.57</w:t>
            </w:r>
          </w:p>
        </w:tc>
        <w:tc>
          <w:tcPr/>
          <w:p>
            <w:pPr>
              <w:pStyle w:val="Compact"/>
              <w:jc w:val="left"/>
            </w:pPr>
            <w:r>
              <w:t xml:space="preserve">−0.36</w:t>
            </w:r>
          </w:p>
        </w:tc>
        <w:tc>
          <w:tcPr/>
          <w:p>
            <w:pPr>
              <w:pStyle w:val="Compact"/>
              <w:jc w:val="left"/>
            </w:pPr>
            <w:r>
              <w:t xml:space="preserve">−0.08</w:t>
            </w:r>
          </w:p>
        </w:tc>
        <w:tc>
          <w:tcPr/>
          <w:p>
            <w:pPr>
              <w:pStyle w:val="Compact"/>
              <w:jc w:val="left"/>
            </w:pPr>
            <w:r>
              <w:rPr>
                <w:bCs/>
                <w:b/>
              </w:rPr>
              <w:t xml:space="preserve">+0.23</w:t>
            </w:r>
          </w:p>
        </w:tc>
      </w:tr>
      <w:tr>
        <w:tc>
          <w:tcPr/>
          <w:p>
            <w:pPr>
              <w:pStyle w:val="Compact"/>
              <w:jc w:val="left"/>
            </w:pPr>
            <w:r>
              <w:t xml:space="preserve">CAC–gold</w:t>
            </w:r>
          </w:p>
        </w:tc>
        <w:tc>
          <w:tcPr/>
          <w:p>
            <w:pPr>
              <w:pStyle w:val="Compact"/>
              <w:jc w:val="left"/>
            </w:pPr>
            <w:r>
              <w:t xml:space="preserve">−0.08</w:t>
            </w:r>
          </w:p>
        </w:tc>
        <w:tc>
          <w:tcPr/>
          <w:p>
            <w:pPr>
              <w:pStyle w:val="Compact"/>
              <w:jc w:val="left"/>
            </w:pPr>
            <w:r>
              <w:t xml:space="preserve">−0.13</w:t>
            </w:r>
          </w:p>
        </w:tc>
        <w:tc>
          <w:tcPr/>
          <w:p>
            <w:pPr>
              <w:pStyle w:val="Compact"/>
              <w:jc w:val="left"/>
            </w:pPr>
            <w:r>
              <w:t xml:space="preserve">−0.22</w:t>
            </w:r>
          </w:p>
        </w:tc>
        <w:tc>
          <w:tcPr/>
          <w:p>
            <w:pPr>
              <w:pStyle w:val="Compact"/>
              <w:jc w:val="left"/>
            </w:pPr>
            <w:r>
              <w:t xml:space="preserve">+0.08</w:t>
            </w:r>
          </w:p>
        </w:tc>
        <w:tc>
          <w:tcPr/>
          <w:p>
            <w:pPr>
              <w:pStyle w:val="Compact"/>
              <w:jc w:val="left"/>
            </w:pPr>
            <w:r>
              <w:t xml:space="preserve">−0.04</w:t>
            </w:r>
          </w:p>
        </w:tc>
        <w:tc>
          <w:tcPr/>
          <w:p>
            <w:pPr>
              <w:pStyle w:val="Compact"/>
              <w:jc w:val="left"/>
            </w:pPr>
            <w:r>
              <w:t xml:space="preserve">+0.09</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Portfolio vol (60/30/10)</w:t>
            </w:r>
          </w:p>
        </w:tc>
        <w:tc>
          <w:tcPr/>
          <w:p>
            <w:pPr>
              <w:pStyle w:val="Compact"/>
              <w:jc w:val="left"/>
            </w:pPr>
            <w:r>
              <w:t xml:space="preserve">Realised</w:t>
            </w:r>
          </w:p>
        </w:tc>
        <w:tc>
          <w:tcPr/>
          <w:p>
            <w:pPr>
              <w:pStyle w:val="Compact"/>
              <w:jc w:val="left"/>
            </w:pPr>
            <w:r>
              <w:t xml:space="preserve">DCC</w:t>
            </w:r>
          </w:p>
        </w:tc>
        <w:tc>
          <w:tcPr/>
          <w:p>
            <w:pPr>
              <w:pStyle w:val="Compact"/>
              <w:jc w:val="left"/>
            </w:pPr>
            <w:r>
              <w:t xml:space="preserve">CCC</w:t>
            </w:r>
          </w:p>
        </w:tc>
      </w:tr>
      <w:tr>
        <w:tc>
          <w:tcPr/>
          <w:p>
            <w:pPr>
              <w:pStyle w:val="Compact"/>
              <w:jc w:val="left"/>
            </w:pPr>
            <w:r>
              <w:t xml:space="preserve">Calm</w:t>
            </w:r>
          </w:p>
        </w:tc>
        <w:tc>
          <w:tcPr/>
          <w:p>
            <w:pPr>
              <w:pStyle w:val="Compact"/>
              <w:jc w:val="left"/>
            </w:pPr>
            <w:r>
              <w:t xml:space="preserve">8.92%</w:t>
            </w:r>
          </w:p>
        </w:tc>
        <w:tc>
          <w:tcPr/>
          <w:p>
            <w:pPr>
              <w:pStyle w:val="Compact"/>
              <w:jc w:val="left"/>
            </w:pPr>
            <w:r>
              <w:t xml:space="preserve">8.93%</w:t>
            </w:r>
          </w:p>
        </w:tc>
        <w:tc>
          <w:tcPr/>
          <w:p>
            <w:pPr>
              <w:pStyle w:val="Compact"/>
              <w:jc w:val="left"/>
            </w:pPr>
            <w:r>
              <w:t xml:space="preserve">8.94%</w:t>
            </w:r>
          </w:p>
        </w:tc>
      </w:tr>
      <w:tr>
        <w:tc>
          <w:tcPr/>
          <w:p>
            <w:pPr>
              <w:pStyle w:val="Compact"/>
              <w:jc w:val="left"/>
            </w:pPr>
            <w:r>
              <w:t xml:space="preserve">GFC</w:t>
            </w:r>
          </w:p>
        </w:tc>
        <w:tc>
          <w:tcPr/>
          <w:p>
            <w:pPr>
              <w:pStyle w:val="Compact"/>
              <w:jc w:val="left"/>
            </w:pPr>
            <w:r>
              <w:t xml:space="preserve">27.63%</w:t>
            </w:r>
          </w:p>
        </w:tc>
        <w:tc>
          <w:tcPr/>
          <w:p>
            <w:pPr>
              <w:pStyle w:val="Compact"/>
              <w:jc w:val="left"/>
            </w:pPr>
            <w:r>
              <w:t xml:space="preserve">24.20%</w:t>
            </w:r>
          </w:p>
        </w:tc>
        <w:tc>
          <w:tcPr/>
          <w:p>
            <w:pPr>
              <w:pStyle w:val="Compact"/>
              <w:jc w:val="left"/>
            </w:pPr>
            <w:r>
              <w:t xml:space="preserve">24.34%</w:t>
            </w:r>
          </w:p>
        </w:tc>
      </w:tr>
      <w:tr>
        <w:tc>
          <w:tcPr/>
          <w:p>
            <w:pPr>
              <w:pStyle w:val="Compact"/>
              <w:jc w:val="left"/>
            </w:pPr>
            <w:r>
              <w:t xml:space="preserve">Euro crisis</w:t>
            </w:r>
          </w:p>
        </w:tc>
        <w:tc>
          <w:tcPr/>
          <w:p>
            <w:pPr>
              <w:pStyle w:val="Compact"/>
              <w:jc w:val="left"/>
            </w:pPr>
            <w:r>
              <w:t xml:space="preserve">16.40%</w:t>
            </w:r>
          </w:p>
        </w:tc>
        <w:tc>
          <w:tcPr/>
          <w:p>
            <w:pPr>
              <w:pStyle w:val="Compact"/>
              <w:jc w:val="left"/>
            </w:pPr>
            <w:r>
              <w:t xml:space="preserve">15.74%</w:t>
            </w:r>
          </w:p>
        </w:tc>
        <w:tc>
          <w:tcPr/>
          <w:p>
            <w:pPr>
              <w:pStyle w:val="Compact"/>
              <w:jc w:val="left"/>
            </w:pPr>
            <w:r>
              <w:rPr>
                <w:bCs/>
                <w:b/>
              </w:rPr>
              <w:t xml:space="preserve">16.74%</w:t>
            </w:r>
          </w:p>
        </w:tc>
      </w:tr>
      <w:tr>
        <w:tc>
          <w:tcPr/>
          <w:p>
            <w:pPr>
              <w:pStyle w:val="Compact"/>
              <w:jc w:val="left"/>
            </w:pPr>
            <w:r>
              <w:t xml:space="preserve">Covid</w:t>
            </w:r>
          </w:p>
        </w:tc>
        <w:tc>
          <w:tcPr/>
          <w:p>
            <w:pPr>
              <w:pStyle w:val="Compact"/>
              <w:jc w:val="left"/>
            </w:pPr>
            <w:r>
              <w:t xml:space="preserve">34.78%</w:t>
            </w:r>
          </w:p>
        </w:tc>
        <w:tc>
          <w:tcPr/>
          <w:p>
            <w:pPr>
              <w:pStyle w:val="Compact"/>
              <w:jc w:val="left"/>
            </w:pPr>
            <w:r>
              <w:rPr>
                <w:bCs/>
                <w:b/>
              </w:rPr>
              <w:t xml:space="preserve">30.81%</w:t>
            </w:r>
          </w:p>
        </w:tc>
        <w:tc>
          <w:tcPr/>
          <w:p>
            <w:pPr>
              <w:pStyle w:val="Compact"/>
              <w:jc w:val="left"/>
            </w:pPr>
            <w:r>
              <w:t xml:space="preserve">29.00%</w:t>
            </w:r>
          </w:p>
        </w:tc>
      </w:tr>
      <w:tr>
        <w:tc>
          <w:tcPr/>
          <w:p>
            <w:pPr>
              <w:pStyle w:val="Compact"/>
              <w:jc w:val="left"/>
            </w:pPr>
            <w:r>
              <w:t xml:space="preserve">2022</w:t>
            </w:r>
          </w:p>
        </w:tc>
        <w:tc>
          <w:tcPr/>
          <w:p>
            <w:pPr>
              <w:pStyle w:val="Compact"/>
              <w:jc w:val="left"/>
            </w:pPr>
            <w:r>
              <w:t xml:space="preserve">12.04%</w:t>
            </w:r>
          </w:p>
        </w:tc>
        <w:tc>
          <w:tcPr/>
          <w:p>
            <w:pPr>
              <w:pStyle w:val="Compact"/>
              <w:jc w:val="left"/>
            </w:pPr>
            <w:r>
              <w:rPr>
                <w:bCs/>
                <w:b/>
              </w:rPr>
              <w:t xml:space="preserve">11.67%</w:t>
            </w:r>
          </w:p>
        </w:tc>
        <w:tc>
          <w:tcPr/>
          <w:p>
            <w:pPr>
              <w:pStyle w:val="Compact"/>
              <w:jc w:val="left"/>
            </w:pPr>
            <w:r>
              <w:t xml:space="preserve">11.36%</w:t>
            </w:r>
          </w:p>
        </w:tc>
      </w:tr>
      <w:tr>
        <w:tc>
          <w:tcPr/>
          <w:p>
            <w:pPr>
              <w:pStyle w:val="Compact"/>
              <w:jc w:val="left"/>
            </w:pPr>
            <w:r>
              <w:t xml:space="preserve">2026</w:t>
            </w:r>
          </w:p>
        </w:tc>
        <w:tc>
          <w:tcPr/>
          <w:p>
            <w:pPr>
              <w:pStyle w:val="Compact"/>
              <w:jc w:val="left"/>
            </w:pPr>
            <w:r>
              <w:t xml:space="preserve">10.27%</w:t>
            </w:r>
          </w:p>
        </w:tc>
        <w:tc>
          <w:tcPr/>
          <w:p>
            <w:pPr>
              <w:pStyle w:val="Compact"/>
              <w:jc w:val="left"/>
            </w:pPr>
            <w:r>
              <w:rPr>
                <w:bCs/>
                <w:b/>
              </w:rPr>
              <w:t xml:space="preserve">9.38%</w:t>
            </w:r>
          </w:p>
        </w:tc>
        <w:tc>
          <w:tcPr/>
          <w:p>
            <w:pPr>
              <w:pStyle w:val="Compact"/>
              <w:jc w:val="left"/>
            </w:pPr>
            <w:r>
              <w:t xml:space="preserve">8.48%</w:t>
            </w:r>
          </w:p>
        </w:tc>
      </w:tr>
    </w:tbl>
    <w:p>
      <w:pPr>
        <w:numPr>
          <w:ilvl w:val="0"/>
          <w:numId w:val="1014"/>
        </w:numPr>
        <w:pStyle w:val="Compact"/>
      </w:pPr>
      <w:r>
        <w:rPr>
          <w:bCs/>
          <w:b/>
        </w:rPr>
        <w:t xml:space="preserve">Equities move together in crashes; Bunds hedged the old crises but not the new regimes; gold hedged the GFC and euro crisis, not Covid.</w:t>
      </w:r>
    </w:p>
    <w:p>
      <w:pPr>
        <w:numPr>
          <w:ilvl w:val="0"/>
          <w:numId w:val="1014"/>
        </w:numPr>
        <w:pStyle w:val="Compact"/>
      </w:pPr>
      <w:r>
        <w:t xml:space="preserve">In calm markets the correlation model barely matters. In four of five stress periods DCC is closer to the realised volatility; in 2026 CCC is 17% too low, DCC 9%. The exception is the euro crisis, where DCC was too optimistic about the Bund hedge.</w:t>
      </w:r>
    </w:p>
    <w:p>
      <w:pPr>
        <w:numPr>
          <w:ilvl w:val="0"/>
          <w:numId w:val="1014"/>
        </w:numPr>
        <w:pStyle w:val="Compact"/>
      </w:pPr>
      <w:r>
        <w:rPr>
          <w:bCs/>
          <w:b/>
        </w:rPr>
        <w:t xml:space="preserve">Every model is too low in every crisis:</w:t>
      </w:r>
      <w:r>
        <w:t xml:space="preserve"> </w:t>
      </w:r>
      <w:r>
        <w:t xml:space="preserve">forecasts react only after the first big days.</w:t>
      </w:r>
    </w:p>
    <w:bookmarkEnd w:id="54"/>
    <w:bookmarkStart w:id="55" w:name="step-7-out-of-sample-forecasts"/>
    <w:p>
      <w:pPr>
        <w:pStyle w:val="Heading2"/>
      </w:pPr>
      <w:r>
        <w:t xml:space="preserve">Step 7 – Out-of-sample forecasts</w:t>
      </w:r>
    </w:p>
    <w:p>
      <w:pPr>
        <w:pStyle w:val="FirstParagraph"/>
      </w:pPr>
      <w:r>
        <w:rPr>
          <w:bCs/>
          <w:b/>
        </w:rPr>
        <w:t xml:space="preserve">What we did (</w:t>
      </w:r>
      <w:r>
        <w:rPr>
          <w:rStyle w:val="VerbatimChar"/>
          <w:bCs/>
          <w:b/>
        </w:rPr>
        <w:t xml:space="preserve">rolling_ccc_dcc</w:t>
      </w:r>
      <w:r>
        <w:rPr>
          <w:bCs/>
          <w:b/>
        </w:rPr>
        <w:t xml:space="preserve">).</w:t>
      </w:r>
      <w:r>
        <w:t xml:space="preserve"> </w:t>
      </w:r>
      <w:r>
        <w:t xml:space="preserve">For each 20-day block: estimate the five GJR models and DCC on the previous 1,000 days only (with</w:t>
      </w:r>
      <w:r>
        <w:t xml:space="preserve"> </w:t>
      </w:r>
      <m:oMath>
        <m:acc>
          <m:accPr>
            <m:chr m:val="‾"/>
          </m:accPr>
          <m:e>
            <m:r>
              <m:t>Q</m:t>
            </m:r>
          </m:e>
        </m:acc>
      </m:oMath>
      <w:r>
        <w:t xml:space="preserve"> </w:t>
      </w:r>
      <w:r>
        <w:t xml:space="preserve">and</w:t>
      </w:r>
      <w:r>
        <w:t xml:space="preserve"> </w:t>
      </w:r>
      <m:oMath>
        <m:acc>
          <m:accPr>
            <m:chr m:val="‾"/>
          </m:accPr>
          <m:e>
            <m:r>
              <m:t>R</m:t>
            </m:r>
          </m:e>
        </m:acc>
      </m:oMath>
      <w:r>
        <w:t xml:space="preserve"> </w:t>
      </w:r>
      <w:r>
        <w:t xml:space="preserve">from the window), run the recursions through the block, and keep the block’s forecasts. Rolling-window and EWMA forecasts need no estimation and were cut to the same days.</w:t>
      </w:r>
    </w:p>
    <w:p>
      <w:pPr>
        <w:pStyle w:val="BodyText"/>
      </w:pPr>
      <w:r>
        <w:rPr>
          <w:bCs/>
          <w:b/>
        </w:rPr>
        <w:t xml:space="preserve">How we checked it.</w:t>
      </w:r>
    </w:p>
    <w:p>
      <w:pPr>
        <w:numPr>
          <w:ilvl w:val="0"/>
          <w:numId w:val="1015"/>
        </w:numPr>
        <w:pStyle w:val="Compact"/>
      </w:pPr>
      <w:r>
        <w:rPr>
          <w:bCs/>
          <w:b/>
        </w:rPr>
        <w:t xml:space="preserve">Look-ahead test:</w:t>
      </w:r>
      <w:r>
        <w:t xml:space="preserve"> </w:t>
      </w:r>
      <w:r>
        <w:t xml:space="preserve">a fake −20% day leaves every forecast up to and including its own day exactly unchanged, and changes the next day’s.</w:t>
      </w:r>
    </w:p>
    <w:p>
      <w:pPr>
        <w:numPr>
          <w:ilvl w:val="0"/>
          <w:numId w:val="1015"/>
        </w:numPr>
        <w:pStyle w:val="Compact"/>
      </w:pPr>
      <w:r>
        <w:t xml:space="preserve">Shapes and dates; CCC and DCC share identical variances.</w:t>
      </w:r>
    </w:p>
    <w:p>
      <w:pPr>
        <w:pStyle w:val="FirstParagraph"/>
      </w:pPr>
      <w:r>
        <w:rPr>
          <w:bCs/>
          <w:b/>
        </w:rPr>
        <w:t xml:space="preserve">What we found.</w:t>
      </w:r>
      <w:r>
        <w:t xml:space="preserve"> </w:t>
      </w:r>
      <w:r>
        <w:rPr>
          <w:bCs/>
          <w:b/>
        </w:rPr>
        <w:t xml:space="preserve">3,602 days (23 January 2012 – 16 October 2026)</w:t>
      </w:r>
      <w:r>
        <w:t xml:space="preserve">, 181 re-estimations, all converged (5.9 minutes), every matrix positive definite. DCC parameters move across windows:</w:t>
      </w:r>
      <w:r>
        <w:t xml:space="preserve"> </w:t>
      </w:r>
      <m:oMath>
        <m:r>
          <m:t>a</m:t>
        </m:r>
      </m:oMath>
      <w:r>
        <w:t xml:space="preserve"> </w:t>
      </w:r>
      <w:r>
        <w:t xml:space="preserve">from 0.021 to 0.045,</w:t>
      </w:r>
      <w:r>
        <w:t xml:space="preserve"> </w:t>
      </w:r>
      <m:oMath>
        <m:r>
          <m:t>b</m:t>
        </m:r>
      </m:oMath>
      <w:r>
        <w:t xml:space="preserve"> </w:t>
      </w:r>
      <w:r>
        <w:t xml:space="preserve">from 0.87 to 0.946.</w:t>
      </w:r>
    </w:p>
    <w:bookmarkEnd w:id="55"/>
    <w:bookmarkStart w:id="59" w:name="step-8-which-covariance-forecast-is-best"/>
    <w:p>
      <w:pPr>
        <w:pStyle w:val="Heading2"/>
      </w:pPr>
      <w:r>
        <w:t xml:space="preserve">Step 8 – Which covariance forecast is best?</w:t>
      </w:r>
    </w:p>
    <w:p>
      <w:pPr>
        <w:pStyle w:val="FirstParagraph"/>
      </w:pPr>
      <w:r>
        <w:rPr>
          <w:bCs/>
          <w:b/>
        </w:rPr>
        <w:t xml:space="preserve">What we did (</w:t>
      </w:r>
      <w:r>
        <w:rPr>
          <w:rStyle w:val="VerbatimChar"/>
          <w:bCs/>
          <w:b/>
        </w:rPr>
        <w:t xml:space="preserve">qlike_matrix</w:t>
      </w:r>
      <w:r>
        <w:rPr>
          <w:bCs/>
          <w:b/>
        </w:rPr>
        <w:t xml:space="preserve">,</w:t>
      </w:r>
      <w:r>
        <w:rPr>
          <w:bCs/>
          <w:b/>
        </w:rPr>
        <w:t xml:space="preserve"> </w:t>
      </w:r>
      <w:r>
        <w:rPr>
          <w:rStyle w:val="VerbatimChar"/>
          <w:bCs/>
          <w:b/>
        </w:rPr>
        <w:t xml:space="preserve">qlike_portfolio</w:t>
      </w:r>
      <w:r>
        <w:rPr>
          <w:bCs/>
          <w:b/>
        </w:rPr>
        <w:t xml:space="preserve">,</w:t>
      </w:r>
      <w:r>
        <w:rPr>
          <w:bCs/>
          <w:b/>
        </w:rPr>
        <w:t xml:space="preserve"> </w:t>
      </w:r>
      <w:r>
        <w:rPr>
          <w:rStyle w:val="VerbatimChar"/>
          <w:bCs/>
          <w:b/>
        </w:rPr>
        <w:t xml:space="preserve">diebold_mariano</w:t>
      </w:r>
      <w:r>
        <w:rPr>
          <w:bCs/>
          <w:b/>
        </w:rPr>
        <w:t xml:space="preserve">).</w:t>
      </w:r>
    </w:p>
    <w:p>
      <w:pPr>
        <w:numPr>
          <w:ilvl w:val="0"/>
          <w:numId w:val="1016"/>
        </w:numPr>
        <w:pStyle w:val="Compact"/>
      </w:pPr>
      <w:r>
        <w:rPr>
          <w:bCs/>
          <w:b/>
        </w:rPr>
        <w:t xml:space="preserve">Matrix QLIKE</w:t>
      </w:r>
      <w:r>
        <w:t xml:space="preserve"> </w:t>
      </w:r>
      <m:oMath>
        <m:r>
          <m:rPr>
            <m:sty m:val="p"/>
          </m:rPr>
          <m:t>ln</m:t>
        </m:r>
        <m:d>
          <m:dPr>
            <m:begChr m:val="|"/>
            <m:sepChr m:val=""/>
            <m:endChr m:val="|"/>
            <m:grow/>
          </m:dPr>
          <m:e>
            <m:sSub>
              <m:e>
                <m:r>
                  <m:t>H</m:t>
                </m:r>
              </m:e>
              <m:sub>
                <m:r>
                  <m:t>t</m:t>
                </m:r>
              </m:sub>
            </m:sSub>
          </m:e>
        </m:d>
        <m:r>
          <m:rPr>
            <m:sty m:val="p"/>
          </m:rPr>
          <m:t>+</m:t>
        </m:r>
        <m:sSub>
          <m:e>
            <m:r>
              <m:rPr>
                <m:sty m:val="b"/>
              </m:rPr>
              <m:t>y</m:t>
            </m:r>
          </m:e>
          <m:sub>
            <m:r>
              <m:t>t</m:t>
            </m:r>
          </m:sub>
        </m:sSub>
        <m:r>
          <m:rPr>
            <m:sty m:val="p"/>
          </m:rPr>
          <m:t>′</m:t>
        </m:r>
        <m:sSubSup>
          <m:e>
            <m:r>
              <m:t>H</m:t>
            </m:r>
          </m:e>
          <m:sub>
            <m:r>
              <m:t>t</m:t>
            </m:r>
          </m:sub>
          <m:sup>
            <m:r>
              <m:rPr>
                <m:sty m:val="p"/>
              </m:rPr>
              <m:t>−</m:t>
            </m:r>
            <m:r>
              <m:t>1</m:t>
            </m:r>
          </m:sup>
        </m:sSubSup>
        <m:sSub>
          <m:e>
            <m:r>
              <m:rPr>
                <m:sty m:val="b"/>
              </m:rPr>
              <m:t>y</m:t>
            </m:r>
          </m:e>
          <m:sub>
            <m:r>
              <m:t>t</m:t>
            </m:r>
          </m:sub>
        </m:sSub>
      </m:oMath>
      <w:r>
        <w:t xml:space="preserve">: judges every direction, including all correlations.</w:t>
      </w:r>
    </w:p>
    <w:p>
      <w:pPr>
        <w:numPr>
          <w:ilvl w:val="0"/>
          <w:numId w:val="1016"/>
        </w:numPr>
        <w:pStyle w:val="Compact"/>
      </w:pPr>
      <w:r>
        <w:rPr>
          <w:bCs/>
          <w:b/>
        </w:rPr>
        <w:t xml:space="preserve">Portfolio QLIKE:</w:t>
      </w:r>
      <w:r>
        <w:t xml:space="preserve"> </w:t>
      </w:r>
      <w:r>
        <w:t xml:space="preserve">judges only the 60/30/10 portfolio.</w:t>
      </w:r>
    </w:p>
    <w:p>
      <w:pPr>
        <w:numPr>
          <w:ilvl w:val="0"/>
          <w:numId w:val="1016"/>
        </w:numPr>
        <w:pStyle w:val="Compact"/>
      </w:pPr>
      <w:r>
        <w:rPr>
          <w:bCs/>
          <w:b/>
        </w:rPr>
        <w:t xml:space="preserve">Diebold–Mariano</w:t>
      </w:r>
      <w:r>
        <w:t xml:space="preserve"> </w:t>
      </w:r>
      <w:r>
        <w:t xml:space="preserve">with Newey–West standard errors (10 lags).</w:t>
      </w:r>
    </w:p>
    <w:p>
      <w:pPr>
        <w:pStyle w:val="FirstParagraph"/>
      </w:pPr>
      <w:r>
        <w:rPr>
          <w:bCs/>
          <w:b/>
        </w:rPr>
        <w:t xml:space="preserve">How we checked it.</w:t>
      </w:r>
      <w:r>
        <w:t xml:space="preserve"> </w:t>
      </w:r>
      <w:r>
        <w:t xml:space="preserve">For one asset, matrix QLIKE equals the univariate QLIKE;</w:t>
      </w:r>
      <w:r>
        <w:t xml:space="preserve"> </w:t>
      </w:r>
      <m:oMath>
        <m:r>
          <m:rPr>
            <m:sty m:val="p"/>
          </m:rPr>
          <m:t>−</m:t>
        </m:r>
        <m:f>
          <m:fPr>
            <m:type m:val="bar"/>
          </m:fPr>
          <m:num>
            <m:r>
              <m:t>1</m:t>
            </m:r>
          </m:num>
          <m:den>
            <m:r>
              <m:t>2</m:t>
            </m:r>
          </m:den>
        </m:f>
        <m:d>
          <m:dPr>
            <m:begChr m:val="("/>
            <m:sepChr m:val=""/>
            <m:endChr m:val=")"/>
            <m:grow/>
          </m:dPr>
          <m:e>
            <m:sSub>
              <m:e>
                <m:r>
                  <m:t>L</m:t>
                </m:r>
              </m:e>
              <m:sub>
                <m:r>
                  <m:t>t</m:t>
                </m:r>
              </m:sub>
            </m:sSub>
            <m:r>
              <m:rPr>
                <m:sty m:val="p"/>
              </m:rPr>
              <m:t>+</m:t>
            </m:r>
            <m:r>
              <m:t>N</m:t>
            </m:r>
            <m:r>
              <m:rPr>
                <m:sty m:val="p"/>
              </m:rPr>
              <m:t>ln</m:t>
            </m:r>
            <m:r>
              <m:t>2</m:t>
            </m:r>
            <m:r>
              <m:t>π</m:t>
            </m:r>
          </m:e>
        </m:d>
      </m:oMath>
      <w:r>
        <w:t xml:space="preserve"> </w:t>
      </w:r>
      <w:r>
        <w:t xml:space="preserve">equals scipy’s log-density (1e-13); a model against itself plus noise gives an insignificant DM.</w:t>
      </w:r>
    </w:p>
    <w:p>
      <w:pPr>
        <w:pStyle w:val="BodyText"/>
      </w:pPr>
      <w:r>
        <w:rPr>
          <w:bCs/>
          <w:b/>
        </w:rPr>
        <w:t xml:space="preserve">What we found.</w:t>
      </w:r>
    </w:p>
    <w:p>
      <w:pPr>
        <w:pStyle w:val="CaptionedFigure"/>
      </w:pPr>
      <w:r>
        <w:drawing>
          <wp:inline>
            <wp:extent cx="5334000" cy="1941119"/>
            <wp:effectExtent b="0" l="0" r="0" t="0"/>
            <wp:docPr descr="Out-of-sample scores" title="" id="57" name="Picture"/>
            <a:graphic>
              <a:graphicData uri="http://schemas.openxmlformats.org/drawingml/2006/picture">
                <pic:pic>
                  <pic:nvPicPr>
                    <pic:cNvPr descr="fig4/scores.png" id="58" name="Picture"/>
                    <pic:cNvPicPr>
                      <a:picLocks noChangeArrowheads="1" noChangeAspect="1"/>
                    </pic:cNvPicPr>
                  </pic:nvPicPr>
                  <pic:blipFill>
                    <a:blip r:embed="rId56"/>
                    <a:stretch>
                      <a:fillRect/>
                    </a:stretch>
                  </pic:blipFill>
                  <pic:spPr bwMode="auto">
                    <a:xfrm>
                      <a:off x="0" y="0"/>
                      <a:ext cx="5334000" cy="1941119"/>
                    </a:xfrm>
                    <a:prstGeom prst="rect">
                      <a:avLst/>
                    </a:prstGeom>
                    <a:noFill/>
                    <a:ln w="9525">
                      <a:noFill/>
                      <a:headEnd/>
                      <a:tailEnd/>
                    </a:ln>
                  </pic:spPr>
                </pic:pic>
              </a:graphicData>
            </a:graphic>
          </wp:inline>
        </w:drawing>
      </w:r>
    </w:p>
    <w:p>
      <w:pPr>
        <w:pStyle w:val="ImageCaption"/>
      </w:pPr>
      <w:r>
        <w:t xml:space="preserve">Out-of-sample scores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pPr>
          </w:p>
        </w:tc>
        <w:tc>
          <w:tcPr/>
          <w:p>
            <w:pPr>
              <w:pStyle w:val="Compact"/>
              <w:jc w:val="left"/>
            </w:pPr>
            <w:r>
              <w:t xml:space="preserve">Rolling 250</w:t>
            </w:r>
          </w:p>
        </w:tc>
        <w:tc>
          <w:tcPr/>
          <w:p>
            <w:pPr>
              <w:pStyle w:val="Compact"/>
              <w:jc w:val="left"/>
            </w:pPr>
            <w:r>
              <w:t xml:space="preserve">EWMA</w:t>
            </w:r>
          </w:p>
        </w:tc>
        <w:tc>
          <w:tcPr/>
          <w:p>
            <w:pPr>
              <w:pStyle w:val="Compact"/>
              <w:jc w:val="left"/>
            </w:pPr>
            <w:r>
              <w:t xml:space="preserve">CCC</w:t>
            </w:r>
          </w:p>
        </w:tc>
        <w:tc>
          <w:tcPr/>
          <w:p>
            <w:pPr>
              <w:pStyle w:val="Compact"/>
              <w:jc w:val="left"/>
            </w:pPr>
            <w:r>
              <w:t xml:space="preserve">DCC</w:t>
            </w:r>
          </w:p>
        </w:tc>
      </w:tr>
      <w:tr>
        <w:tc>
          <w:tcPr/>
          <w:p>
            <w:pPr>
              <w:pStyle w:val="Compact"/>
              <w:jc w:val="left"/>
            </w:pPr>
            <w:r>
              <w:t xml:space="preserve">Matrix QLIKE</w:t>
            </w:r>
          </w:p>
        </w:tc>
        <w:tc>
          <w:tcPr/>
          <w:p>
            <w:pPr>
              <w:pStyle w:val="Compact"/>
              <w:jc w:val="left"/>
            </w:pPr>
            <w:r>
              <w:t xml:space="preserve">1.031</w:t>
            </w:r>
          </w:p>
        </w:tc>
        <w:tc>
          <w:tcPr/>
          <w:p>
            <w:pPr>
              <w:pStyle w:val="Compact"/>
              <w:jc w:val="left"/>
            </w:pPr>
            <w:r>
              <w:t xml:space="preserve">0.717</w:t>
            </w:r>
          </w:p>
        </w:tc>
        <w:tc>
          <w:tcPr/>
          <w:p>
            <w:pPr>
              <w:pStyle w:val="Compact"/>
              <w:jc w:val="left"/>
            </w:pPr>
            <w:r>
              <w:t xml:space="preserve">0.387</w:t>
            </w:r>
          </w:p>
        </w:tc>
        <w:tc>
          <w:tcPr/>
          <w:p>
            <w:pPr>
              <w:pStyle w:val="Compact"/>
              <w:jc w:val="left"/>
            </w:pPr>
            <w:r>
              <w:rPr>
                <w:bCs/>
                <w:b/>
              </w:rPr>
              <w:t xml:space="preserve">0.269</w:t>
            </w:r>
          </w:p>
        </w:tc>
      </w:tr>
      <w:tr>
        <w:tc>
          <w:tcPr/>
          <w:p>
            <w:pPr>
              <w:pStyle w:val="Compact"/>
              <w:jc w:val="left"/>
            </w:pPr>
            <w:r>
              <w:t xml:space="preserve">DM vs DCC</w:t>
            </w:r>
          </w:p>
        </w:tc>
        <w:tc>
          <w:tcPr/>
          <w:p>
            <w:pPr>
              <w:pStyle w:val="Compact"/>
              <w:jc w:val="left"/>
            </w:pPr>
            <w:r>
              <w:t xml:space="preserve">3.8</w:t>
            </w:r>
          </w:p>
        </w:tc>
        <w:tc>
          <w:tcPr/>
          <w:p>
            <w:pPr>
              <w:pStyle w:val="Compact"/>
              <w:jc w:val="left"/>
            </w:pPr>
            <w:r>
              <w:t xml:space="preserve">6.8</w:t>
            </w:r>
          </w:p>
        </w:tc>
        <w:tc>
          <w:tcPr/>
          <w:p>
            <w:pPr>
              <w:pStyle w:val="Compact"/>
              <w:jc w:val="left"/>
            </w:pPr>
            <w:r>
              <w:t xml:space="preserve">7.0</w:t>
            </w:r>
          </w:p>
        </w:tc>
        <w:tc>
          <w:tcPr/>
          <w:p>
            <w:pPr>
              <w:pStyle w:val="Compact"/>
              <w:jc w:val="left"/>
            </w:pPr>
            <w:r>
              <w:t xml:space="preserve">–</w:t>
            </w:r>
          </w:p>
        </w:tc>
      </w:tr>
      <w:tr>
        <w:tc>
          <w:tcPr/>
          <w:p>
            <w:pPr>
              <w:pStyle w:val="Compact"/>
              <w:jc w:val="left"/>
            </w:pPr>
            <w:r>
              <w:t xml:space="preserve">Portfolio QLIKE</w:t>
            </w:r>
          </w:p>
        </w:tc>
        <w:tc>
          <w:tcPr/>
          <w:p>
            <w:pPr>
              <w:pStyle w:val="Compact"/>
              <w:jc w:val="left"/>
            </w:pPr>
            <w:r>
              <w:t xml:space="preserve">−0.023</w:t>
            </w:r>
          </w:p>
        </w:tc>
        <w:tc>
          <w:tcPr/>
          <w:p>
            <w:pPr>
              <w:pStyle w:val="Compact"/>
              <w:jc w:val="left"/>
            </w:pPr>
            <w:r>
              <w:t xml:space="preserve">−0.202</w:t>
            </w:r>
          </w:p>
        </w:tc>
        <w:tc>
          <w:tcPr/>
          <w:p>
            <w:pPr>
              <w:pStyle w:val="Compact"/>
              <w:jc w:val="left"/>
            </w:pPr>
            <w:r>
              <w:t xml:space="preserve">−0.256</w:t>
            </w:r>
          </w:p>
        </w:tc>
        <w:tc>
          <w:tcPr/>
          <w:p>
            <w:pPr>
              <w:pStyle w:val="Compact"/>
              <w:jc w:val="left"/>
            </w:pPr>
            <w:r>
              <w:rPr>
                <w:bCs/>
                <w:b/>
              </w:rPr>
              <w:t xml:space="preserve">−0.261</w:t>
            </w:r>
          </w:p>
        </w:tc>
      </w:tr>
      <w:tr>
        <w:tc>
          <w:tcPr/>
          <w:p>
            <w:pPr>
              <w:pStyle w:val="Compact"/>
              <w:jc w:val="left"/>
            </w:pPr>
            <w:r>
              <w:t xml:space="preserve">DM vs DCC</w:t>
            </w:r>
          </w:p>
        </w:tc>
        <w:tc>
          <w:tcPr/>
          <w:p>
            <w:pPr>
              <w:pStyle w:val="Compact"/>
              <w:jc w:val="left"/>
            </w:pPr>
            <w:r>
              <w:t xml:space="preserve">3.4</w:t>
            </w:r>
          </w:p>
        </w:tc>
        <w:tc>
          <w:tcPr/>
          <w:p>
            <w:pPr>
              <w:pStyle w:val="Compact"/>
              <w:jc w:val="left"/>
            </w:pPr>
            <w:r>
              <w:t xml:space="preserve">3.9</w:t>
            </w:r>
          </w:p>
        </w:tc>
        <w:tc>
          <w:tcPr/>
          <w:p>
            <w:pPr>
              <w:pStyle w:val="Compact"/>
              <w:jc w:val="left"/>
            </w:pPr>
            <w:r>
              <w:t xml:space="preserve">1.85 (n.s.)</w:t>
            </w:r>
          </w:p>
        </w:tc>
        <w:tc>
          <w:tcPr/>
          <w:p>
            <w:pPr>
              <w:pStyle w:val="Compact"/>
              <w:jc w:val="left"/>
            </w:pPr>
            <w:r>
              <w:t xml:space="preserve">–</w:t>
            </w:r>
          </w:p>
        </w:tc>
      </w:tr>
    </w:tbl>
    <w:p>
      <w:pPr>
        <w:numPr>
          <w:ilvl w:val="0"/>
          <w:numId w:val="1017"/>
        </w:numPr>
        <w:pStyle w:val="Compact"/>
      </w:pPr>
      <w:r>
        <w:rPr>
          <w:bCs/>
          <w:b/>
        </w:rPr>
        <w:t xml:space="preserve">For the whole matrix, DCC wins clearly, significantly against every model.</w:t>
      </w:r>
    </w:p>
    <w:p>
      <w:pPr>
        <w:numPr>
          <w:ilvl w:val="0"/>
          <w:numId w:val="1017"/>
        </w:numPr>
        <w:pStyle w:val="Compact"/>
      </w:pPr>
      <w:r>
        <w:rPr>
          <w:bCs/>
          <w:b/>
        </w:rPr>
        <w:t xml:space="preserve">For the 60/30/10 portfolio, DCC and CCC are tied:</w:t>
      </w:r>
      <w:r>
        <w:t xml:space="preserve"> </w:t>
      </w:r>
      <w:r>
        <w:t xml:space="preserve">the GJR volatilities do most of the work for one balanced portfolio; correlation dynamics matter for other directions (hedges, long–short positions, minimum variance).</w:t>
      </w:r>
    </w:p>
    <w:p>
      <w:pPr>
        <w:numPr>
          <w:ilvl w:val="0"/>
          <w:numId w:val="1017"/>
        </w:numPr>
        <w:pStyle w:val="Compact"/>
      </w:pPr>
      <w:r>
        <w:rPr>
          <w:bCs/>
          <w:b/>
        </w:rPr>
        <w:t xml:space="preserve">By period:</w:t>
      </w:r>
      <w:r>
        <w:t xml:space="preserve"> </w:t>
      </w:r>
      <w:r>
        <w:t xml:space="preserve">DCC best on calm days, in Covid and in 2022.</w:t>
      </w:r>
      <w:r>
        <w:t xml:space="preserve"> </w:t>
      </w:r>
      <w:r>
        <w:rPr>
          <w:bCs/>
          <w:b/>
        </w:rPr>
        <w:t xml:space="preserve">In 2026, EWMA (1.488) ≈ DCC (1.499) and CCC is worst (1.769):</w:t>
      </w:r>
      <w:r>
        <w:t xml:space="preserve"> </w:t>
      </w:r>
      <w:r>
        <w:t xml:space="preserve">a lasting new regime favours fast forgetting.</w:t>
      </w:r>
    </w:p>
    <w:bookmarkEnd w:id="59"/>
    <w:bookmarkStart w:id="63" w:name="step-9-portfolio-var-and-es"/>
    <w:p>
      <w:pPr>
        <w:pStyle w:val="Heading2"/>
      </w:pPr>
      <w:r>
        <w:t xml:space="preserve">Step 9 – Portfolio VaR and ES</w:t>
      </w:r>
    </w:p>
    <w:p>
      <w:pPr>
        <w:pStyle w:val="FirstParagraph"/>
      </w:pPr>
      <w:r>
        <w:rPr>
          <w:bCs/>
          <w:b/>
        </w:rPr>
        <w:t xml:space="preserve">What we did (</w:t>
      </w:r>
      <w:r>
        <w:rPr>
          <w:rStyle w:val="VerbatimChar"/>
          <w:bCs/>
          <w:b/>
        </w:rPr>
        <w:t xml:space="preserve">var_es_normal</w:t>
      </w:r>
      <w:r>
        <w:rPr>
          <w:bCs/>
          <w:b/>
        </w:rPr>
        <w:t xml:space="preserve">,</w:t>
      </w:r>
      <w:r>
        <w:rPr>
          <w:bCs/>
          <w:b/>
        </w:rPr>
        <w:t xml:space="preserve"> </w:t>
      </w:r>
      <w:r>
        <w:rPr>
          <w:rStyle w:val="VerbatimChar"/>
          <w:bCs/>
          <w:b/>
        </w:rPr>
        <w:t xml:space="preserve">var_es_fhs</w:t>
      </w:r>
      <w:r>
        <w:rPr>
          <w:bCs/>
          <w:b/>
        </w:rPr>
        <w:t xml:space="preserve">, backtests).</w:t>
      </w:r>
      <w:r>
        <w:t xml:space="preserve"> </w:t>
      </w:r>
      <w:r>
        <w:t xml:space="preserve">For each model,</w:t>
      </w:r>
      <w:r>
        <w:t xml:space="preserve"> </w:t>
      </w:r>
      <m:oMath>
        <m:sSub>
          <m:e>
            <m:r>
              <m:t>σ</m:t>
            </m:r>
          </m:e>
          <m:sub>
            <m:r>
              <m:t>p</m:t>
            </m:r>
            <m:r>
              <m:rPr>
                <m:sty m:val="p"/>
              </m:rPr>
              <m:t>,</m:t>
            </m:r>
            <m:r>
              <m:t>t</m:t>
            </m:r>
          </m:sub>
        </m:sSub>
        <m:r>
          <m:rPr>
            <m:sty m:val="p"/>
          </m:rPr>
          <m:t>=</m:t>
        </m:r>
        <m:rad>
          <m:radPr>
            <m:degHide m:val="on"/>
          </m:radPr>
          <m:deg/>
          <m:e>
            <m:r>
              <m:rPr>
                <m:sty m:val="b"/>
              </m:rPr>
              <m:t>w</m:t>
            </m:r>
            <m:r>
              <m:rPr>
                <m:sty m:val="p"/>
              </m:rPr>
              <m:t>′</m:t>
            </m:r>
            <m:sSub>
              <m:e>
                <m:r>
                  <m:t>H</m:t>
                </m:r>
              </m:e>
              <m:sub>
                <m:r>
                  <m:t>t</m:t>
                </m:r>
              </m:sub>
            </m:sSub>
            <m:r>
              <m:rPr>
                <m:sty m:val="b"/>
              </m:rPr>
              <m:t>w</m:t>
            </m:r>
          </m:e>
        </m:rad>
      </m:oMath>
      <w:r>
        <w:t xml:space="preserve">, then VaR 99% and ES 97.5% with normal tails, or with FHS on each model’s own past standardised portfolio residuals (at least 250). Backtested on 3,352 days (February 2013 – October 2026) with Kupiec, Christoffersen and Acerbi–Szekely, rewritten for this project.</w:t>
      </w:r>
    </w:p>
    <w:p>
      <w:pPr>
        <w:pStyle w:val="BodyText"/>
      </w:pPr>
      <w:r>
        <w:rPr>
          <w:bCs/>
          <w:b/>
        </w:rPr>
        <w:t xml:space="preserve">How we checked it.</w:t>
      </w:r>
      <w:r>
        <w:t xml:space="preserve"> </w:t>
      </w:r>
      <w:r>
        <w:t xml:space="preserve">Normal multipliers 2.3263 and 2.3378; FHS converges to them on simulated normal data; a fake extreme residual does not change its own day’s VaR.</w:t>
      </w:r>
    </w:p>
    <w:p>
      <w:pPr>
        <w:pStyle w:val="BodyText"/>
      </w:pPr>
      <w:r>
        <w:rPr>
          <w:bCs/>
          <w:b/>
        </w:rPr>
        <w:t xml:space="preserve">What we found.</w:t>
      </w:r>
    </w:p>
    <w:p>
      <w:pPr>
        <w:pStyle w:val="CaptionedFigure"/>
      </w:pPr>
      <w:r>
        <w:drawing>
          <wp:inline>
            <wp:extent cx="5334000" cy="1909663"/>
            <wp:effectExtent b="0" l="0" r="0" t="0"/>
            <wp:docPr descr="VaR backtest" title="" id="61" name="Picture"/>
            <a:graphic>
              <a:graphicData uri="http://schemas.openxmlformats.org/drawingml/2006/picture">
                <pic:pic>
                  <pic:nvPicPr>
                    <pic:cNvPr descr="fig4/var_backtest.png" id="62" name="Picture"/>
                    <pic:cNvPicPr>
                      <a:picLocks noChangeArrowheads="1" noChangeAspect="1"/>
                    </pic:cNvPicPr>
                  </pic:nvPicPr>
                  <pic:blipFill>
                    <a:blip r:embed="rId60"/>
                    <a:stretch>
                      <a:fillRect/>
                    </a:stretch>
                  </pic:blipFill>
                  <pic:spPr bwMode="auto">
                    <a:xfrm>
                      <a:off x="0" y="0"/>
                      <a:ext cx="5334000" cy="1909663"/>
                    </a:xfrm>
                    <a:prstGeom prst="rect">
                      <a:avLst/>
                    </a:prstGeom>
                    <a:noFill/>
                    <a:ln w="9525">
                      <a:noFill/>
                      <a:headEnd/>
                      <a:tailEnd/>
                    </a:ln>
                  </pic:spPr>
                </pic:pic>
              </a:graphicData>
            </a:graphic>
          </wp:inline>
        </w:drawing>
      </w:r>
    </w:p>
    <w:p>
      <w:pPr>
        <w:pStyle w:val="ImageCaption"/>
      </w:pPr>
      <w:r>
        <w:t xml:space="preserve">VaR backtest</w:t>
      </w:r>
    </w:p>
    <w:tbl>
      <w:tblPr>
        <w:tblStyle w:val="Table"/>
        <w:tblW w:type="pct" w:w="5000"/>
        <w:jc w:val="lef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FHS tails</w:t>
            </w:r>
          </w:p>
        </w:tc>
        <w:tc>
          <w:tcPr/>
          <w:p>
            <w:pPr>
              <w:pStyle w:val="Compact"/>
              <w:jc w:val="left"/>
            </w:pPr>
            <w:r>
              <w:t xml:space="preserve">Breaches 99% (33.5)</w:t>
            </w:r>
          </w:p>
        </w:tc>
        <w:tc>
          <w:tcPr/>
          <w:p>
            <w:pPr>
              <w:pStyle w:val="Compact"/>
              <w:jc w:val="left"/>
            </w:pPr>
            <w:r>
              <w:t xml:space="preserve">Consecutive</w:t>
            </w:r>
          </w:p>
        </w:tc>
        <w:tc>
          <w:tcPr/>
          <w:p>
            <w:pPr>
              <w:pStyle w:val="Compact"/>
              <w:jc w:val="left"/>
            </w:pPr>
            <m:oMath>
              <m:sSub>
                <m:e>
                  <m:r>
                    <m:t>p</m:t>
                  </m:r>
                </m:e>
                <m:sub>
                  <m:r>
                    <m:t>c</m:t>
                  </m:r>
                  <m:r>
                    <m:t>c</m:t>
                  </m:r>
                </m:sub>
              </m:sSub>
            </m:oMath>
          </w:p>
        </w:tc>
        <w:tc>
          <w:tcPr/>
          <w:p>
            <w:pPr>
              <w:pStyle w:val="Compact"/>
              <w:jc w:val="left"/>
            </w:pPr>
            <w:r>
              <w:t xml:space="preserve">Breaches 97.5% (83.8)</w:t>
            </w:r>
          </w:p>
        </w:tc>
        <w:tc>
          <w:tcPr/>
          <w:p>
            <w:pPr>
              <w:pStyle w:val="Compact"/>
              <w:jc w:val="left"/>
            </w:pPr>
            <w:r>
              <w:t xml:space="preserve">Z₂</w:t>
            </w:r>
          </w:p>
        </w:tc>
        <w:tc>
          <w:tcPr/>
          <w:p>
            <w:pPr>
              <w:pStyle w:val="Compact"/>
              <w:jc w:val="left"/>
            </w:pPr>
            <w:r>
              <w:t xml:space="preserve">Avg VaR 99%</w:t>
            </w:r>
          </w:p>
        </w:tc>
      </w:tr>
      <w:tr>
        <w:tc>
          <w:tcPr/>
          <w:p>
            <w:pPr>
              <w:pStyle w:val="Compact"/>
              <w:jc w:val="left"/>
            </w:pPr>
            <w:r>
              <w:t xml:space="preserve">Rolling 250</w:t>
            </w:r>
          </w:p>
        </w:tc>
        <w:tc>
          <w:tcPr/>
          <w:p>
            <w:pPr>
              <w:pStyle w:val="Compact"/>
              <w:jc w:val="left"/>
            </w:pPr>
            <w:r>
              <w:t xml:space="preserve">53</w:t>
            </w:r>
          </w:p>
        </w:tc>
        <w:tc>
          <w:tcPr/>
          <w:p>
            <w:pPr>
              <w:pStyle w:val="Compact"/>
              <w:jc w:val="left"/>
            </w:pPr>
            <w:r>
              <w:rPr>
                <w:bCs/>
                <w:b/>
              </w:rPr>
              <w:t xml:space="preserve">11</w:t>
            </w:r>
          </w:p>
        </w:tc>
        <w:tc>
          <w:tcPr/>
          <w:p>
            <w:pPr>
              <w:pStyle w:val="Compact"/>
              <w:jc w:val="left"/>
            </w:pPr>
            <w:r>
              <w:t xml:space="preserve">0.000 ✗</w:t>
            </w:r>
          </w:p>
        </w:tc>
        <w:tc>
          <w:tcPr/>
          <w:p>
            <w:pPr>
              <w:pStyle w:val="Compact"/>
              <w:jc w:val="left"/>
            </w:pPr>
            <w:r>
              <w:t xml:space="preserve">114</w:t>
            </w:r>
          </w:p>
        </w:tc>
        <w:tc>
          <w:tcPr/>
          <w:p>
            <w:pPr>
              <w:pStyle w:val="Compact"/>
              <w:jc w:val="left"/>
            </w:pPr>
            <w:r>
              <w:t xml:space="preserve">−0.45</w:t>
            </w:r>
          </w:p>
        </w:tc>
        <w:tc>
          <w:tcPr/>
          <w:p>
            <w:pPr>
              <w:pStyle w:val="Compact"/>
              <w:jc w:val="left"/>
            </w:pPr>
            <w:r>
              <w:t xml:space="preserve">EUR 164k</w:t>
            </w:r>
          </w:p>
        </w:tc>
      </w:tr>
      <w:tr>
        <w:tc>
          <w:tcPr/>
          <w:p>
            <w:pPr>
              <w:pStyle w:val="Compact"/>
              <w:jc w:val="left"/>
            </w:pPr>
            <w:r>
              <w:t xml:space="preserve">EWMA</w:t>
            </w:r>
          </w:p>
        </w:tc>
        <w:tc>
          <w:tcPr/>
          <w:p>
            <w:pPr>
              <w:pStyle w:val="Compact"/>
              <w:jc w:val="left"/>
            </w:pPr>
            <w:r>
              <w:t xml:space="preserve">41</w:t>
            </w:r>
          </w:p>
        </w:tc>
        <w:tc>
          <w:tcPr/>
          <w:p>
            <w:pPr>
              <w:pStyle w:val="Compact"/>
              <w:jc w:val="left"/>
            </w:pPr>
            <w:r>
              <w:t xml:space="preserve">2</w:t>
            </w:r>
          </w:p>
        </w:tc>
        <w:tc>
          <w:tcPr/>
          <w:p>
            <w:pPr>
              <w:pStyle w:val="Compact"/>
              <w:jc w:val="left"/>
            </w:pPr>
            <w:r>
              <w:t xml:space="preserve">0.12</w:t>
            </w:r>
          </w:p>
        </w:tc>
        <w:tc>
          <w:tcPr/>
          <w:p>
            <w:pPr>
              <w:pStyle w:val="Compact"/>
              <w:jc w:val="left"/>
            </w:pPr>
            <w:r>
              <w:t xml:space="preserve">88</w:t>
            </w:r>
          </w:p>
        </w:tc>
        <w:tc>
          <w:tcPr/>
          <w:p>
            <w:pPr>
              <w:pStyle w:val="Compact"/>
              <w:jc w:val="left"/>
            </w:pPr>
            <w:r>
              <w:t xml:space="preserve">−0.10</w:t>
            </w:r>
          </w:p>
        </w:tc>
        <w:tc>
          <w:tcPr/>
          <w:p>
            <w:pPr>
              <w:pStyle w:val="Compact"/>
              <w:jc w:val="left"/>
            </w:pPr>
            <w:r>
              <w:t xml:space="preserve">EUR 166k</w:t>
            </w:r>
          </w:p>
        </w:tc>
      </w:tr>
      <w:tr>
        <w:tc>
          <w:tcPr/>
          <w:p>
            <w:pPr>
              <w:pStyle w:val="Compact"/>
              <w:jc w:val="left"/>
            </w:pPr>
            <w:r>
              <w:t xml:space="preserve">CCC</w:t>
            </w:r>
          </w:p>
        </w:tc>
        <w:tc>
          <w:tcPr/>
          <w:p>
            <w:pPr>
              <w:pStyle w:val="Compact"/>
              <w:jc w:val="left"/>
            </w:pPr>
            <w:r>
              <w:t xml:space="preserve">43</w:t>
            </w:r>
          </w:p>
        </w:tc>
        <w:tc>
          <w:tcPr/>
          <w:p>
            <w:pPr>
              <w:pStyle w:val="Compact"/>
              <w:jc w:val="left"/>
            </w:pPr>
            <w:r>
              <w:t xml:space="preserve">1</w:t>
            </w:r>
          </w:p>
        </w:tc>
        <w:tc>
          <w:tcPr/>
          <w:p>
            <w:pPr>
              <w:pStyle w:val="Compact"/>
              <w:jc w:val="left"/>
            </w:pPr>
            <w:r>
              <w:t xml:space="preserve">0.25</w:t>
            </w:r>
          </w:p>
        </w:tc>
        <w:tc>
          <w:tcPr/>
          <w:p>
            <w:pPr>
              <w:pStyle w:val="Compact"/>
              <w:jc w:val="left"/>
            </w:pPr>
            <w:r>
              <w:t xml:space="preserve">94</w:t>
            </w:r>
          </w:p>
        </w:tc>
        <w:tc>
          <w:tcPr/>
          <w:p>
            <w:pPr>
              <w:pStyle w:val="Compact"/>
              <w:jc w:val="left"/>
            </w:pPr>
            <w:r>
              <w:t xml:space="preserve">−0.14</w:t>
            </w:r>
          </w:p>
        </w:tc>
        <w:tc>
          <w:tcPr/>
          <w:p>
            <w:pPr>
              <w:pStyle w:val="Compact"/>
              <w:jc w:val="left"/>
            </w:pPr>
            <w:r>
              <w:rPr>
                <w:bCs/>
                <w:b/>
              </w:rPr>
              <w:t xml:space="preserve">EUR 148k</w:t>
            </w:r>
          </w:p>
        </w:tc>
      </w:tr>
      <w:tr>
        <w:tc>
          <w:tcPr/>
          <w:p>
            <w:pPr>
              <w:pStyle w:val="Compact"/>
              <w:jc w:val="left"/>
            </w:pPr>
            <w:r>
              <w:t xml:space="preserve">DCC</w:t>
            </w:r>
          </w:p>
        </w:tc>
        <w:tc>
          <w:tcPr/>
          <w:p>
            <w:pPr>
              <w:pStyle w:val="Compact"/>
              <w:jc w:val="left"/>
            </w:pPr>
            <w:r>
              <w:t xml:space="preserve">42</w:t>
            </w:r>
          </w:p>
        </w:tc>
        <w:tc>
          <w:tcPr/>
          <w:p>
            <w:pPr>
              <w:pStyle w:val="Compact"/>
              <w:jc w:val="left"/>
            </w:pPr>
            <w:r>
              <w:t xml:space="preserve">1</w:t>
            </w:r>
          </w:p>
        </w:tc>
        <w:tc>
          <w:tcPr/>
          <w:p>
            <w:pPr>
              <w:pStyle w:val="Compact"/>
              <w:jc w:val="left"/>
            </w:pPr>
            <w:r>
              <w:t xml:space="preserve">0.31</w:t>
            </w:r>
          </w:p>
        </w:tc>
        <w:tc>
          <w:tcPr/>
          <w:p>
            <w:pPr>
              <w:pStyle w:val="Compact"/>
              <w:jc w:val="left"/>
            </w:pPr>
            <w:r>
              <w:t xml:space="preserve">96</w:t>
            </w:r>
          </w:p>
        </w:tc>
        <w:tc>
          <w:tcPr/>
          <w:p>
            <w:pPr>
              <w:pStyle w:val="Compact"/>
              <w:jc w:val="left"/>
            </w:pPr>
            <w:r>
              <w:t xml:space="preserve">−0.16</w:t>
            </w:r>
          </w:p>
        </w:tc>
        <w:tc>
          <w:tcPr/>
          <w:p>
            <w:pPr>
              <w:pStyle w:val="Compact"/>
              <w:jc w:val="left"/>
            </w:pPr>
            <w:r>
              <w:rPr>
                <w:bCs/>
                <w:b/>
              </w:rPr>
              <w:t xml:space="preserve">EUR 148k</w:t>
            </w:r>
          </w:p>
        </w:tc>
      </w:tr>
    </w:tbl>
    <w:p>
      <w:pPr>
        <w:numPr>
          <w:ilvl w:val="0"/>
          <w:numId w:val="1018"/>
        </w:numPr>
        <w:pStyle w:val="Compact"/>
      </w:pPr>
      <w:r>
        <w:rPr>
          <w:bCs/>
          <w:b/>
        </w:rPr>
        <w:t xml:space="preserve">Normal tails fail with every covariance model</w:t>
      </w:r>
      <w:r>
        <w:t xml:space="preserve"> </w:t>
      </w:r>
      <w:r>
        <w:t xml:space="preserve">(60–76 breaches; Z₂ −0.44 to −0.70): the lesson of Project 3 again.</w:t>
      </w:r>
    </w:p>
    <w:p>
      <w:pPr>
        <w:numPr>
          <w:ilvl w:val="0"/>
          <w:numId w:val="1018"/>
        </w:numPr>
        <w:pStyle w:val="Compact"/>
      </w:pPr>
      <w:r>
        <w:rPr>
          <w:bCs/>
          <w:b/>
        </w:rPr>
        <w:t xml:space="preserve">The rolling window fails even with FHS:</w:t>
      </w:r>
      <w:r>
        <w:t xml:space="preserve"> </w:t>
      </w:r>
      <w:r>
        <w:t xml:space="preserve">its slow volatility produces streaks of breaches. No tail correction fixes bad timing.</w:t>
      </w:r>
    </w:p>
    <w:p>
      <w:pPr>
        <w:numPr>
          <w:ilvl w:val="0"/>
          <w:numId w:val="1018"/>
        </w:numPr>
        <w:pStyle w:val="Compact"/>
      </w:pPr>
      <w:r>
        <w:rPr>
          <w:bCs/>
          <w:b/>
        </w:rPr>
        <w:t xml:space="preserve">CCC and DCC pass with 11% less VaR than EWMA:</w:t>
      </w:r>
      <w:r>
        <w:t xml:space="preserve"> </w:t>
      </w:r>
      <w:r>
        <w:t xml:space="preserve">noisier volatility forecasts give noisier residuals and bigger FHS multipliers. A better covariance model makes the same safety cheaper.</w:t>
      </w:r>
    </w:p>
    <w:p>
      <w:pPr>
        <w:numPr>
          <w:ilvl w:val="0"/>
          <w:numId w:val="1018"/>
        </w:numPr>
        <w:pStyle w:val="Compact"/>
      </w:pPr>
      <w:r>
        <w:t xml:space="preserve">DCC’s Z₂ (−0.16) is close to the approximate critical value (−0.17); on ES, DCC, CCC and EWMA cannot be separated without simulated p-values.</w:t>
      </w:r>
    </w:p>
    <w:bookmarkEnd w:id="63"/>
    <w:bookmarkStart w:id="67" w:name="step-10-minimum-variance-portfolios"/>
    <w:p>
      <w:pPr>
        <w:pStyle w:val="Heading2"/>
      </w:pPr>
      <w:r>
        <w:t xml:space="preserve">Step 10 – Minimum-variance portfolios</w:t>
      </w:r>
    </w:p>
    <w:p>
      <w:pPr>
        <w:pStyle w:val="FirstParagraph"/>
      </w:pPr>
      <w:r>
        <w:rPr>
          <w:bCs/>
          <w:b/>
        </w:rPr>
        <w:t xml:space="preserve">What we did (</w:t>
      </w:r>
      <w:r>
        <w:rPr>
          <w:rStyle w:val="VerbatimChar"/>
          <w:bCs/>
          <w:b/>
        </w:rPr>
        <w:t xml:space="preserve">min_variance_weights</w:t>
      </w:r>
      <w:r>
        <w:rPr>
          <w:bCs/>
          <w:b/>
        </w:rPr>
        <w:t xml:space="preserve">,</w:t>
      </w:r>
      <w:r>
        <w:rPr>
          <w:bCs/>
          <w:b/>
        </w:rPr>
        <w:t xml:space="preserve"> </w:t>
      </w:r>
      <w:r>
        <w:rPr>
          <w:rStyle w:val="VerbatimChar"/>
          <w:bCs/>
          <w:b/>
        </w:rPr>
        <w:t xml:space="preserve">turnover</w:t>
      </w:r>
      <w:r>
        <w:rPr>
          <w:bCs/>
          <w:b/>
        </w:rPr>
        <w:t xml:space="preserve">).</w:t>
      </w:r>
      <w:r>
        <w:t xml:space="preserve"> </w:t>
      </w:r>
      <w:r>
        <w:t xml:space="preserve">Every day, each model builds the minimum-variance portfolio</w:t>
      </w:r>
      <w:r>
        <w:t xml:space="preserve"> </w:t>
      </w:r>
      <m:oMath>
        <m:sSub>
          <m:e>
            <m:r>
              <m:rPr>
                <m:sty m:val="b"/>
              </m:rPr>
              <m:t>w</m:t>
            </m:r>
          </m:e>
          <m:sub>
            <m:r>
              <m:t>t</m:t>
            </m:r>
          </m:sub>
        </m:sSub>
        <m:r>
          <m:rPr>
            <m:sty m:val="p"/>
          </m:rPr>
          <m:t>=</m:t>
        </m:r>
        <m:sSubSup>
          <m:e>
            <m:r>
              <m:t>H</m:t>
            </m:r>
          </m:e>
          <m:sub>
            <m:r>
              <m:t>t</m:t>
            </m:r>
          </m:sub>
          <m:sup>
            <m:r>
              <m:rPr>
                <m:sty m:val="p"/>
              </m:rPr>
              <m:t>−</m:t>
            </m:r>
            <m:r>
              <m:t>1</m:t>
            </m:r>
          </m:sup>
        </m:sSubSup>
        <m:r>
          <m:rPr>
            <m:sty m:val="b"/>
          </m:rPr>
          <m:t>1</m:t>
        </m:r>
        <m:r>
          <m:rPr>
            <m:sty m:val="p"/>
          </m:rPr>
          <m:t>/</m:t>
        </m:r>
        <m:d>
          <m:dPr>
            <m:begChr m:val="("/>
            <m:sepChr m:val=""/>
            <m:endChr m:val=")"/>
            <m:grow/>
          </m:dPr>
          <m:e>
            <m:r>
              <m:rPr>
                <m:sty m:val="b"/>
              </m:rPr>
              <m:t>1</m:t>
            </m:r>
            <m:r>
              <m:rPr>
                <m:sty m:val="p"/>
              </m:rPr>
              <m:t>′</m:t>
            </m:r>
            <m:sSubSup>
              <m:e>
                <m:r>
                  <m:t>H</m:t>
                </m:r>
              </m:e>
              <m:sub>
                <m:r>
                  <m:t>t</m:t>
                </m:r>
              </m:sub>
              <m:sup>
                <m:r>
                  <m:rPr>
                    <m:sty m:val="p"/>
                  </m:rPr>
                  <m:t>−</m:t>
                </m:r>
                <m:r>
                  <m:t>1</m:t>
                </m:r>
              </m:sup>
            </m:sSubSup>
            <m:r>
              <m:rPr>
                <m:sty m:val="b"/>
              </m:rPr>
              <m:t>1</m:t>
            </m:r>
          </m:e>
        </m:d>
      </m:oMath>
      <w:r>
        <w:t xml:space="preserve"> </w:t>
      </w:r>
      <w:r>
        <w:t xml:space="preserve">(fully invested, shorts allowed). We measured its realised volatility, its turnover, a Diebold–Mariano test on squared returns (Engle–Colacito), and returns net of trading costs of 2, 5 and 10 basis points.</w:t>
      </w:r>
    </w:p>
    <w:p>
      <w:pPr>
        <w:pStyle w:val="BodyText"/>
      </w:pPr>
      <w:r>
        <w:rPr>
          <w:bCs/>
          <w:b/>
        </w:rPr>
        <w:t xml:space="preserve">Why.</w:t>
      </w:r>
      <w:r>
        <w:t xml:space="preserve"> </w:t>
      </w:r>
      <w:r>
        <w:t xml:space="preserve">The minimum-variance portfolio depends only on the covariance and uses every correlation through</w:t>
      </w:r>
      <w:r>
        <w:t xml:space="preserve"> </w:t>
      </w:r>
      <m:oMath>
        <m:sSup>
          <m:e>
            <m:r>
              <m:t>H</m:t>
            </m:r>
          </m:e>
          <m:sup>
            <m:r>
              <m:rPr>
                <m:sty m:val="p"/>
              </m:rPr>
              <m:t>−</m:t>
            </m:r>
            <m:r>
              <m:t>1</m:t>
            </m:r>
          </m:sup>
        </m:sSup>
      </m:oMath>
      <w:r>
        <w:t xml:space="preserve">: the test where correlation quality matters most — and where estimation noise turns into extreme positions.</w:t>
      </w:r>
    </w:p>
    <w:p>
      <w:pPr>
        <w:pStyle w:val="BodyText"/>
      </w:pPr>
      <w:r>
        <w:rPr>
          <w:bCs/>
          <w:b/>
        </w:rPr>
        <w:t xml:space="preserve">How we checked it.</w:t>
      </w:r>
      <w:r>
        <w:t xml:space="preserve"> </w:t>
      </w:r>
      <w:r>
        <w:t xml:space="preserve">Two-asset weights equal the closed form (21% stocks, 79% bonds); weights sum to 1 every day; the minimum-variance portfolio always has a lower forecast variance than 60/30/10.</w:t>
      </w:r>
    </w:p>
    <w:p>
      <w:pPr>
        <w:pStyle w:val="BodyText"/>
      </w:pPr>
      <w:r>
        <w:rPr>
          <w:bCs/>
          <w:b/>
        </w:rPr>
        <w:t xml:space="preserve">What we found.</w:t>
      </w:r>
    </w:p>
    <w:p>
      <w:pPr>
        <w:pStyle w:val="CaptionedFigure"/>
      </w:pPr>
      <w:r>
        <w:drawing>
          <wp:inline>
            <wp:extent cx="5334000" cy="1941119"/>
            <wp:effectExtent b="0" l="0" r="0" t="0"/>
            <wp:docPr descr="Minimum-variance trade-off" title="" id="65" name="Picture"/>
            <a:graphic>
              <a:graphicData uri="http://schemas.openxmlformats.org/drawingml/2006/picture">
                <pic:pic>
                  <pic:nvPicPr>
                    <pic:cNvPr descr="fig4/mv_tradeoff.png" id="66" name="Picture"/>
                    <pic:cNvPicPr>
                      <a:picLocks noChangeArrowheads="1" noChangeAspect="1"/>
                    </pic:cNvPicPr>
                  </pic:nvPicPr>
                  <pic:blipFill>
                    <a:blip r:embed="rId64"/>
                    <a:stretch>
                      <a:fillRect/>
                    </a:stretch>
                  </pic:blipFill>
                  <pic:spPr bwMode="auto">
                    <a:xfrm>
                      <a:off x="0" y="0"/>
                      <a:ext cx="5334000" cy="1941119"/>
                    </a:xfrm>
                    <a:prstGeom prst="rect">
                      <a:avLst/>
                    </a:prstGeom>
                    <a:noFill/>
                    <a:ln w="9525">
                      <a:noFill/>
                      <a:headEnd/>
                      <a:tailEnd/>
                    </a:ln>
                  </pic:spPr>
                </pic:pic>
              </a:graphicData>
            </a:graphic>
          </wp:inline>
        </w:drawing>
      </w:r>
    </w:p>
    <w:p>
      <w:pPr>
        <w:pStyle w:val="ImageCaption"/>
      </w:pPr>
      <w:r>
        <w:t xml:space="preserve">Minimum-variance trade-off</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pPr>
          </w:p>
        </w:tc>
        <w:tc>
          <w:tcPr/>
          <w:p>
            <w:pPr>
              <w:pStyle w:val="Compact"/>
              <w:jc w:val="left"/>
            </w:pPr>
            <w:r>
              <w:t xml:space="preserve">Rolling 250</w:t>
            </w:r>
          </w:p>
        </w:tc>
        <w:tc>
          <w:tcPr/>
          <w:p>
            <w:pPr>
              <w:pStyle w:val="Compact"/>
              <w:jc w:val="left"/>
            </w:pPr>
            <w:r>
              <w:t xml:space="preserve">EWMA</w:t>
            </w:r>
          </w:p>
        </w:tc>
        <w:tc>
          <w:tcPr/>
          <w:p>
            <w:pPr>
              <w:pStyle w:val="Compact"/>
              <w:jc w:val="left"/>
            </w:pPr>
            <w:r>
              <w:t xml:space="preserve">CCC</w:t>
            </w:r>
          </w:p>
        </w:tc>
        <w:tc>
          <w:tcPr/>
          <w:p>
            <w:pPr>
              <w:pStyle w:val="Compact"/>
              <w:jc w:val="left"/>
            </w:pPr>
            <w:r>
              <w:t xml:space="preserve">DCC</w:t>
            </w:r>
          </w:p>
        </w:tc>
      </w:tr>
      <w:tr>
        <w:tc>
          <w:tcPr/>
          <w:p>
            <w:pPr>
              <w:pStyle w:val="Compact"/>
              <w:jc w:val="left"/>
            </w:pPr>
            <w:r>
              <w:t xml:space="preserve">Realised volatility</w:t>
            </w:r>
          </w:p>
        </w:tc>
        <w:tc>
          <w:tcPr/>
          <w:p>
            <w:pPr>
              <w:pStyle w:val="Compact"/>
              <w:jc w:val="left"/>
            </w:pPr>
            <w:r>
              <w:t xml:space="preserve">4.40%</w:t>
            </w:r>
          </w:p>
        </w:tc>
        <w:tc>
          <w:tcPr/>
          <w:p>
            <w:pPr>
              <w:pStyle w:val="Compact"/>
              <w:jc w:val="left"/>
            </w:pPr>
            <w:r>
              <w:t xml:space="preserve">4.45%</w:t>
            </w:r>
          </w:p>
        </w:tc>
        <w:tc>
          <w:tcPr/>
          <w:p>
            <w:pPr>
              <w:pStyle w:val="Compact"/>
              <w:jc w:val="left"/>
            </w:pPr>
            <w:r>
              <w:t xml:space="preserve">4.46%</w:t>
            </w:r>
          </w:p>
        </w:tc>
        <w:tc>
          <w:tcPr/>
          <w:p>
            <w:pPr>
              <w:pStyle w:val="Compact"/>
              <w:jc w:val="left"/>
            </w:pPr>
            <w:r>
              <w:rPr>
                <w:bCs/>
                <w:b/>
              </w:rPr>
              <w:t xml:space="preserve">4.39%</w:t>
            </w:r>
          </w:p>
        </w:tc>
      </w:tr>
      <w:tr>
        <w:tc>
          <w:tcPr/>
          <w:p>
            <w:pPr>
              <w:pStyle w:val="Compact"/>
              <w:jc w:val="left"/>
            </w:pPr>
            <w:r>
              <w:t xml:space="preserve">DM vs DCC (squared returns)</w:t>
            </w:r>
          </w:p>
        </w:tc>
        <w:tc>
          <w:tcPr/>
          <w:p>
            <w:pPr>
              <w:pStyle w:val="Compact"/>
              <w:jc w:val="left"/>
            </w:pPr>
            <w:r>
              <w:t xml:space="preserve">0.25 (n.s.)</w:t>
            </w:r>
          </w:p>
        </w:tc>
        <w:tc>
          <w:tcPr/>
          <w:p>
            <w:pPr>
              <w:pStyle w:val="Compact"/>
              <w:jc w:val="left"/>
            </w:pPr>
            <w:r>
              <w:t xml:space="preserve">1.15 (n.s.)</w:t>
            </w:r>
          </w:p>
        </w:tc>
        <w:tc>
          <w:tcPr/>
          <w:p>
            <w:pPr>
              <w:pStyle w:val="Compact"/>
              <w:jc w:val="left"/>
            </w:pPr>
            <w:r>
              <w:rPr>
                <w:bCs/>
                <w:b/>
              </w:rPr>
              <w:t xml:space="preserve">3.38</w:t>
            </w:r>
          </w:p>
        </w:tc>
        <w:tc>
          <w:tcPr/>
          <w:p>
            <w:pPr>
              <w:pStyle w:val="Compact"/>
              <w:jc w:val="left"/>
            </w:pPr>
            <w:r>
              <w:t xml:space="preserve">–</w:t>
            </w:r>
          </w:p>
        </w:tc>
      </w:tr>
      <w:tr>
        <w:tc>
          <w:tcPr/>
          <w:p>
            <w:pPr>
              <w:pStyle w:val="Compact"/>
              <w:jc w:val="left"/>
            </w:pPr>
            <w:r>
              <w:t xml:space="preserve">Turnover per day</w:t>
            </w:r>
          </w:p>
        </w:tc>
        <w:tc>
          <w:tcPr/>
          <w:p>
            <w:pPr>
              <w:pStyle w:val="Compact"/>
              <w:jc w:val="left"/>
            </w:pPr>
            <w:r>
              <w:rPr>
                <w:bCs/>
                <w:b/>
              </w:rPr>
              <w:t xml:space="preserve">0.9%</w:t>
            </w:r>
          </w:p>
        </w:tc>
        <w:tc>
          <w:tcPr/>
          <w:p>
            <w:pPr>
              <w:pStyle w:val="Compact"/>
              <w:jc w:val="left"/>
            </w:pPr>
            <w:r>
              <w:t xml:space="preserve">8.2%</w:t>
            </w:r>
          </w:p>
        </w:tc>
        <w:tc>
          <w:tcPr/>
          <w:p>
            <w:pPr>
              <w:pStyle w:val="Compact"/>
              <w:jc w:val="left"/>
            </w:pPr>
            <w:r>
              <w:t xml:space="preserve">5.0%</w:t>
            </w:r>
          </w:p>
        </w:tc>
        <w:tc>
          <w:tcPr/>
          <w:p>
            <w:pPr>
              <w:pStyle w:val="Compact"/>
              <w:jc w:val="left"/>
            </w:pPr>
            <w:r>
              <w:t xml:space="preserve">6.5%</w:t>
            </w:r>
          </w:p>
        </w:tc>
      </w:tr>
      <w:tr>
        <w:tc>
          <w:tcPr/>
          <w:p>
            <w:pPr>
              <w:pStyle w:val="Compact"/>
              <w:jc w:val="left"/>
            </w:pPr>
            <w:r>
              <w:t xml:space="preserve">Largest position</w:t>
            </w:r>
          </w:p>
        </w:tc>
        <w:tc>
          <w:tcPr/>
          <w:p>
            <w:pPr>
              <w:pStyle w:val="Compact"/>
              <w:jc w:val="left"/>
            </w:pPr>
            <w:r>
              <w:t xml:space="preserve">1.05</w:t>
            </w:r>
          </w:p>
        </w:tc>
        <w:tc>
          <w:tcPr/>
          <w:p>
            <w:pPr>
              <w:pStyle w:val="Compact"/>
              <w:jc w:val="left"/>
            </w:pPr>
            <w:r>
              <w:rPr>
                <w:bCs/>
                <w:b/>
              </w:rPr>
              <w:t xml:space="preserve">1.25</w:t>
            </w:r>
          </w:p>
        </w:tc>
        <w:tc>
          <w:tcPr/>
          <w:p>
            <w:pPr>
              <w:pStyle w:val="Compact"/>
              <w:jc w:val="left"/>
            </w:pPr>
            <w:r>
              <w:t xml:space="preserve">1.01</w:t>
            </w:r>
          </w:p>
        </w:tc>
        <w:tc>
          <w:tcPr/>
          <w:p>
            <w:pPr>
              <w:pStyle w:val="Compact"/>
              <w:jc w:val="left"/>
            </w:pPr>
            <w:r>
              <w:t xml:space="preserve">1.02</w:t>
            </w:r>
          </w:p>
        </w:tc>
      </w:tr>
      <w:tr>
        <w:tc>
          <w:tcPr/>
          <w:p>
            <w:pPr>
              <w:pStyle w:val="Compact"/>
              <w:jc w:val="left"/>
            </w:pPr>
            <w:r>
              <w:t xml:space="preserve">Net return at 5 bp</w:t>
            </w:r>
          </w:p>
        </w:tc>
        <w:tc>
          <w:tcPr/>
          <w:p>
            <w:pPr>
              <w:pStyle w:val="Compact"/>
              <w:jc w:val="left"/>
            </w:pPr>
            <w:r>
              <w:rPr>
                <w:bCs/>
                <w:b/>
              </w:rPr>
              <w:t xml:space="preserve">2.26%</w:t>
            </w:r>
          </w:p>
        </w:tc>
        <w:tc>
          <w:tcPr/>
          <w:p>
            <w:pPr>
              <w:pStyle w:val="Compact"/>
              <w:jc w:val="left"/>
            </w:pPr>
            <w:r>
              <w:t xml:space="preserve">1.29%</w:t>
            </w:r>
          </w:p>
        </w:tc>
        <w:tc>
          <w:tcPr/>
          <w:p>
            <w:pPr>
              <w:pStyle w:val="Compact"/>
              <w:jc w:val="left"/>
            </w:pPr>
            <w:r>
              <w:t xml:space="preserve">1.20%</w:t>
            </w:r>
          </w:p>
        </w:tc>
        <w:tc>
          <w:tcPr/>
          <w:p>
            <w:pPr>
              <w:pStyle w:val="Compact"/>
              <w:jc w:val="left"/>
            </w:pPr>
            <w:r>
              <w:t xml:space="preserve">1.07%</w:t>
            </w:r>
          </w:p>
        </w:tc>
      </w:tr>
      <w:tr>
        <w:tc>
          <w:tcPr/>
          <w:p>
            <w:pPr>
              <w:pStyle w:val="Compact"/>
              <w:jc w:val="left"/>
            </w:pPr>
            <w:r>
              <w:t xml:space="preserve">Net return at 10 bp</w:t>
            </w:r>
          </w:p>
        </w:tc>
        <w:tc>
          <w:tcPr/>
          <w:p>
            <w:pPr>
              <w:pStyle w:val="Compact"/>
              <w:jc w:val="left"/>
            </w:pPr>
            <w:r>
              <w:rPr>
                <w:bCs/>
                <w:b/>
              </w:rPr>
              <w:t xml:space="preserve">2.15%</w:t>
            </w:r>
          </w:p>
        </w:tc>
        <w:tc>
          <w:tcPr/>
          <w:p>
            <w:pPr>
              <w:pStyle w:val="Compact"/>
              <w:jc w:val="left"/>
            </w:pPr>
            <w:r>
              <w:t xml:space="preserve">0.26%</w:t>
            </w:r>
          </w:p>
        </w:tc>
        <w:tc>
          <w:tcPr/>
          <w:p>
            <w:pPr>
              <w:pStyle w:val="Compact"/>
              <w:jc w:val="left"/>
            </w:pPr>
            <w:r>
              <w:t xml:space="preserve">0.56%</w:t>
            </w:r>
          </w:p>
        </w:tc>
        <w:tc>
          <w:tcPr/>
          <w:p>
            <w:pPr>
              <w:pStyle w:val="Compact"/>
              <w:jc w:val="left"/>
            </w:pPr>
            <w:r>
              <w:t xml:space="preserve">0.25%</w:t>
            </w:r>
          </w:p>
        </w:tc>
      </w:tr>
    </w:tbl>
    <w:p>
      <w:pPr>
        <w:numPr>
          <w:ilvl w:val="0"/>
          <w:numId w:val="1019"/>
        </w:numPr>
        <w:pStyle w:val="Compact"/>
      </w:pPr>
      <w:r>
        <w:rPr>
          <w:bCs/>
          <w:b/>
        </w:rPr>
        <w:t xml:space="preserve">Every model halves the risk</w:t>
      </w:r>
      <w:r>
        <w:t xml:space="preserve"> </w:t>
      </w:r>
      <w:r>
        <w:t xml:space="preserve">(about 4.4% against 9.72% for 60/30/10), mostly by holding Bunds. (The chart’s volatility axis is zoomed: the whole range is 0.07 points.)</w:t>
      </w:r>
    </w:p>
    <w:p>
      <w:pPr>
        <w:numPr>
          <w:ilvl w:val="0"/>
          <w:numId w:val="1019"/>
        </w:numPr>
        <w:pStyle w:val="Compact"/>
      </w:pPr>
      <w:r>
        <w:rPr>
          <w:bCs/>
          <w:b/>
        </w:rPr>
        <w:t xml:space="preserve">DCC builds the least volatile portfolio, significantly better than CCC</w:t>
      </w:r>
      <w:r>
        <w:t xml:space="preserve"> </w:t>
      </w:r>
      <w:r>
        <w:t xml:space="preserve">— here the moving correlations clearly matter — but</w:t>
      </w:r>
      <w:r>
        <w:t xml:space="preserve"> </w:t>
      </w:r>
      <w:r>
        <w:rPr>
          <w:bCs/>
          <w:b/>
        </w:rPr>
        <w:t xml:space="preserve">not significantly better than the rolling window or EWMA.</w:t>
      </w:r>
    </w:p>
    <w:p>
      <w:pPr>
        <w:numPr>
          <w:ilvl w:val="0"/>
          <w:numId w:val="1019"/>
        </w:numPr>
        <w:pStyle w:val="Compact"/>
      </w:pPr>
      <w:r>
        <w:rPr>
          <w:bCs/>
          <w:b/>
        </w:rPr>
        <w:t xml:space="preserve">Turnover decides.</w:t>
      </w:r>
      <w:r>
        <w:t xml:space="preserve"> </w:t>
      </w:r>
      <w:r>
        <w:t xml:space="preserve">EWMA trades 8.2% of the portfolio a day and takes positions up to 125% in one asset: the near-singular CAC/DAX bets predicted by its eigenvalues (</w:t>
      </w:r>
      <w:r>
        <w:t xml:space="preserve">“</w:t>
      </w:r>
      <w:r>
        <w:t xml:space="preserve">error maximisation</w:t>
      </w:r>
      <w:r>
        <w:t xml:space="preserve">”</w:t>
      </w:r>
      <w:r>
        <w:t xml:space="preserve">). DCC trades 6.5%, the rolling window 0.9%.</w:t>
      </w:r>
    </w:p>
    <w:p>
      <w:pPr>
        <w:numPr>
          <w:ilvl w:val="0"/>
          <w:numId w:val="1019"/>
        </w:numPr>
        <w:pStyle w:val="Compact"/>
      </w:pPr>
      <w:r>
        <w:rPr>
          <w:bCs/>
          <w:b/>
        </w:rPr>
        <w:t xml:space="preserve">After costs, the slow rolling window is best:</w:t>
      </w:r>
      <w:r>
        <w:t xml:space="preserve"> </w:t>
      </w:r>
      <w:r>
        <w:t xml:space="preserve">at 5 bp, DCC loses 0.82% a year to trading, the rolling window 0.11%.</w:t>
      </w:r>
    </w:p>
    <w:p>
      <w:pPr>
        <w:pStyle w:val="FirstParagraph"/>
      </w:pPr>
      <w:r>
        <w:rPr>
          <w:bCs/>
          <w:b/>
        </w:rPr>
        <w:t xml:space="preserve">In plain words.</w:t>
      </w:r>
      <w:r>
        <w:t xml:space="preserve"> </w:t>
      </w:r>
      <w:r>
        <w:t xml:space="preserve">A better forecast is not automatically a better portfolio once you trade on it every day.</w:t>
      </w:r>
    </w:p>
    <w:bookmarkEnd w:id="67"/>
    <w:bookmarkEnd w:id="68"/>
    <w:bookmarkStart w:id="72" w:name="conclusions-and-recommendation"/>
    <w:p>
      <w:pPr>
        <w:pStyle w:val="Heading1"/>
      </w:pPr>
      <w:r>
        <w:t xml:space="preserve">4. Conclusions and Recommendation</w:t>
      </w:r>
    </w:p>
    <w:bookmarkStart w:id="69" w:name="scorecard"/>
    <w:p>
      <w:pPr>
        <w:pStyle w:val="Heading2"/>
      </w:pPr>
      <w:r>
        <w:t xml:space="preserve">4.1 Scorecard</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pPr>
          </w:p>
        </w:tc>
        <w:tc>
          <w:tcPr/>
          <w:p>
            <w:pPr>
              <w:pStyle w:val="Compact"/>
              <w:jc w:val="left"/>
            </w:pPr>
            <w:r>
              <w:t xml:space="preserve">Rolling 250</w:t>
            </w:r>
          </w:p>
        </w:tc>
        <w:tc>
          <w:tcPr/>
          <w:p>
            <w:pPr>
              <w:pStyle w:val="Compact"/>
              <w:jc w:val="left"/>
            </w:pPr>
            <w:r>
              <w:t xml:space="preserve">EWMA</w:t>
            </w:r>
          </w:p>
        </w:tc>
        <w:tc>
          <w:tcPr/>
          <w:p>
            <w:pPr>
              <w:pStyle w:val="Compact"/>
              <w:jc w:val="left"/>
            </w:pPr>
            <w:r>
              <w:t xml:space="preserve">CCC</w:t>
            </w:r>
          </w:p>
        </w:tc>
        <w:tc>
          <w:tcPr/>
          <w:p>
            <w:pPr>
              <w:pStyle w:val="Compact"/>
              <w:jc w:val="left"/>
            </w:pPr>
            <w:r>
              <w:t xml:space="preserve">DCC</w:t>
            </w:r>
          </w:p>
        </w:tc>
      </w:tr>
      <w:tr>
        <w:tc>
          <w:tcPr/>
          <w:p>
            <w:pPr>
              <w:pStyle w:val="Compact"/>
              <w:jc w:val="left"/>
            </w:pPr>
            <w:r>
              <w:t xml:space="preserve">Matrix QLIKE (rank)</w:t>
            </w:r>
          </w:p>
        </w:tc>
        <w:tc>
          <w:tcPr/>
          <w:p>
            <w:pPr>
              <w:pStyle w:val="Compact"/>
              <w:jc w:val="left"/>
            </w:pPr>
            <w:r>
              <w:t xml:space="preserve">1.031 (4)</w:t>
            </w:r>
          </w:p>
        </w:tc>
        <w:tc>
          <w:tcPr/>
          <w:p>
            <w:pPr>
              <w:pStyle w:val="Compact"/>
              <w:jc w:val="left"/>
            </w:pPr>
            <w:r>
              <w:t xml:space="preserve">0.717 (3)</w:t>
            </w:r>
          </w:p>
        </w:tc>
        <w:tc>
          <w:tcPr/>
          <w:p>
            <w:pPr>
              <w:pStyle w:val="Compact"/>
              <w:jc w:val="left"/>
            </w:pPr>
            <w:r>
              <w:t xml:space="preserve">0.387 (2)</w:t>
            </w:r>
          </w:p>
        </w:tc>
        <w:tc>
          <w:tcPr/>
          <w:p>
            <w:pPr>
              <w:pStyle w:val="Compact"/>
              <w:jc w:val="left"/>
            </w:pPr>
            <w:r>
              <w:rPr>
                <w:bCs/>
                <w:b/>
              </w:rPr>
              <w:t xml:space="preserve">0.269 (1)</w:t>
            </w:r>
          </w:p>
        </w:tc>
      </w:tr>
      <w:tr>
        <w:tc>
          <w:tcPr/>
          <w:p>
            <w:pPr>
              <w:pStyle w:val="Compact"/>
              <w:jc w:val="left"/>
            </w:pPr>
            <w:r>
              <w:t xml:space="preserve">Portfolio QLIKE</w:t>
            </w:r>
          </w:p>
        </w:tc>
        <w:tc>
          <w:tcPr/>
          <w:p>
            <w:pPr>
              <w:pStyle w:val="Compact"/>
              <w:jc w:val="left"/>
            </w:pPr>
            <w:r>
              <w:t xml:space="preserve">−0.023</w:t>
            </w:r>
          </w:p>
        </w:tc>
        <w:tc>
          <w:tcPr/>
          <w:p>
            <w:pPr>
              <w:pStyle w:val="Compact"/>
              <w:jc w:val="left"/>
            </w:pPr>
            <w:r>
              <w:t xml:space="preserve">−0.202</w:t>
            </w:r>
          </w:p>
        </w:tc>
        <w:tc>
          <w:tcPr/>
          <w:p>
            <w:pPr>
              <w:pStyle w:val="Compact"/>
              <w:jc w:val="left"/>
            </w:pPr>
            <w:r>
              <w:t xml:space="preserve">−0.256</w:t>
            </w:r>
          </w:p>
        </w:tc>
        <w:tc>
          <w:tcPr/>
          <w:p>
            <w:pPr>
              <w:pStyle w:val="Compact"/>
              <w:jc w:val="left"/>
            </w:pPr>
            <w:r>
              <w:rPr>
                <w:bCs/>
                <w:b/>
              </w:rPr>
              <w:t xml:space="preserve">−0.261</w:t>
            </w:r>
          </w:p>
        </w:tc>
      </w:tr>
      <w:tr>
        <w:tc>
          <w:tcPr/>
          <w:p>
            <w:pPr>
              <w:pStyle w:val="Compact"/>
              <w:jc w:val="left"/>
            </w:pPr>
            <w:r>
              <w:t xml:space="preserve">VaR 99%, FHS (33.5 exp.)</w:t>
            </w:r>
          </w:p>
        </w:tc>
        <w:tc>
          <w:tcPr/>
          <w:p>
            <w:pPr>
              <w:pStyle w:val="Compact"/>
              <w:jc w:val="left"/>
            </w:pPr>
            <w:r>
              <w:t xml:space="preserve">53 ✗</w:t>
            </w:r>
          </w:p>
        </w:tc>
        <w:tc>
          <w:tcPr/>
          <w:p>
            <w:pPr>
              <w:pStyle w:val="Compact"/>
              <w:jc w:val="left"/>
            </w:pPr>
            <w:r>
              <w:t xml:space="preserve">41</w:t>
            </w:r>
          </w:p>
        </w:tc>
        <w:tc>
          <w:tcPr/>
          <w:p>
            <w:pPr>
              <w:pStyle w:val="Compact"/>
              <w:jc w:val="left"/>
            </w:pPr>
            <w:r>
              <w:t xml:space="preserve">43</w:t>
            </w:r>
          </w:p>
        </w:tc>
        <w:tc>
          <w:tcPr/>
          <w:p>
            <w:pPr>
              <w:pStyle w:val="Compact"/>
              <w:jc w:val="left"/>
            </w:pPr>
            <w:r>
              <w:t xml:space="preserve">42</w:t>
            </w:r>
          </w:p>
        </w:tc>
      </w:tr>
      <w:tr>
        <w:tc>
          <w:tcPr/>
          <w:p>
            <w:pPr>
              <w:pStyle w:val="Compact"/>
              <w:jc w:val="left"/>
            </w:pPr>
            <w:r>
              <w:t xml:space="preserve">Avg VaR 99%, FHS</w:t>
            </w:r>
          </w:p>
        </w:tc>
        <w:tc>
          <w:tcPr/>
          <w:p>
            <w:pPr>
              <w:pStyle w:val="Compact"/>
              <w:jc w:val="left"/>
            </w:pPr>
            <w:r>
              <w:t xml:space="preserve">164k</w:t>
            </w:r>
          </w:p>
        </w:tc>
        <w:tc>
          <w:tcPr/>
          <w:p>
            <w:pPr>
              <w:pStyle w:val="Compact"/>
              <w:jc w:val="left"/>
            </w:pPr>
            <w:r>
              <w:t xml:space="preserve">166k</w:t>
            </w:r>
          </w:p>
        </w:tc>
        <w:tc>
          <w:tcPr/>
          <w:p>
            <w:pPr>
              <w:pStyle w:val="Compact"/>
              <w:jc w:val="left"/>
            </w:pPr>
            <w:r>
              <w:t xml:space="preserve">148k</w:t>
            </w:r>
          </w:p>
        </w:tc>
        <w:tc>
          <w:tcPr/>
          <w:p>
            <w:pPr>
              <w:pStyle w:val="Compact"/>
              <w:jc w:val="left"/>
            </w:pPr>
            <w:r>
              <w:rPr>
                <w:bCs/>
                <w:b/>
              </w:rPr>
              <w:t xml:space="preserve">148k</w:t>
            </w:r>
          </w:p>
        </w:tc>
      </w:tr>
      <w:tr>
        <w:tc>
          <w:tcPr/>
          <w:p>
            <w:pPr>
              <w:pStyle w:val="Compact"/>
              <w:jc w:val="left"/>
            </w:pPr>
            <w:r>
              <w:t xml:space="preserve">Min-variance realised vol</w:t>
            </w:r>
          </w:p>
        </w:tc>
        <w:tc>
          <w:tcPr/>
          <w:p>
            <w:pPr>
              <w:pStyle w:val="Compact"/>
              <w:jc w:val="left"/>
            </w:pPr>
            <w:r>
              <w:t xml:space="preserve">4.40%</w:t>
            </w:r>
          </w:p>
        </w:tc>
        <w:tc>
          <w:tcPr/>
          <w:p>
            <w:pPr>
              <w:pStyle w:val="Compact"/>
              <w:jc w:val="left"/>
            </w:pPr>
            <w:r>
              <w:t xml:space="preserve">4.45%</w:t>
            </w:r>
          </w:p>
        </w:tc>
        <w:tc>
          <w:tcPr/>
          <w:p>
            <w:pPr>
              <w:pStyle w:val="Compact"/>
              <w:jc w:val="left"/>
            </w:pPr>
            <w:r>
              <w:t xml:space="preserve">4.46%</w:t>
            </w:r>
          </w:p>
        </w:tc>
        <w:tc>
          <w:tcPr/>
          <w:p>
            <w:pPr>
              <w:pStyle w:val="Compact"/>
              <w:jc w:val="left"/>
            </w:pPr>
            <w:r>
              <w:rPr>
                <w:bCs/>
                <w:b/>
              </w:rPr>
              <w:t xml:space="preserve">4.39%</w:t>
            </w:r>
          </w:p>
        </w:tc>
      </w:tr>
      <w:tr>
        <w:tc>
          <w:tcPr/>
          <w:p>
            <w:pPr>
              <w:pStyle w:val="Compact"/>
              <w:jc w:val="left"/>
            </w:pPr>
            <w:r>
              <w:t xml:space="preserve">Min-variance turnover / day</w:t>
            </w:r>
          </w:p>
        </w:tc>
        <w:tc>
          <w:tcPr/>
          <w:p>
            <w:pPr>
              <w:pStyle w:val="Compact"/>
              <w:jc w:val="left"/>
            </w:pPr>
            <w:r>
              <w:rPr>
                <w:bCs/>
                <w:b/>
              </w:rPr>
              <w:t xml:space="preserve">0.9%</w:t>
            </w:r>
          </w:p>
        </w:tc>
        <w:tc>
          <w:tcPr/>
          <w:p>
            <w:pPr>
              <w:pStyle w:val="Compact"/>
              <w:jc w:val="left"/>
            </w:pPr>
            <w:r>
              <w:t xml:space="preserve">8.2%</w:t>
            </w:r>
          </w:p>
        </w:tc>
        <w:tc>
          <w:tcPr/>
          <w:p>
            <w:pPr>
              <w:pStyle w:val="Compact"/>
              <w:jc w:val="left"/>
            </w:pPr>
            <w:r>
              <w:t xml:space="preserve">5.0%</w:t>
            </w:r>
          </w:p>
        </w:tc>
        <w:tc>
          <w:tcPr/>
          <w:p>
            <w:pPr>
              <w:pStyle w:val="Compact"/>
              <w:jc w:val="left"/>
            </w:pPr>
            <w:r>
              <w:t xml:space="preserve">6.5%</w:t>
            </w:r>
          </w:p>
        </w:tc>
      </w:tr>
      <w:tr>
        <w:tc>
          <w:tcPr/>
          <w:p>
            <w:pPr>
              <w:pStyle w:val="Compact"/>
              <w:jc w:val="left"/>
            </w:pPr>
            <w:r>
              <w:t xml:space="preserve">Min-variance net return, 5 bp</w:t>
            </w:r>
          </w:p>
        </w:tc>
        <w:tc>
          <w:tcPr/>
          <w:p>
            <w:pPr>
              <w:pStyle w:val="Compact"/>
              <w:jc w:val="left"/>
            </w:pPr>
            <w:r>
              <w:rPr>
                <w:bCs/>
                <w:b/>
              </w:rPr>
              <w:t xml:space="preserve">2.26%</w:t>
            </w:r>
          </w:p>
        </w:tc>
        <w:tc>
          <w:tcPr/>
          <w:p>
            <w:pPr>
              <w:pStyle w:val="Compact"/>
              <w:jc w:val="left"/>
            </w:pPr>
            <w:r>
              <w:t xml:space="preserve">1.29%</w:t>
            </w:r>
          </w:p>
        </w:tc>
        <w:tc>
          <w:tcPr/>
          <w:p>
            <w:pPr>
              <w:pStyle w:val="Compact"/>
              <w:jc w:val="left"/>
            </w:pPr>
            <w:r>
              <w:t xml:space="preserve">1.20%</w:t>
            </w:r>
          </w:p>
        </w:tc>
        <w:tc>
          <w:tcPr/>
          <w:p>
            <w:pPr>
              <w:pStyle w:val="Compact"/>
              <w:jc w:val="left"/>
            </w:pPr>
            <w:r>
              <w:t xml:space="preserve">1.07%</w:t>
            </w:r>
          </w:p>
        </w:tc>
      </w:tr>
    </w:tbl>
    <w:bookmarkEnd w:id="69"/>
    <w:bookmarkStart w:id="70" w:name="main-findings"/>
    <w:p>
      <w:pPr>
        <w:pStyle w:val="Heading2"/>
      </w:pPr>
      <w:r>
        <w:t xml:space="preserve">4.2 Main findings</w:t>
      </w:r>
    </w:p>
    <w:p>
      <w:pPr>
        <w:numPr>
          <w:ilvl w:val="0"/>
          <w:numId w:val="1020"/>
        </w:numPr>
        <w:pStyle w:val="Compact"/>
      </w:pPr>
      <w:r>
        <w:rPr>
          <w:bCs/>
          <w:b/>
        </w:rPr>
        <w:t xml:space="preserve">Data quality first:</w:t>
      </w:r>
      <w:r>
        <w:t xml:space="preserve"> </w:t>
      </w:r>
      <w:r>
        <w:t xml:space="preserve">Yahoo’s adjusted Bund prices missed 8 coupon payouts before 2013; the total return was rebuilt.</w:t>
      </w:r>
    </w:p>
    <w:p>
      <w:pPr>
        <w:numPr>
          <w:ilvl w:val="0"/>
          <w:numId w:val="1020"/>
        </w:numPr>
        <w:pStyle w:val="Compact"/>
      </w:pPr>
      <w:r>
        <w:rPr>
          <w:bCs/>
          <w:b/>
        </w:rPr>
        <w:t xml:space="preserve">Correlations are not constant</w:t>
      </w:r>
      <w:r>
        <w:t xml:space="preserve"> </w:t>
      </w:r>
      <w:r>
        <w:t xml:space="preserve">(stock–Bund from −0.87 to +0.79; LR = 889 against constant correlation), and</w:t>
      </w:r>
      <w:r>
        <w:t xml:space="preserve"> </w:t>
      </w:r>
      <w:r>
        <w:rPr>
          <w:bCs/>
          <w:b/>
        </w:rPr>
        <w:t xml:space="preserve">equity correlations rise in crashes</w:t>
      </w:r>
      <w:r>
        <w:t xml:space="preserve">.</w:t>
      </w:r>
    </w:p>
    <w:p>
      <w:pPr>
        <w:numPr>
          <w:ilvl w:val="0"/>
          <w:numId w:val="1020"/>
        </w:numPr>
        <w:pStyle w:val="Compact"/>
      </w:pPr>
      <w:r>
        <w:rPr>
          <w:bCs/>
          <w:b/>
        </w:rPr>
        <w:t xml:space="preserve">The hedge can disappear:</w:t>
      </w:r>
      <w:r>
        <w:t xml:space="preserve"> </w:t>
      </w:r>
      <w:r>
        <w:t xml:space="preserve">Bunds hedged the GFC and the euro crisis, not 2022, and added to risk in 2026.</w:t>
      </w:r>
    </w:p>
    <w:p>
      <w:pPr>
        <w:numPr>
          <w:ilvl w:val="0"/>
          <w:numId w:val="1020"/>
        </w:numPr>
        <w:pStyle w:val="Compact"/>
      </w:pPr>
      <w:r>
        <w:rPr>
          <w:bCs/>
          <w:b/>
        </w:rPr>
        <w:t xml:space="preserve">DCC is the most accurate covariance forecast out of sample</w:t>
      </w:r>
      <w:r>
        <w:t xml:space="preserve"> </w:t>
      </w:r>
      <w:r>
        <w:t xml:space="preserve">(DM 3.8–7.0 against every model). Its weakness is a lasting new regime, where its pull to the long-run average makes it trail EWMA.</w:t>
      </w:r>
    </w:p>
    <w:p>
      <w:pPr>
        <w:numPr>
          <w:ilvl w:val="0"/>
          <w:numId w:val="1020"/>
        </w:numPr>
        <w:pStyle w:val="Compact"/>
      </w:pPr>
      <w:r>
        <w:rPr>
          <w:bCs/>
          <w:b/>
        </w:rPr>
        <w:t xml:space="preserve">For one balanced portfolio, the volatility models do most of the work:</w:t>
      </w:r>
      <w:r>
        <w:t xml:space="preserve"> </w:t>
      </w:r>
      <w:r>
        <w:t xml:space="preserve">DCC and CCC give the same VaR and both pass the backtests with FHS, at 11% less VaR than EWMA.</w:t>
      </w:r>
    </w:p>
    <w:p>
      <w:pPr>
        <w:numPr>
          <w:ilvl w:val="0"/>
          <w:numId w:val="1020"/>
        </w:numPr>
        <w:pStyle w:val="Compact"/>
      </w:pPr>
      <w:r>
        <w:rPr>
          <w:bCs/>
          <w:b/>
        </w:rPr>
        <w:t xml:space="preserve">For portfolio construction, turnover decides:</w:t>
      </w:r>
      <w:r>
        <w:t xml:space="preserve"> </w:t>
      </w:r>
      <w:r>
        <w:t xml:space="preserve">after realistic costs, the slow rolling window beats DCC.</w:t>
      </w:r>
    </w:p>
    <w:bookmarkEnd w:id="70"/>
    <w:bookmarkStart w:id="71" w:name="recommendation-to-the-risk-committee"/>
    <w:p>
      <w:pPr>
        <w:pStyle w:val="Heading2"/>
      </w:pPr>
      <w:r>
        <w:t xml:space="preserve">4.3 Recommendation to the risk committee</w:t>
      </w:r>
    </w:p>
    <w:p>
      <w:pPr>
        <w:numPr>
          <w:ilvl w:val="0"/>
          <w:numId w:val="1021"/>
        </w:numPr>
        <w:pStyle w:val="Compact"/>
      </w:pPr>
      <w:r>
        <w:rPr>
          <w:bCs/>
          <w:b/>
        </w:rPr>
        <w:t xml:space="preserve">Risk measurement (VaR, ES, limits):</w:t>
      </w:r>
      <w:r>
        <w:t xml:space="preserve"> </w:t>
      </w:r>
      <w:r>
        <w:t xml:space="preserve">DCC-GJR covariance with FHS tails, re-estimated monthly; monitor the stock–bond correlation as a key risk indicator.</w:t>
      </w:r>
    </w:p>
    <w:p>
      <w:pPr>
        <w:numPr>
          <w:ilvl w:val="0"/>
          <w:numId w:val="1021"/>
        </w:numPr>
        <w:pStyle w:val="Compact"/>
      </w:pPr>
      <w:r>
        <w:rPr>
          <w:bCs/>
          <w:b/>
        </w:rPr>
        <w:t xml:space="preserve">Portfolio construction:</w:t>
      </w:r>
      <w:r>
        <w:t xml:space="preserve"> </w:t>
      </w:r>
      <w:r>
        <w:t xml:space="preserve">do not trade on raw daily DCC forecasts; use a smoothed covariance — rolling window, shrinkage, DCC with trading bands or a turnover penalty.</w:t>
      </w:r>
    </w:p>
    <w:p>
      <w:pPr>
        <w:numPr>
          <w:ilvl w:val="0"/>
          <w:numId w:val="1021"/>
        </w:numPr>
        <w:pStyle w:val="Compact"/>
      </w:pPr>
      <w:r>
        <w:rPr>
          <w:bCs/>
          <w:b/>
        </w:rPr>
        <w:t xml:space="preserve">Stress testing:</w:t>
      </w:r>
      <w:r>
        <w:t xml:space="preserve"> </w:t>
      </w:r>
      <w:r>
        <w:t xml:space="preserve">always include scenarios with a positive stock–bond correlation (2022, 2026).</w:t>
      </w:r>
    </w:p>
    <w:bookmarkEnd w:id="71"/>
    <w:bookmarkEnd w:id="72"/>
    <w:bookmarkStart w:id="73" w:name="limitations-and-next-steps"/>
    <w:p>
      <w:pPr>
        <w:pStyle w:val="Heading1"/>
      </w:pPr>
      <w:r>
        <w:t xml:space="preserve">5. Limitations and Next Steps</w:t>
      </w:r>
    </w:p>
    <w:p>
      <w:pPr>
        <w:numPr>
          <w:ilvl w:val="0"/>
          <w:numId w:val="1022"/>
        </w:numPr>
        <w:pStyle w:val="Compact"/>
      </w:pPr>
      <w:r>
        <w:rPr>
          <w:bCs/>
          <w:b/>
        </w:rPr>
        <w:t xml:space="preserve">One (a, b) for all 10 pairs:</w:t>
      </w:r>
      <w:r>
        <w:t xml:space="preserve"> </w:t>
      </w:r>
      <w:r>
        <w:t xml:space="preserve">pair-specific or flexible DCC would let the stock–bond correlation move faster than CAC–DAX.</w:t>
      </w:r>
    </w:p>
    <w:p>
      <w:pPr>
        <w:numPr>
          <w:ilvl w:val="0"/>
          <w:numId w:val="1022"/>
        </w:numPr>
        <w:pStyle w:val="Compact"/>
      </w:pPr>
      <w:r>
        <w:rPr>
          <w:bCs/>
          <w:b/>
        </w:rPr>
        <w:t xml:space="preserve">Symmetric DCC:</w:t>
      </w:r>
      <w:r>
        <w:t xml:space="preserve"> </w:t>
      </w:r>
      <w:r>
        <w:t xml:space="preserve">asymmetric DCC (ADCC) lets correlations rise more after joint falls.</w:t>
      </w:r>
    </w:p>
    <w:p>
      <w:pPr>
        <w:numPr>
          <w:ilvl w:val="0"/>
          <w:numId w:val="1022"/>
        </w:numPr>
        <w:pStyle w:val="Compact"/>
      </w:pPr>
      <w:r>
        <w:rPr>
          <w:bCs/>
          <w:b/>
        </w:rPr>
        <w:t xml:space="preserve">Gaussian quasi-likelihood for correlations:</w:t>
      </w:r>
      <w:r>
        <w:t xml:space="preserve"> </w:t>
      </w:r>
      <w:r>
        <w:t xml:space="preserve">fat tails are handled in the univariate step and through FHS, not jointly (a multivariate Student-t or copula would).</w:t>
      </w:r>
    </w:p>
    <w:p>
      <w:pPr>
        <w:numPr>
          <w:ilvl w:val="0"/>
          <w:numId w:val="1022"/>
        </w:numPr>
        <w:pStyle w:val="Compact"/>
      </w:pPr>
      <w:r>
        <w:rPr>
          <w:bCs/>
          <w:b/>
        </w:rPr>
        <w:t xml:space="preserve">Non-synchronous closes</w:t>
      </w:r>
      <w:r>
        <w:t xml:space="preserve"> </w:t>
      </w:r>
      <w:r>
        <w:t xml:space="preserve">between Europe, New York, Xetra and the FX fixing lower measured daily correlations.</w:t>
      </w:r>
    </w:p>
    <w:p>
      <w:pPr>
        <w:numPr>
          <w:ilvl w:val="0"/>
          <w:numId w:val="1022"/>
        </w:numPr>
        <w:pStyle w:val="Compact"/>
      </w:pPr>
      <w:r>
        <w:rPr>
          <w:bCs/>
          <w:b/>
        </w:rPr>
        <w:t xml:space="preserve">Bund history from 2008 only</w:t>
      </w:r>
      <w:r>
        <w:t xml:space="preserve">, with 8 payouts estimated before 2013.</w:t>
      </w:r>
    </w:p>
    <w:p>
      <w:pPr>
        <w:numPr>
          <w:ilvl w:val="0"/>
          <w:numId w:val="1022"/>
        </w:numPr>
        <w:pStyle w:val="Compact"/>
      </w:pPr>
      <w:r>
        <w:rPr>
          <w:bCs/>
          <w:b/>
        </w:rPr>
        <w:t xml:space="preserve">Minimum variance with shorts and linear costs:</w:t>
      </w:r>
      <w:r>
        <w:t xml:space="preserve"> </w:t>
      </w:r>
      <w:r>
        <w:t xml:space="preserve">long-only, turnover-penalised and shrinkage portfolios are natural extensions (and the subject of covariance cleaning).</w:t>
      </w:r>
    </w:p>
    <w:p>
      <w:pPr>
        <w:numPr>
          <w:ilvl w:val="0"/>
          <w:numId w:val="1022"/>
        </w:numPr>
        <w:pStyle w:val="Compact"/>
      </w:pPr>
      <w:r>
        <w:rPr>
          <w:bCs/>
          <w:b/>
        </w:rPr>
        <w:t xml:space="preserve">Next project (5):</w:t>
      </w:r>
      <w:r>
        <w:t xml:space="preserve"> </w:t>
      </w:r>
      <w:r>
        <w:t xml:space="preserve">bond portfolio risk — where the stock–bond correlation and rate risk meet.</w:t>
      </w:r>
    </w:p>
    <w:bookmarkEnd w:id="73"/>
    <w:bookmarkStart w:id="74" w:name="how-the-code-is-organised"/>
    <w:p>
      <w:pPr>
        <w:pStyle w:val="Heading1"/>
      </w:pPr>
      <w:r>
        <w:t xml:space="preserve">6. How the Code Is Organised</w:t>
      </w:r>
    </w:p>
    <w:p>
      <w:pPr>
        <w:pStyle w:val="SourceCode"/>
      </w:pPr>
      <w:r>
        <w:rPr>
          <w:rStyle w:val="VerbatimChar"/>
        </w:rPr>
        <w:t xml:space="preserve">multivariate-volatility-dcc/</w:t>
      </w:r>
      <w:r>
        <w:br/>
      </w:r>
      <w:r>
        <w:rPr>
          <w:rStyle w:val="VerbatimChar"/>
        </w:rPr>
        <w:t xml:space="preserve">├── data/raw/                       downloads (Yahoo, FRED), cleaned Bund total return</w:t>
      </w:r>
      <w:r>
        <w:br/>
      </w:r>
      <w:r>
        <w:rPr>
          <w:rStyle w:val="VerbatimChar"/>
        </w:rPr>
        <w:t xml:space="preserve">├── data/processed/                 EUR returns, out-of-sample forecasts, DCC parameters</w:t>
      </w:r>
      <w:r>
        <w:br/>
      </w:r>
      <w:r>
        <w:rPr>
          <w:rStyle w:val="VerbatimChar"/>
        </w:rPr>
        <w:t xml:space="preserve">├── notebooks/01_multivariate.ipynb the analysis, Sections 1-11</w:t>
      </w:r>
      <w:r>
        <w:br/>
      </w:r>
      <w:r>
        <w:rPr>
          <w:rStyle w:val="VerbatimChar"/>
        </w:rPr>
        <w:t xml:space="preserve">├── notes/theory.md                 theory notes (Equations 1-18)</w:t>
      </w:r>
      <w:r>
        <w:br/>
      </w:r>
      <w:r>
        <w:rPr>
          <w:rStyle w:val="VerbatimChar"/>
        </w:rPr>
        <w:t xml:space="preserve">├── reports/figures/                charts</w:t>
      </w:r>
      <w:r>
        <w:br/>
      </w:r>
      <w:r>
        <w:rPr>
          <w:rStyle w:val="VerbatimChar"/>
        </w:rPr>
        <w:t xml:space="preserve">├── src/covforecast/                the package</w:t>
      </w:r>
      <w:r>
        <w:br/>
      </w:r>
      <w:r>
        <w:rPr>
          <w:rStyle w:val="VerbatimChar"/>
        </w:rPr>
        <w:t xml:space="preserve">└── tests/test_covforecast.py       26 unit tests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Functions</w:t>
            </w:r>
          </w:p>
        </w:tc>
        <w:tc>
          <w:tcPr/>
          <w:p>
            <w:pPr>
              <w:pStyle w:val="Compact"/>
              <w:jc w:val="left"/>
            </w:pPr>
            <w:r>
              <w:t xml:space="preserve">Role</w:t>
            </w:r>
          </w:p>
        </w:tc>
      </w:tr>
      <w:tr>
        <w:tc>
          <w:tcPr/>
          <w:p>
            <w:pPr>
              <w:pStyle w:val="Compact"/>
              <w:jc w:val="left"/>
            </w:pPr>
            <w:r>
              <w:rPr>
                <w:rStyle w:val="VerbatimChar"/>
              </w:rPr>
              <w:t xml:space="preserve">data.py</w:t>
            </w:r>
          </w:p>
        </w:tc>
        <w:tc>
          <w:tcPr/>
          <w:p>
            <w:pPr>
              <w:pStyle w:val="Compact"/>
              <w:jc w:val="left"/>
            </w:pPr>
            <w:r>
              <w:rPr>
                <w:rStyle w:val="VerbatimChar"/>
              </w:rPr>
              <w:t xml:space="preserve">total_return</w:t>
            </w:r>
            <w:r>
              <w:t xml:space="preserve">,</w:t>
            </w:r>
            <w:r>
              <w:t xml:space="preserve"> </w:t>
            </w:r>
            <w:r>
              <w:rPr>
                <w:rStyle w:val="VerbatimChar"/>
              </w:rPr>
              <w:t xml:space="preserve">return_index</w:t>
            </w:r>
            <w:r>
              <w:t xml:space="preserve">,</w:t>
            </w:r>
            <w:r>
              <w:t xml:space="preserve"> </w:t>
            </w:r>
            <w:r>
              <w:rPr>
                <w:rStyle w:val="VerbatimChar"/>
              </w:rPr>
              <w:t xml:space="preserve">eur_returns</w:t>
            </w:r>
            <w:r>
              <w:t xml:space="preserve">,</w:t>
            </w:r>
            <w:r>
              <w:t xml:space="preserve"> </w:t>
            </w:r>
            <w:r>
              <w:rPr>
                <w:rStyle w:val="VerbatimChar"/>
              </w:rPr>
              <w:t xml:space="preserve">portfolio_returns</w:t>
            </w:r>
          </w:p>
        </w:tc>
        <w:tc>
          <w:tcPr/>
          <w:p>
            <w:pPr>
              <w:pStyle w:val="Compact"/>
              <w:jc w:val="left"/>
            </w:pPr>
            <w:r>
              <w:t xml:space="preserve">Bund total return, EUR returns on a common calendar, portfolio</w:t>
            </w:r>
          </w:p>
        </w:tc>
      </w:tr>
      <w:tr>
        <w:tc>
          <w:tcPr/>
          <w:p>
            <w:pPr>
              <w:pStyle w:val="Compact"/>
              <w:jc w:val="left"/>
            </w:pPr>
            <w:r>
              <w:rPr>
                <w:rStyle w:val="VerbatimChar"/>
              </w:rPr>
              <w:t xml:space="preserve">covariance.py</w:t>
            </w:r>
          </w:p>
        </w:tc>
        <w:tc>
          <w:tcPr/>
          <w:p>
            <w:pPr>
              <w:pStyle w:val="Compact"/>
              <w:jc w:val="left"/>
            </w:pPr>
            <w:r>
              <w:rPr>
                <w:rStyle w:val="VerbatimChar"/>
              </w:rPr>
              <w:t xml:space="preserve">portfolio_variance</w:t>
            </w:r>
            <w:r>
              <w:t xml:space="preserve">,</w:t>
            </w:r>
            <w:r>
              <w:t xml:space="preserve"> </w:t>
            </w:r>
            <w:r>
              <w:rPr>
                <w:rStyle w:val="VerbatimChar"/>
              </w:rPr>
              <w:t xml:space="preserve">rolling_cov</w:t>
            </w:r>
            <w:r>
              <w:t xml:space="preserve">,</w:t>
            </w:r>
            <w:r>
              <w:t xml:space="preserve"> </w:t>
            </w:r>
            <w:r>
              <w:rPr>
                <w:rStyle w:val="VerbatimChar"/>
              </w:rPr>
              <w:t xml:space="preserve">ewma_cov</w:t>
            </w:r>
            <w:r>
              <w:t xml:space="preserve">,</w:t>
            </w:r>
            <w:r>
              <w:t xml:space="preserve"> </w:t>
            </w:r>
            <w:r>
              <w:rPr>
                <w:rStyle w:val="VerbatimChar"/>
              </w:rPr>
              <w:t xml:space="preserve">cov_to_corr</w:t>
            </w:r>
            <w:r>
              <w:t xml:space="preserve">,</w:t>
            </w:r>
            <w:r>
              <w:t xml:space="preserve"> </w:t>
            </w:r>
            <w:r>
              <w:rPr>
                <w:rStyle w:val="VerbatimChar"/>
              </w:rPr>
              <w:t xml:space="preserve">pair_series</w:t>
            </w:r>
          </w:p>
        </w:tc>
        <w:tc>
          <w:tcPr/>
          <w:p>
            <w:pPr>
              <w:pStyle w:val="Compact"/>
              <w:jc w:val="left"/>
            </w:pPr>
            <w:r>
              <w:t xml:space="preserve">basic tools and benchmark forecasts</w:t>
            </w:r>
          </w:p>
        </w:tc>
      </w:tr>
      <w:tr>
        <w:tc>
          <w:tcPr/>
          <w:p>
            <w:pPr>
              <w:pStyle w:val="Compact"/>
              <w:jc w:val="left"/>
            </w:pPr>
            <w:r>
              <w:rPr>
                <w:rStyle w:val="VerbatimChar"/>
              </w:rPr>
              <w:t xml:space="preserve">univariate.py</w:t>
            </w:r>
          </w:p>
        </w:tc>
        <w:tc>
          <w:tcPr/>
          <w:p>
            <w:pPr>
              <w:pStyle w:val="Compact"/>
              <w:jc w:val="left"/>
            </w:pPr>
            <w:r>
              <w:rPr>
                <w:rStyle w:val="VerbatimChar"/>
              </w:rPr>
              <w:t xml:space="preserve">gjr_variance</w:t>
            </w:r>
            <w:r>
              <w:t xml:space="preserve">,</w:t>
            </w:r>
            <w:r>
              <w:t xml:space="preserve"> </w:t>
            </w:r>
            <w:r>
              <w:rPr>
                <w:rStyle w:val="VerbatimChar"/>
              </w:rPr>
              <w:t xml:space="preserve">gjr_t_loglik</w:t>
            </w:r>
            <w:r>
              <w:t xml:space="preserve">,</w:t>
            </w:r>
            <w:r>
              <w:t xml:space="preserve"> </w:t>
            </w:r>
            <w:r>
              <w:rPr>
                <w:rStyle w:val="VerbatimChar"/>
              </w:rPr>
              <w:t xml:space="preserve">fit_gjr_t</w:t>
            </w:r>
          </w:p>
        </w:tc>
        <w:tc>
          <w:tcPr/>
          <w:p>
            <w:pPr>
              <w:pStyle w:val="Compact"/>
              <w:jc w:val="left"/>
            </w:pPr>
            <w:r>
              <w:t xml:space="preserve">volatility per asset</w:t>
            </w:r>
          </w:p>
        </w:tc>
      </w:tr>
      <w:tr>
        <w:tc>
          <w:tcPr/>
          <w:p>
            <w:pPr>
              <w:pStyle w:val="Compact"/>
              <w:jc w:val="left"/>
            </w:pPr>
            <w:r>
              <w:rPr>
                <w:rStyle w:val="VerbatimChar"/>
              </w:rPr>
              <w:t xml:space="preserve">mgarch.py</w:t>
            </w:r>
          </w:p>
        </w:tc>
        <w:tc>
          <w:tcPr/>
          <w:p>
            <w:pPr>
              <w:pStyle w:val="Compact"/>
              <w:jc w:val="left"/>
            </w:pPr>
            <w:r>
              <w:rPr>
                <w:rStyle w:val="VerbatimChar"/>
              </w:rPr>
              <w:t xml:space="preserve">qbar</w:t>
            </w:r>
            <w:r>
              <w:t xml:space="preserve">,</w:t>
            </w:r>
            <w:r>
              <w:t xml:space="preserve"> </w:t>
            </w:r>
            <w:r>
              <w:rPr>
                <w:rStyle w:val="VerbatimChar"/>
              </w:rPr>
              <w:t xml:space="preserve">ccc_cov</w:t>
            </w:r>
            <w:r>
              <w:t xml:space="preserve">,</w:t>
            </w:r>
            <w:r>
              <w:t xml:space="preserve"> </w:t>
            </w:r>
            <w:r>
              <w:rPr>
                <w:rStyle w:val="VerbatimChar"/>
              </w:rPr>
              <w:t xml:space="preserve">dcc_correlations</w:t>
            </w:r>
            <w:r>
              <w:t xml:space="preserve">,</w:t>
            </w:r>
            <w:r>
              <w:t xml:space="preserve"> </w:t>
            </w:r>
            <w:r>
              <w:rPr>
                <w:rStyle w:val="VerbatimChar"/>
              </w:rPr>
              <w:t xml:space="preserve">dcc_cov</w:t>
            </w:r>
            <w:r>
              <w:t xml:space="preserve">,</w:t>
            </w:r>
            <w:r>
              <w:t xml:space="preserve"> </w:t>
            </w:r>
            <w:r>
              <w:rPr>
                <w:rStyle w:val="VerbatimChar"/>
              </w:rPr>
              <w:t xml:space="preserve">dcc_loglik</w:t>
            </w:r>
            <w:r>
              <w:t xml:space="preserve">,</w:t>
            </w:r>
            <w:r>
              <w:t xml:space="preserve"> </w:t>
            </w:r>
            <w:r>
              <w:rPr>
                <w:rStyle w:val="VerbatimChar"/>
              </w:rPr>
              <w:t xml:space="preserve">fit_dcc</w:t>
            </w:r>
            <w:r>
              <w:t xml:space="preserve">,</w:t>
            </w:r>
            <w:r>
              <w:t xml:space="preserve"> </w:t>
            </w:r>
            <w:r>
              <w:rPr>
                <w:rStyle w:val="VerbatimChar"/>
              </w:rPr>
              <w:t xml:space="preserve">rolling_ccc_dcc</w:t>
            </w:r>
          </w:p>
        </w:tc>
        <w:tc>
          <w:tcPr/>
          <w:p>
            <w:pPr>
              <w:pStyle w:val="Compact"/>
              <w:jc w:val="left"/>
            </w:pPr>
            <w:r>
              <w:t xml:space="preserve">CCC, DCC, out-of-sample forecasts</w:t>
            </w:r>
          </w:p>
        </w:tc>
      </w:tr>
      <w:tr>
        <w:tc>
          <w:tcPr/>
          <w:p>
            <w:pPr>
              <w:pStyle w:val="Compact"/>
              <w:jc w:val="left"/>
            </w:pPr>
            <w:r>
              <w:rPr>
                <w:rStyle w:val="VerbatimChar"/>
              </w:rPr>
              <w:t xml:space="preserve">evaluation.py</w:t>
            </w:r>
          </w:p>
        </w:tc>
        <w:tc>
          <w:tcPr/>
          <w:p>
            <w:pPr>
              <w:pStyle w:val="Compact"/>
              <w:jc w:val="left"/>
            </w:pPr>
            <w:r>
              <w:rPr>
                <w:rStyle w:val="VerbatimChar"/>
              </w:rPr>
              <w:t xml:space="preserve">qlike_matrix</w:t>
            </w:r>
            <w:r>
              <w:t xml:space="preserve">,</w:t>
            </w:r>
            <w:r>
              <w:t xml:space="preserve"> </w:t>
            </w:r>
            <w:r>
              <w:rPr>
                <w:rStyle w:val="VerbatimChar"/>
              </w:rPr>
              <w:t xml:space="preserve">qlike_portfolio</w:t>
            </w:r>
            <w:r>
              <w:t xml:space="preserve">,</w:t>
            </w:r>
            <w:r>
              <w:t xml:space="preserve"> </w:t>
            </w:r>
            <w:r>
              <w:rPr>
                <w:rStyle w:val="VerbatimChar"/>
              </w:rPr>
              <w:t xml:space="preserve">diebold_mariano</w:t>
            </w:r>
          </w:p>
        </w:tc>
        <w:tc>
          <w:tcPr/>
          <w:p>
            <w:pPr>
              <w:pStyle w:val="Compact"/>
              <w:jc w:val="left"/>
            </w:pPr>
            <w:r>
              <w:t xml:space="preserve">forecast accuracy</w:t>
            </w:r>
          </w:p>
        </w:tc>
      </w:tr>
      <w:tr>
        <w:tc>
          <w:tcPr/>
          <w:p>
            <w:pPr>
              <w:pStyle w:val="Compact"/>
              <w:jc w:val="left"/>
            </w:pPr>
            <w:r>
              <w:rPr>
                <w:rStyle w:val="VerbatimChar"/>
              </w:rPr>
              <w:t xml:space="preserve">risk.py</w:t>
            </w:r>
          </w:p>
        </w:tc>
        <w:tc>
          <w:tcPr/>
          <w:p>
            <w:pPr>
              <w:pStyle w:val="Compact"/>
              <w:jc w:val="left"/>
            </w:pPr>
            <w:r>
              <w:rPr>
                <w:rStyle w:val="VerbatimChar"/>
              </w:rPr>
              <w:t xml:space="preserve">var_es_normal</w:t>
            </w:r>
            <w:r>
              <w:t xml:space="preserve">,</w:t>
            </w:r>
            <w:r>
              <w:t xml:space="preserve"> </w:t>
            </w:r>
            <w:r>
              <w:rPr>
                <w:rStyle w:val="VerbatimChar"/>
              </w:rPr>
              <w:t xml:space="preserve">var_es_fhs</w:t>
            </w:r>
            <w:r>
              <w:t xml:space="preserve">,</w:t>
            </w:r>
            <w:r>
              <w:t xml:space="preserve"> </w:t>
            </w:r>
            <w:r>
              <w:rPr>
                <w:rStyle w:val="VerbatimChar"/>
              </w:rPr>
              <w:t xml:space="preserve">kupiec_test</w:t>
            </w:r>
            <w:r>
              <w:t xml:space="preserve">,</w:t>
            </w:r>
            <w:r>
              <w:t xml:space="preserve"> </w:t>
            </w:r>
            <w:r>
              <w:rPr>
                <w:rStyle w:val="VerbatimChar"/>
              </w:rPr>
              <w:t xml:space="preserve">christoffersen_test</w:t>
            </w:r>
            <w:r>
              <w:t xml:space="preserve">,</w:t>
            </w:r>
            <w:r>
              <w:t xml:space="preserve"> </w:t>
            </w:r>
            <w:r>
              <w:rPr>
                <w:rStyle w:val="VerbatimChar"/>
              </w:rPr>
              <w:t xml:space="preserve">acerbi_szekely_z2</w:t>
            </w:r>
          </w:p>
        </w:tc>
        <w:tc>
          <w:tcPr/>
          <w:p>
            <w:pPr>
              <w:pStyle w:val="Compact"/>
              <w:jc w:val="left"/>
            </w:pPr>
            <w:r>
              <w:t xml:space="preserve">portfolio VaR/ES and backtests</w:t>
            </w:r>
          </w:p>
        </w:tc>
      </w:tr>
      <w:tr>
        <w:tc>
          <w:tcPr/>
          <w:p>
            <w:pPr>
              <w:pStyle w:val="Compact"/>
              <w:jc w:val="left"/>
            </w:pPr>
            <w:r>
              <w:rPr>
                <w:rStyle w:val="VerbatimChar"/>
              </w:rPr>
              <w:t xml:space="preserve">portfolio.py</w:t>
            </w:r>
          </w:p>
        </w:tc>
        <w:tc>
          <w:tcPr/>
          <w:p>
            <w:pPr>
              <w:pStyle w:val="Compact"/>
              <w:jc w:val="left"/>
            </w:pPr>
            <w:r>
              <w:rPr>
                <w:rStyle w:val="VerbatimChar"/>
              </w:rPr>
              <w:t xml:space="preserve">min_variance_weights</w:t>
            </w:r>
            <w:r>
              <w:t xml:space="preserve">,</w:t>
            </w:r>
            <w:r>
              <w:t xml:space="preserve"> </w:t>
            </w:r>
            <w:r>
              <w:rPr>
                <w:rStyle w:val="VerbatimChar"/>
              </w:rPr>
              <w:t xml:space="preserve">turnover</w:t>
            </w:r>
          </w:p>
        </w:tc>
        <w:tc>
          <w:tcPr/>
          <w:p>
            <w:pPr>
              <w:pStyle w:val="Compact"/>
              <w:jc w:val="left"/>
            </w:pPr>
            <w:r>
              <w:t xml:space="preserve">minimum-variance portfolios</w:t>
            </w:r>
          </w:p>
        </w:tc>
      </w:tr>
      <w:tr>
        <w:tc>
          <w:tcPr/>
          <w:p>
            <w:pPr>
              <w:pStyle w:val="Compact"/>
              <w:jc w:val="left"/>
            </w:pPr>
            <w:r>
              <w:rPr>
                <w:rStyle w:val="VerbatimChar"/>
              </w:rPr>
              <w:t xml:space="preserve">plots.py</w:t>
            </w:r>
          </w:p>
        </w:tc>
        <w:tc>
          <w:tcPr/>
          <w:p>
            <w:pPr>
              <w:pStyle w:val="Compact"/>
              <w:jc w:val="left"/>
            </w:pPr>
            <w:r>
              <w:rPr>
                <w:rStyle w:val="VerbatimChar"/>
              </w:rPr>
              <w:t xml:space="preserve">plot_correlations</w:t>
            </w:r>
            <w:r>
              <w:t xml:space="preserve">,</w:t>
            </w:r>
            <w:r>
              <w:t xml:space="preserve"> </w:t>
            </w:r>
            <w:r>
              <w:rPr>
                <w:rStyle w:val="VerbatimChar"/>
              </w:rPr>
              <w:t xml:space="preserve">plot_scores</w:t>
            </w:r>
            <w:r>
              <w:t xml:space="preserve">,</w:t>
            </w:r>
            <w:r>
              <w:t xml:space="preserve"> </w:t>
            </w:r>
            <w:r>
              <w:rPr>
                <w:rStyle w:val="VerbatimChar"/>
              </w:rPr>
              <w:t xml:space="preserve">plot_var_backtest</w:t>
            </w:r>
            <w:r>
              <w:t xml:space="preserve">,</w:t>
            </w:r>
            <w:r>
              <w:t xml:space="preserve"> </w:t>
            </w:r>
            <w:r>
              <w:rPr>
                <w:rStyle w:val="VerbatimChar"/>
              </w:rPr>
              <w:t xml:space="preserve">plot_mv_tradeoff</w:t>
            </w:r>
          </w:p>
        </w:tc>
        <w:tc>
          <w:tcPr/>
          <w:p>
            <w:pPr>
              <w:pStyle w:val="Compact"/>
              <w:jc w:val="left"/>
            </w:pPr>
            <w:r>
              <w:t xml:space="preserve">every chart</w:t>
            </w:r>
          </w:p>
        </w:tc>
      </w:tr>
    </w:tbl>
    <w:p>
      <w:pPr>
        <w:pStyle w:val="BodyText"/>
      </w:pPr>
      <w:r>
        <w:rPr>
          <w:bCs/>
          <w:b/>
        </w:rPr>
        <w:t xml:space="preserve">Validation strategy.</w:t>
      </w:r>
      <w:r>
        <w:t xml:space="preserve"> </w:t>
      </w:r>
      <w:r>
        <w:t xml:space="preserve">Every function was checked before use against an independent answer — closed forms, scipy, pandas, the</w:t>
      </w:r>
      <w:r>
        <w:t xml:space="preserve"> </w:t>
      </w:r>
      <w:r>
        <w:rPr>
          <w:rStyle w:val="VerbatimChar"/>
        </w:rPr>
        <w:t xml:space="preserve">arch</w:t>
      </w:r>
      <w:r>
        <w:t xml:space="preserve"> </w:t>
      </w:r>
      <w:r>
        <w:t xml:space="preserve">package, hand-worked examples, or simulations with known parameters — and the checks are kept in the notebook and in</w:t>
      </w:r>
      <w:r>
        <w:t xml:space="preserve"> </w:t>
      </w:r>
      <w:r>
        <w:rPr>
          <w:bCs/>
          <w:b/>
        </w:rPr>
        <w:t xml:space="preserve">26 unit tests</w:t>
      </w:r>
      <w:r>
        <w:t xml:space="preserve"> </w:t>
      </w:r>
      <w:r>
        <w:t xml:space="preserve">(</w:t>
      </w:r>
      <w:r>
        <w:rPr>
          <w:rStyle w:val="VerbatimChar"/>
        </w:rPr>
        <w:t xml:space="preserve">pytest -v</w:t>
      </w:r>
      <w:r>
        <w:t xml:space="preserve">). Downloads and the 6-minute out-of-sample run are saved and reloaded, so the notebook reruns in about a minute.</w:t>
      </w:r>
    </w:p>
    <w:bookmarkEnd w:id="74"/>
    <w:bookmarkStart w:id="75" w:name="glossary"/>
    <w:p>
      <w:pPr>
        <w:pStyle w:val="Heading1"/>
      </w:pPr>
      <w:r>
        <w:t xml:space="preserve">7. Glossary</w:t>
      </w:r>
    </w:p>
    <w:p>
      <w:pPr>
        <w:pStyle w:val="FirstParagraph"/>
      </w:pPr>
      <w:r>
        <w:rPr>
          <w:bCs/>
          <w:b/>
        </w:rPr>
        <w:t xml:space="preserve">Cholesky factor</w:t>
      </w:r>
      <w:r>
        <w:t xml:space="preserve"> </w:t>
      </w:r>
      <w:r>
        <w:t xml:space="preserve">– a lower-triangular matrix</w:t>
      </w:r>
      <w:r>
        <w:t xml:space="preserve"> </w:t>
      </w:r>
      <m:oMath>
        <m:r>
          <m:t>L</m:t>
        </m:r>
      </m:oMath>
      <w:r>
        <w:t xml:space="preserve"> </w:t>
      </w:r>
      <w:r>
        <w:t xml:space="preserve">with</w:t>
      </w:r>
      <w:r>
        <w:t xml:space="preserve"> </w:t>
      </w:r>
      <m:oMath>
        <m:r>
          <m:t>L</m:t>
        </m:r>
        <m:r>
          <m:t>L</m:t>
        </m:r>
        <m:r>
          <m:rPr>
            <m:sty m:val="p"/>
          </m:rPr>
          <m:t>′</m:t>
        </m:r>
        <m:r>
          <m:rPr>
            <m:sty m:val="p"/>
          </m:rPr>
          <m:t>=</m:t>
        </m:r>
        <m:r>
          <m:t>H</m:t>
        </m:r>
      </m:oMath>
      <w:r>
        <w:t xml:space="preserve">; used to simulate correlated shocks.</w:t>
      </w:r>
    </w:p>
    <w:p>
      <w:pPr>
        <w:pStyle w:val="BodyText"/>
      </w:pPr>
      <w:r>
        <w:rPr>
          <w:bCs/>
          <w:b/>
        </w:rPr>
        <w:t xml:space="preserve">CCC (constant conditional correlation)</w:t>
      </w:r>
      <w:r>
        <w:t xml:space="preserve"> </w:t>
      </w:r>
      <w:r>
        <w:t xml:space="preserve">– multivariate GARCH with time-varying volatilities and one constant correlation matrix.</w:t>
      </w:r>
    </w:p>
    <w:p>
      <w:pPr>
        <w:pStyle w:val="BodyText"/>
      </w:pPr>
      <w:r>
        <w:rPr>
          <w:bCs/>
          <w:b/>
        </w:rPr>
        <w:t xml:space="preserve">Correlation targeting</w:t>
      </w:r>
      <w:r>
        <w:t xml:space="preserve"> </w:t>
      </w:r>
      <w:r>
        <w:t xml:space="preserve">– fixing DCC’s long-run level</w:t>
      </w:r>
      <w:r>
        <w:t xml:space="preserve"> </w:t>
      </w:r>
      <m:oMath>
        <m:acc>
          <m:accPr>
            <m:chr m:val="‾"/>
          </m:accPr>
          <m:e>
            <m:r>
              <m:t>Q</m:t>
            </m:r>
          </m:e>
        </m:acc>
      </m:oMath>
      <w:r>
        <w:t xml:space="preserve"> </w:t>
      </w:r>
      <w:r>
        <w:t xml:space="preserve">at the sample covariance of the residuals, leaving only</w:t>
      </w:r>
      <w:r>
        <w:t xml:space="preserve"> </w:t>
      </w:r>
      <m:oMath>
        <m:r>
          <m:t>a</m:t>
        </m:r>
      </m:oMath>
      <w:r>
        <w:t xml:space="preserve"> </w:t>
      </w:r>
      <w:r>
        <w:t xml:space="preserve">and</w:t>
      </w:r>
      <w:r>
        <w:t xml:space="preserve"> </w:t>
      </w:r>
      <m:oMath>
        <m:r>
          <m:t>b</m:t>
        </m:r>
      </m:oMath>
      <w:r>
        <w:t xml:space="preserve"> </w:t>
      </w:r>
      <w:r>
        <w:t xml:space="preserve">to estimate.</w:t>
      </w:r>
    </w:p>
    <w:p>
      <w:pPr>
        <w:pStyle w:val="BodyText"/>
      </w:pPr>
      <w:r>
        <w:rPr>
          <w:bCs/>
          <w:b/>
        </w:rPr>
        <w:t xml:space="preserve">Covariance matrix</w:t>
      </w:r>
      <w:r>
        <w:t xml:space="preserve"> </w:t>
      </w:r>
      <w:r>
        <w:t xml:space="preserve">– the</w:t>
      </w:r>
      <w:r>
        <w:t xml:space="preserve"> </w:t>
      </w:r>
      <m:oMath>
        <m:r>
          <m:t>N</m:t>
        </m:r>
        <m:r>
          <m:rPr>
            <m:sty m:val="p"/>
          </m:rPr>
          <m:t>×</m:t>
        </m:r>
        <m:r>
          <m:t>N</m:t>
        </m:r>
      </m:oMath>
      <w:r>
        <w:t xml:space="preserve"> </w:t>
      </w:r>
      <w:r>
        <w:t xml:space="preserve">matrix of variances (diagonal) and covariances (off-diagonal).</w:t>
      </w:r>
    </w:p>
    <w:p>
      <w:pPr>
        <w:pStyle w:val="BodyText"/>
      </w:pPr>
      <w:r>
        <w:rPr>
          <w:bCs/>
          <w:b/>
        </w:rPr>
        <w:t xml:space="preserve">DCC (dynamic conditional correlation)</w:t>
      </w:r>
      <w:r>
        <w:t xml:space="preserve"> </w:t>
      </w:r>
      <w:r>
        <w:t xml:space="preserve">– multivariate GARCH where correlations follow a GARCH-like recursion with reaction</w:t>
      </w:r>
      <w:r>
        <w:t xml:space="preserve"> </w:t>
      </w:r>
      <m:oMath>
        <m:r>
          <m:t>a</m:t>
        </m:r>
      </m:oMath>
      <w:r>
        <w:t xml:space="preserve"> </w:t>
      </w:r>
      <w:r>
        <w:t xml:space="preserve">and persistence</w:t>
      </w:r>
      <w:r>
        <w:t xml:space="preserve"> </w:t>
      </w:r>
      <m:oMath>
        <m:r>
          <m:t>b</m:t>
        </m:r>
      </m:oMath>
      <w:r>
        <w:t xml:space="preserve">.</w:t>
      </w:r>
    </w:p>
    <w:p>
      <w:pPr>
        <w:pStyle w:val="BodyText"/>
      </w:pPr>
      <w:r>
        <w:rPr>
          <w:bCs/>
          <w:b/>
        </w:rPr>
        <w:t xml:space="preserve">Diebold–Mariano test</w:t>
      </w:r>
      <w:r>
        <w:t xml:space="preserve"> </w:t>
      </w:r>
      <w:r>
        <w:t xml:space="preserve">– tests whether the average loss difference between two forecasts is significant.</w:t>
      </w:r>
    </w:p>
    <w:p>
      <w:pPr>
        <w:pStyle w:val="BodyText"/>
      </w:pPr>
      <w:r>
        <w:rPr>
          <w:bCs/>
          <w:b/>
        </w:rPr>
        <w:t xml:space="preserve">Error maximisation</w:t>
      </w:r>
      <w:r>
        <w:t xml:space="preserve"> </w:t>
      </w:r>
      <w:r>
        <w:t xml:space="preserve">– optimisers put the largest weights where the covariance estimate is most wrong.</w:t>
      </w:r>
    </w:p>
    <w:p>
      <w:pPr>
        <w:pStyle w:val="BodyText"/>
      </w:pPr>
      <w:r>
        <w:rPr>
          <w:bCs/>
          <w:b/>
        </w:rPr>
        <w:t xml:space="preserve">EWMA covariance</w:t>
      </w:r>
      <w:r>
        <w:t xml:space="preserve"> </w:t>
      </w:r>
      <w:r>
        <w:t xml:space="preserve">– exponentially weighted covariance; RiskMetrics uses λ = 0.94.</w:t>
      </w:r>
    </w:p>
    <w:p>
      <w:pPr>
        <w:pStyle w:val="BodyText"/>
      </w:pPr>
      <w:r>
        <w:rPr>
          <w:bCs/>
          <w:b/>
        </w:rPr>
        <w:t xml:space="preserve">Flight to quality</w:t>
      </w:r>
      <w:r>
        <w:t xml:space="preserve"> </w:t>
      </w:r>
      <w:r>
        <w:t xml:space="preserve">– investors sell risky assets and buy safe ones (Bunds, gold) in a crisis; it makes the stock–bond correlation negative.</w:t>
      </w:r>
    </w:p>
    <w:p>
      <w:pPr>
        <w:pStyle w:val="BodyText"/>
      </w:pPr>
      <w:r>
        <w:rPr>
          <w:bCs/>
          <w:b/>
        </w:rPr>
        <w:t xml:space="preserve">Ghost effect</w:t>
      </w:r>
      <w:r>
        <w:t xml:space="preserve"> </w:t>
      </w:r>
      <w:r>
        <w:t xml:space="preserve">– the jump in a rolling-window estimate when an extreme day leaves the window.</w:t>
      </w:r>
    </w:p>
    <w:p>
      <w:pPr>
        <w:pStyle w:val="BodyText"/>
      </w:pPr>
      <w:r>
        <w:rPr>
          <w:bCs/>
          <w:b/>
        </w:rPr>
        <w:t xml:space="preserve">Minimum-variance portfolio</w:t>
      </w:r>
      <w:r>
        <w:t xml:space="preserve"> </w:t>
      </w:r>
      <w:r>
        <w:t xml:space="preserve">– the fully invested portfolio with the lowest forecast variance; depends only on the covariance.</w:t>
      </w:r>
    </w:p>
    <w:p>
      <w:pPr>
        <w:pStyle w:val="BodyText"/>
      </w:pPr>
      <w:r>
        <w:rPr>
          <w:bCs/>
          <w:b/>
        </w:rPr>
        <w:t xml:space="preserve">Non-synchronous trading</w:t>
      </w:r>
      <w:r>
        <w:t xml:space="preserve"> </w:t>
      </w:r>
      <w:r>
        <w:t xml:space="preserve">– markets closing at different times, so the same news appears on different dates.</w:t>
      </w:r>
    </w:p>
    <w:p>
      <w:pPr>
        <w:pStyle w:val="BodyText"/>
      </w:pPr>
      <w:r>
        <w:rPr>
          <w:bCs/>
          <w:b/>
        </w:rPr>
        <w:t xml:space="preserve">Positive definite</w:t>
      </w:r>
      <w:r>
        <w:t xml:space="preserve"> </w:t>
      </w:r>
      <w:r>
        <w:t xml:space="preserve">–</w:t>
      </w:r>
      <w:r>
        <w:t xml:space="preserve"> </w:t>
      </w:r>
      <m:oMath>
        <m:r>
          <m:rPr>
            <m:sty m:val="b"/>
          </m:rPr>
          <m:t>w</m:t>
        </m:r>
        <m:r>
          <m:rPr>
            <m:sty m:val="p"/>
          </m:rPr>
          <m:t>′</m:t>
        </m:r>
        <m:r>
          <m:t>H</m:t>
        </m:r>
        <m:r>
          <m:rPr>
            <m:sty m:val="b"/>
          </m:rPr>
          <m:t>w</m:t>
        </m:r>
        <m:r>
          <m:rPr>
            <m:sty m:val="p"/>
          </m:rPr>
          <m:t>&gt;</m:t>
        </m:r>
        <m:r>
          <m:t>0</m:t>
        </m:r>
      </m:oMath>
      <w:r>
        <w:t xml:space="preserve"> </w:t>
      </w:r>
      <w:r>
        <w:t xml:space="preserve">for every non-zero</w:t>
      </w:r>
      <w:r>
        <w:t xml:space="preserve"> </w:t>
      </w:r>
      <m:oMath>
        <m:r>
          <m:rPr>
            <m:sty m:val="b"/>
          </m:rPr>
          <m:t>w</m:t>
        </m:r>
      </m:oMath>
      <w:r>
        <w:t xml:space="preserve">; all eigenvalues positive.</w:t>
      </w:r>
    </w:p>
    <w:p>
      <w:pPr>
        <w:pStyle w:val="BodyText"/>
      </w:pPr>
      <w:r>
        <w:rPr>
          <w:bCs/>
          <w:b/>
        </w:rPr>
        <w:t xml:space="preserve">QLIKE (matrix)</w:t>
      </w:r>
      <w:r>
        <w:t xml:space="preserve"> </w:t>
      </w:r>
      <w:r>
        <w:t xml:space="preserve">–</w:t>
      </w:r>
      <w:r>
        <w:t xml:space="preserve"> </w:t>
      </w:r>
      <m:oMath>
        <m:r>
          <m:rPr>
            <m:sty m:val="p"/>
          </m:rPr>
          <m:t>ln</m:t>
        </m:r>
        <m:d>
          <m:dPr>
            <m:begChr m:val="|"/>
            <m:sepChr m:val=""/>
            <m:endChr m:val="|"/>
            <m:grow/>
          </m:dPr>
          <m:e>
            <m:sSub>
              <m:e>
                <m:r>
                  <m:t>H</m:t>
                </m:r>
              </m:e>
              <m:sub>
                <m:r>
                  <m:t>t</m:t>
                </m:r>
              </m:sub>
            </m:sSub>
          </m:e>
        </m:d>
        <m:r>
          <m:rPr>
            <m:sty m:val="p"/>
          </m:rPr>
          <m:t>+</m:t>
        </m:r>
        <m:sSub>
          <m:e>
            <m:r>
              <m:rPr>
                <m:sty m:val="b"/>
              </m:rPr>
              <m:t>y</m:t>
            </m:r>
          </m:e>
          <m:sub>
            <m:r>
              <m:t>t</m:t>
            </m:r>
          </m:sub>
        </m:sSub>
        <m:r>
          <m:rPr>
            <m:sty m:val="p"/>
          </m:rPr>
          <m:t>′</m:t>
        </m:r>
        <m:sSubSup>
          <m:e>
            <m:r>
              <m:t>H</m:t>
            </m:r>
          </m:e>
          <m:sub>
            <m:r>
              <m:t>t</m:t>
            </m:r>
          </m:sub>
          <m:sup>
            <m:r>
              <m:rPr>
                <m:sty m:val="p"/>
              </m:rPr>
              <m:t>−</m:t>
            </m:r>
            <m:r>
              <m:t>1</m:t>
            </m:r>
          </m:sup>
        </m:sSubSup>
        <m:sSub>
          <m:e>
            <m:r>
              <m:rPr>
                <m:sty m:val="b"/>
              </m:rPr>
              <m:t>y</m:t>
            </m:r>
          </m:e>
          <m:sub>
            <m:r>
              <m:t>t</m:t>
            </m:r>
          </m:sub>
        </m:sSub>
      </m:oMath>
      <w:r>
        <w:t xml:space="preserve">; a loss that ranks covariance forecasts correctly with a noisy proxy.</w:t>
      </w:r>
    </w:p>
    <w:p>
      <w:pPr>
        <w:pStyle w:val="BodyText"/>
      </w:pPr>
      <w:r>
        <w:rPr>
          <w:bCs/>
          <w:b/>
        </w:rPr>
        <w:t xml:space="preserve">Standardised residual</w:t>
      </w:r>
      <w:r>
        <w:t xml:space="preserve"> </w:t>
      </w:r>
      <w:r>
        <w:t xml:space="preserve">– the return divided by its forecast volatility; the input of CCC and DCC.</w:t>
      </w:r>
    </w:p>
    <w:p>
      <w:pPr>
        <w:pStyle w:val="BodyText"/>
      </w:pPr>
      <w:r>
        <w:rPr>
          <w:bCs/>
          <w:b/>
        </w:rPr>
        <w:t xml:space="preserve">Total return</w:t>
      </w:r>
      <w:r>
        <w:t xml:space="preserve"> </w:t>
      </w:r>
      <w:r>
        <w:t xml:space="preserve">– price change plus payouts (dividends, coupons).</w:t>
      </w:r>
    </w:p>
    <w:p>
      <w:pPr>
        <w:pStyle w:val="BodyText"/>
      </w:pPr>
      <w:r>
        <w:rPr>
          <w:bCs/>
          <w:b/>
        </w:rPr>
        <w:t xml:space="preserve">Turnover</w:t>
      </w:r>
      <w:r>
        <w:t xml:space="preserve"> </w:t>
      </w:r>
      <w:r>
        <w:t xml:space="preserve">–</w:t>
      </w:r>
      <w:r>
        <w:t xml:space="preserve"> </w:t>
      </w:r>
      <m:oMath>
        <m:nary>
          <m:naryPr>
            <m:chr m:val="∑"/>
            <m:limLoc m:val="undOvr"/>
            <m:subHide m:val="off"/>
            <m:supHide m:val="on"/>
          </m:naryPr>
          <m:sub>
            <m:r>
              <m:t>i</m:t>
            </m:r>
          </m:sub>
          <m:sup>
            <m:r>
              <m:t>​</m:t>
            </m:r>
          </m:sup>
          <m:e>
            <m:d>
              <m:dPr>
                <m:begChr m:val="|"/>
                <m:sepChr m:val=""/>
                <m:endChr m:val="|"/>
                <m:grow/>
              </m:dPr>
              <m:e>
                <m:sSub>
                  <m:e>
                    <m:r>
                      <m:t>w</m:t>
                    </m:r>
                  </m:e>
                  <m:sub>
                    <m:r>
                      <m:t>i</m:t>
                    </m:r>
                    <m:r>
                      <m:rPr>
                        <m:sty m:val="p"/>
                      </m:rPr>
                      <m:t>,</m:t>
                    </m:r>
                    <m:r>
                      <m:t>t</m:t>
                    </m:r>
                  </m:sub>
                </m:sSub>
                <m:r>
                  <m:rPr>
                    <m:sty m:val="p"/>
                  </m:rPr>
                  <m:t>−</m:t>
                </m:r>
                <m:sSub>
                  <m:e>
                    <m:r>
                      <m:t>w</m:t>
                    </m:r>
                  </m:e>
                  <m:sub>
                    <m:r>
                      <m:t>i</m:t>
                    </m:r>
                    <m:r>
                      <m:rPr>
                        <m:sty m:val="p"/>
                      </m:rPr>
                      <m:t>,</m:t>
                    </m:r>
                    <m:r>
                      <m:t>t</m:t>
                    </m:r>
                    <m:r>
                      <m:rPr>
                        <m:sty m:val="p"/>
                      </m:rPr>
                      <m:t>−</m:t>
                    </m:r>
                    <m:r>
                      <m:t>1</m:t>
                    </m:r>
                  </m:sub>
                </m:sSub>
              </m:e>
            </m:d>
          </m:e>
        </m:nary>
      </m:oMath>
      <w:r>
        <w:t xml:space="preserve">: the share of the portfolio traded; a proxy for trading costs.</w:t>
      </w:r>
    </w:p>
    <w:p>
      <w:pPr>
        <w:pStyle w:val="BodyText"/>
      </w:pPr>
      <w:r>
        <w:rPr>
          <w:bCs/>
          <w:b/>
        </w:rPr>
        <w:t xml:space="preserve">Two-step estimation</w:t>
      </w:r>
      <w:r>
        <w:t xml:space="preserve"> </w:t>
      </w:r>
      <w:r>
        <w:t xml:space="preserve">– estimate the univariate volatility models first, then the correlation parameters on their residuals.</w:t>
      </w:r>
    </w:p>
    <w:bookmarkEnd w:id="75"/>
    <w:bookmarkStart w:id="82" w:name="X355c202787d71b449c0cba62de2669d3b17a9da"/>
    <w:p>
      <w:pPr>
        <w:pStyle w:val="Heading1"/>
      </w:pPr>
      <w:r>
        <w:t xml:space="preserve">8. Interview Preparation: 45 Questions with Short Answers</w:t>
      </w:r>
    </w:p>
    <w:bookmarkStart w:id="76" w:name="a.-covariance-and-correlation-basics"/>
    <w:p>
      <w:pPr>
        <w:pStyle w:val="Heading2"/>
      </w:pPr>
      <w:r>
        <w:t xml:space="preserve">A. Covariance and correlation basics</w:t>
      </w:r>
    </w:p>
    <w:p>
      <w:pPr>
        <w:pStyle w:val="FirstParagraph"/>
      </w:pPr>
      <w:r>
        <w:rPr>
          <w:bCs/>
          <w:b/>
        </w:rPr>
        <w:t xml:space="preserve">1. How do you compute a portfolio’s variance from a covariance matrix?</w:t>
      </w:r>
      <w:r>
        <w:t xml:space="preserve"> </w:t>
      </w:r>
      <m:oMath>
        <m:sSubSup>
          <m:e>
            <m:r>
              <m:t>σ</m:t>
            </m:r>
          </m:e>
          <m:sub>
            <m:r>
              <m:t>p</m:t>
            </m:r>
          </m:sub>
          <m:sup>
            <m:r>
              <m:t>2</m:t>
            </m:r>
          </m:sup>
        </m:sSubSup>
        <m:r>
          <m:rPr>
            <m:sty m:val="p"/>
          </m:rPr>
          <m:t>=</m:t>
        </m:r>
        <m:r>
          <m:rPr>
            <m:sty m:val="b"/>
          </m:rPr>
          <m:t>w</m:t>
        </m:r>
        <m:r>
          <m:rPr>
            <m:sty m:val="p"/>
          </m:rPr>
          <m:t>′</m:t>
        </m:r>
        <m:r>
          <m:t>H</m:t>
        </m:r>
        <m:r>
          <m:rPr>
            <m:sty m:val="b"/>
          </m:rPr>
          <m:t>w</m:t>
        </m:r>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sub>
                </m:sSub>
              </m:e>
            </m:nary>
          </m:e>
        </m:nary>
        <m:sSub>
          <m:e>
            <m:r>
              <m:t>w</m:t>
            </m:r>
          </m:e>
          <m:sub>
            <m:r>
              <m:t>j</m:t>
            </m:r>
          </m:sub>
        </m:sSub>
        <m:sSub>
          <m:e>
            <m:r>
              <m:t>h</m:t>
            </m:r>
          </m:e>
          <m:sub>
            <m:r>
              <m:t>i</m:t>
            </m:r>
            <m:r>
              <m:t>j</m:t>
            </m:r>
          </m:sub>
        </m:sSub>
      </m:oMath>
      <w:r>
        <w:t xml:space="preserve">. In a 60/40 example, changing the stock–bond correlation from −0.3 to +0.3 raises the 99% VaR by 17%.</w:t>
      </w:r>
    </w:p>
    <w:p>
      <w:pPr>
        <w:pStyle w:val="BodyText"/>
      </w:pPr>
      <w:r>
        <w:rPr>
          <w:bCs/>
          <w:b/>
        </w:rPr>
        <w:t xml:space="preserve">2. Why must a covariance matrix be positive definite, and what happens if it isn’t?</w:t>
      </w:r>
      <w:r>
        <w:t xml:space="preserve"> </w:t>
      </w:r>
      <w:r>
        <w:t xml:space="preserve">No portfolio can have zero or negative variance. A non-positive-definite matrix can produce a negative portfolio variance, an impossible VaR, or an optimiser that finds a</w:t>
      </w:r>
      <w:r>
        <w:t xml:space="preserve"> </w:t>
      </w:r>
      <w:r>
        <w:t xml:space="preserve">“</w:t>
      </w:r>
      <w:r>
        <w:t xml:space="preserve">risk-free</w:t>
      </w:r>
      <w:r>
        <w:t xml:space="preserve">”</w:t>
      </w:r>
      <w:r>
        <w:t xml:space="preserve"> </w:t>
      </w:r>
      <w:r>
        <w:t xml:space="preserve">combination of risky assets.</w:t>
      </w:r>
    </w:p>
    <w:p>
      <w:pPr>
        <w:pStyle w:val="BodyText"/>
      </w:pPr>
      <w:r>
        <w:rPr>
          <w:bCs/>
          <w:b/>
        </w:rPr>
        <w:t xml:space="preserve">3. What does a small smallest eigenvalue tell you?</w:t>
      </w:r>
      <w:r>
        <w:t xml:space="preserve"> </w:t>
      </w:r>
      <w:r>
        <w:t xml:space="preserve">That some combination of assets looks almost riskless. Here it was CAC vs DAX (correlation 0.92). Usually it is estimation noise, and optimisers exploit it with large long–short positions.</w:t>
      </w:r>
    </w:p>
    <w:p>
      <w:pPr>
        <w:pStyle w:val="BodyText"/>
      </w:pPr>
      <w:r>
        <w:rPr>
          <w:bCs/>
          <w:b/>
        </w:rPr>
        <w:t xml:space="preserve">4. Why use simple rather than log returns for a portfolio?</w:t>
      </w:r>
      <w:r>
        <w:t xml:space="preserve"> </w:t>
      </w:r>
      <w:r>
        <w:t xml:space="preserve">Simple returns add up across assets with fixed weights (</w:t>
      </w:r>
      <m:oMath>
        <m:sSub>
          <m:e>
            <m:r>
              <m:t>R</m:t>
            </m:r>
          </m:e>
          <m:sub>
            <m:r>
              <m:t>p</m:t>
            </m:r>
          </m:sub>
        </m:sSub>
        <m:r>
          <m:rPr>
            <m:sty m:val="p"/>
          </m:rPr>
          <m:t>=</m:t>
        </m:r>
        <m:r>
          <m:rPr>
            <m:sty m:val="p"/>
          </m:rPr>
          <m:t>∑</m:t>
        </m:r>
        <m:sSub>
          <m:e>
            <m:r>
              <m:t>w</m:t>
            </m:r>
          </m:e>
          <m:sub>
            <m:r>
              <m:t>i</m:t>
            </m:r>
          </m:sub>
        </m:sSub>
        <m:sSub>
          <m:e>
            <m:r>
              <m:t>R</m:t>
            </m:r>
          </m:e>
          <m:sub>
            <m:r>
              <m:t>i</m:t>
            </m:r>
          </m:sub>
        </m:sSub>
      </m:oMath>
      <w:r>
        <w:t xml:space="preserve"> </w:t>
      </w:r>
      <w:r>
        <w:t xml:space="preserve">exactly); log returns add up over time, not across assets.</w:t>
      </w:r>
    </w:p>
    <w:p>
      <w:pPr>
        <w:pStyle w:val="BodyText"/>
      </w:pPr>
      <w:r>
        <w:rPr>
          <w:bCs/>
          <w:b/>
        </w:rPr>
        <w:t xml:space="preserve">5. Why keep only common trading days?</w:t>
      </w:r>
      <w:r>
        <w:t xml:space="preserve"> </w:t>
      </w:r>
      <w:r>
        <w:t xml:space="preserve">So each return covers the same interval for every asset. Filling holidays with the last price creates fake zero returns that lower volatility and correlation.</w:t>
      </w:r>
    </w:p>
    <w:p>
      <w:pPr>
        <w:pStyle w:val="BodyText"/>
      </w:pPr>
      <w:r>
        <w:rPr>
          <w:bCs/>
          <w:b/>
        </w:rPr>
        <w:t xml:space="preserve">6. Why did the S&amp;P 500 in EUR have a correlation of only −0.09 with Bunds?</w:t>
      </w:r>
      <w:r>
        <w:t xml:space="preserve"> </w:t>
      </w:r>
      <w:r>
        <w:t xml:space="preserve">In EUR it also carries the dollar move, and the US closes 4.5 hours after Europe, so part of each US move appears in Europe the next day (non-synchronous trading).</w:t>
      </w:r>
    </w:p>
    <w:bookmarkEnd w:id="76"/>
    <w:bookmarkStart w:id="77" w:name="b.-models"/>
    <w:p>
      <w:pPr>
        <w:pStyle w:val="Heading2"/>
      </w:pPr>
      <w:r>
        <w:t xml:space="preserve">B. Models</w:t>
      </w:r>
    </w:p>
    <w:p>
      <w:pPr>
        <w:pStyle w:val="FirstParagraph"/>
      </w:pPr>
      <w:r>
        <w:rPr>
          <w:bCs/>
          <w:b/>
        </w:rPr>
        <w:t xml:space="preserve">7. Describe the rolling-window covariance. Pros and cons?</w:t>
      </w:r>
      <w:r>
        <w:t xml:space="preserve"> </w:t>
      </w:r>
      <w:r>
        <w:t xml:space="preserve">The average of</w:t>
      </w:r>
      <w:r>
        <w:t xml:space="preserve"> </w:t>
      </w:r>
      <m:oMath>
        <m:r>
          <m:rPr>
            <m:sty m:val="b"/>
          </m:rPr>
          <m:t>y</m:t>
        </m:r>
        <m:r>
          <m:rPr>
            <m:sty m:val="b"/>
          </m:rPr>
          <m:t>y</m:t>
        </m:r>
        <m:r>
          <m:rPr>
            <m:sty m:val="p"/>
          </m:rPr>
          <m:t>′</m:t>
        </m:r>
      </m:oMath>
      <w:r>
        <w:t xml:space="preserve"> </w:t>
      </w:r>
      <w:r>
        <w:t xml:space="preserve">over the last W days. Simple and stable, but slow (the 250-day stock–bond correlation turned positive a month late in 2026) and with ghost effects.</w:t>
      </w:r>
    </w:p>
    <w:p>
      <w:pPr>
        <w:pStyle w:val="BodyText"/>
      </w:pPr>
      <w:r>
        <w:rPr>
          <w:bCs/>
          <w:b/>
        </w:rPr>
        <w:t xml:space="preserve">8. How does EWMA covariance work?</w:t>
      </w:r>
      <w:r>
        <w:t xml:space="preserve"> </w:t>
      </w:r>
      <m:oMath>
        <m:sSub>
          <m:e>
            <m:r>
              <m:t>H</m:t>
            </m:r>
          </m:e>
          <m:sub>
            <m:r>
              <m:t>t</m:t>
            </m:r>
          </m:sub>
        </m:sSub>
        <m:r>
          <m:rPr>
            <m:sty m:val="p"/>
          </m:rPr>
          <m:t>=</m:t>
        </m:r>
        <m:d>
          <m:dPr>
            <m:begChr m:val="("/>
            <m:sepChr m:val=""/>
            <m:endChr m:val=")"/>
            <m:grow/>
          </m:dPr>
          <m:e>
            <m:r>
              <m:t>1</m:t>
            </m:r>
            <m:r>
              <m:rPr>
                <m:sty m:val="p"/>
              </m:rPr>
              <m:t>−</m:t>
            </m:r>
            <m:r>
              <m:t>λ</m:t>
            </m:r>
          </m:e>
        </m:d>
        <m:sSub>
          <m:e>
            <m:r>
              <m:rPr>
                <m:sty m:val="b"/>
              </m:rPr>
              <m:t>y</m:t>
            </m:r>
          </m:e>
          <m:sub>
            <m:r>
              <m:t>t</m:t>
            </m:r>
            <m:r>
              <m:rPr>
                <m:sty m:val="p"/>
              </m:rPr>
              <m:t>−</m:t>
            </m:r>
            <m:r>
              <m:t>1</m:t>
            </m:r>
          </m:sub>
        </m:sSub>
        <m:sSub>
          <m:e>
            <m:r>
              <m:rPr>
                <m:sty m:val="b"/>
              </m:rPr>
              <m:t>y</m:t>
            </m:r>
          </m:e>
          <m:sub>
            <m:r>
              <m:t>t</m:t>
            </m:r>
            <m:r>
              <m:rPr>
                <m:sty m:val="p"/>
              </m:rPr>
              <m:t>−</m:t>
            </m:r>
            <m:r>
              <m:t>1</m:t>
            </m:r>
          </m:sub>
        </m:sSub>
        <m:r>
          <m:rPr>
            <m:sty m:val="p"/>
          </m:rPr>
          <m:t>′</m:t>
        </m:r>
        <m:r>
          <m:rPr>
            <m:sty m:val="p"/>
          </m:rPr>
          <m:t>+</m:t>
        </m:r>
        <m:r>
          <m:t>λ</m:t>
        </m:r>
        <m:sSub>
          <m:e>
            <m:r>
              <m:t>H</m:t>
            </m:r>
          </m:e>
          <m:sub>
            <m:r>
              <m:t>t</m:t>
            </m:r>
            <m:r>
              <m:rPr>
                <m:sty m:val="p"/>
              </m:rPr>
              <m:t>−</m:t>
            </m:r>
            <m:r>
              <m:t>1</m:t>
            </m:r>
          </m:sub>
        </m:sSub>
      </m:oMath>
      <w:r>
        <w:t xml:space="preserve">, λ = 0.94: fast, no estimation, no ghost effect; but one speed for every asset, no long-run level, noisy, and close to singular in calm periods.</w:t>
      </w:r>
    </w:p>
    <w:p>
      <w:pPr>
        <w:pStyle w:val="BodyText"/>
      </w:pPr>
      <w:r>
        <w:rPr>
          <w:bCs/>
          <w:b/>
        </w:rPr>
        <w:t xml:space="preserve">9. What is CCC-GARCH?</w:t>
      </w:r>
      <w:r>
        <w:t xml:space="preserve"> </w:t>
      </w:r>
      <w:r>
        <w:t xml:space="preserve">Each asset gets its own GARCH volatility; correlations are one constant matrix, the correlation of the standardised residuals:</w:t>
      </w:r>
      <w:r>
        <w:t xml:space="preserve"> </w:t>
      </w:r>
      <m:oMath>
        <m:sSub>
          <m:e>
            <m:r>
              <m:t>H</m:t>
            </m:r>
          </m:e>
          <m:sub>
            <m:r>
              <m:t>t</m:t>
            </m:r>
          </m:sub>
        </m:sSub>
        <m:r>
          <m:rPr>
            <m:sty m:val="p"/>
          </m:rPr>
          <m:t>=</m:t>
        </m:r>
        <m:sSub>
          <m:e>
            <m:r>
              <m:t>D</m:t>
            </m:r>
          </m:e>
          <m:sub>
            <m:r>
              <m:t>t</m:t>
            </m:r>
          </m:sub>
        </m:sSub>
        <m:acc>
          <m:accPr>
            <m:chr m:val="‾"/>
          </m:accPr>
          <m:e>
            <m:r>
              <m:t>R</m:t>
            </m:r>
          </m:e>
        </m:acc>
        <m:sSub>
          <m:e>
            <m:r>
              <m:t>D</m:t>
            </m:r>
          </m:e>
          <m:sub>
            <m:r>
              <m:t>t</m:t>
            </m:r>
          </m:sub>
        </m:sSub>
      </m:oMath>
      <w:r>
        <w:t xml:space="preserve">.</w:t>
      </w:r>
    </w:p>
    <w:p>
      <w:pPr>
        <w:pStyle w:val="BodyText"/>
      </w:pPr>
      <w:r>
        <w:rPr>
          <w:bCs/>
          <w:b/>
        </w:rPr>
        <w:t xml:space="preserve">10. What is DCC? Write the equations.</w:t>
      </w:r>
      <w:r>
        <w:t xml:space="preserve"> </w:t>
      </w:r>
      <m:oMath>
        <m:sSub>
          <m:e>
            <m:r>
              <m:t>Q</m:t>
            </m:r>
          </m:e>
          <m:sub>
            <m:r>
              <m:t>t</m:t>
            </m:r>
          </m:sub>
        </m:sSub>
        <m:r>
          <m:rPr>
            <m:sty m:val="p"/>
          </m:rPr>
          <m:t>=</m:t>
        </m:r>
        <m:d>
          <m:dPr>
            <m:begChr m:val="("/>
            <m:sepChr m:val=""/>
            <m:endChr m:val=")"/>
            <m:grow/>
          </m:dPr>
          <m:e>
            <m:r>
              <m:t>1</m:t>
            </m:r>
            <m:r>
              <m:rPr>
                <m:sty m:val="p"/>
              </m:rPr>
              <m:t>−</m:t>
            </m:r>
            <m:r>
              <m:t>a</m:t>
            </m:r>
            <m:r>
              <m:rPr>
                <m:sty m:val="p"/>
              </m:rPr>
              <m:t>−</m:t>
            </m:r>
            <m:r>
              <m:t>b</m:t>
            </m:r>
          </m:e>
        </m:d>
        <m:acc>
          <m:accPr>
            <m:chr m:val="‾"/>
          </m:accPr>
          <m:e>
            <m:r>
              <m:t>Q</m:t>
            </m:r>
          </m:e>
        </m:acc>
        <m:r>
          <m:rPr>
            <m:sty m:val="p"/>
          </m:rPr>
          <m:t>+</m:t>
        </m:r>
        <m:r>
          <m:t>a</m:t>
        </m:r>
        <m:r>
          <m:t> </m:t>
        </m:r>
        <m:sSub>
          <m:e>
            <m:r>
              <m:rPr>
                <m:sty m:val="b"/>
              </m:rPr>
              <m:t>ε</m:t>
            </m:r>
          </m:e>
          <m:sub>
            <m:r>
              <m:t>t</m:t>
            </m:r>
            <m:r>
              <m:rPr>
                <m:sty m:val="p"/>
              </m:rPr>
              <m:t>−</m:t>
            </m:r>
            <m:r>
              <m:t>1</m:t>
            </m:r>
          </m:sub>
        </m:sSub>
        <m:sSub>
          <m:e>
            <m:r>
              <m:rPr>
                <m:sty m:val="b"/>
              </m:rPr>
              <m:t>ε</m:t>
            </m:r>
          </m:e>
          <m:sub>
            <m:r>
              <m:t>t</m:t>
            </m:r>
            <m:r>
              <m:rPr>
                <m:sty m:val="p"/>
              </m:rPr>
              <m:t>−</m:t>
            </m:r>
            <m:r>
              <m:t>1</m:t>
            </m:r>
          </m:sub>
        </m:sSub>
        <m:r>
          <m:rPr>
            <m:sty m:val="p"/>
          </m:rPr>
          <m:t>′</m:t>
        </m:r>
        <m:r>
          <m:rPr>
            <m:sty m:val="p"/>
          </m:rPr>
          <m:t>+</m:t>
        </m:r>
        <m:r>
          <m:t>b</m:t>
        </m:r>
        <m:sSub>
          <m:e>
            <m:r>
              <m:t>Q</m:t>
            </m:r>
          </m:e>
          <m:sub>
            <m:r>
              <m:t>t</m:t>
            </m:r>
            <m:r>
              <m:rPr>
                <m:sty m:val="p"/>
              </m:rPr>
              <m:t>−</m:t>
            </m:r>
            <m:r>
              <m:t>1</m:t>
            </m:r>
          </m:sub>
        </m:sSub>
      </m:oMath>
      <w:r>
        <w:t xml:space="preserve">;</w:t>
      </w:r>
      <w:r>
        <w:t xml:space="preserve"> </w:t>
      </w:r>
      <m:oMath>
        <m:sSub>
          <m:e>
            <m:r>
              <m:t>R</m:t>
            </m:r>
          </m:e>
          <m:sub>
            <m:r>
              <m:t>t</m:t>
            </m:r>
          </m:sub>
        </m:sSub>
        <m:r>
          <m:rPr>
            <m:sty m:val="p"/>
          </m:rPr>
          <m:t>=</m:t>
        </m:r>
        <m:r>
          <m:rPr>
            <m:nor/>
          </m:rPr>
          <m:t>diag</m:t>
        </m:r>
        <m:sSup>
          <m:e>
            <m:d>
              <m:dPr>
                <m:begChr m:val="("/>
                <m:sepChr m:val=""/>
                <m:endChr m:val=")"/>
                <m:grow/>
              </m:dPr>
              <m:e>
                <m:sSub>
                  <m:e>
                    <m:r>
                      <m:t>Q</m:t>
                    </m:r>
                  </m:e>
                  <m:sub>
                    <m:r>
                      <m:t>t</m:t>
                    </m:r>
                  </m:sub>
                </m:sSub>
              </m:e>
            </m:d>
          </m:e>
          <m:sup>
            <m:r>
              <m:rPr>
                <m:sty m:val="p"/>
              </m:rPr>
              <m:t>−</m:t>
            </m:r>
            <m:r>
              <m:t>1</m:t>
            </m:r>
            <m:r>
              <m:rPr>
                <m:sty m:val="p"/>
              </m:rPr>
              <m:t>/</m:t>
            </m:r>
            <m:r>
              <m:t>2</m:t>
            </m:r>
          </m:sup>
        </m:sSup>
        <m:sSub>
          <m:e>
            <m:r>
              <m:t>Q</m:t>
            </m:r>
          </m:e>
          <m:sub>
            <m:r>
              <m:t>t</m:t>
            </m:r>
          </m:sub>
        </m:sSub>
        <m:r>
          <m:rPr>
            <m:nor/>
          </m:rPr>
          <m:t>diag</m:t>
        </m:r>
        <m:sSup>
          <m:e>
            <m:d>
              <m:dPr>
                <m:begChr m:val="("/>
                <m:sepChr m:val=""/>
                <m:endChr m:val=")"/>
                <m:grow/>
              </m:dPr>
              <m:e>
                <m:sSub>
                  <m:e>
                    <m:r>
                      <m:t>Q</m:t>
                    </m:r>
                  </m:e>
                  <m:sub>
                    <m:r>
                      <m:t>t</m:t>
                    </m:r>
                  </m:sub>
                </m:sSub>
              </m:e>
            </m:d>
          </m:e>
          <m:sup>
            <m:r>
              <m:rPr>
                <m:sty m:val="p"/>
              </m:rPr>
              <m:t>−</m:t>
            </m:r>
            <m:r>
              <m:t>1</m:t>
            </m:r>
            <m:r>
              <m:rPr>
                <m:sty m:val="p"/>
              </m:rPr>
              <m:t>/</m:t>
            </m:r>
            <m:r>
              <m:t>2</m:t>
            </m:r>
          </m:sup>
        </m:sSup>
      </m:oMath>
      <w:r>
        <w:t xml:space="preserve">;</w:t>
      </w:r>
      <w:r>
        <w:t xml:space="preserve"> </w:t>
      </w:r>
      <m:oMath>
        <m:sSub>
          <m:e>
            <m:r>
              <m:t>H</m:t>
            </m:r>
          </m:e>
          <m:sub>
            <m:r>
              <m:t>t</m:t>
            </m:r>
          </m:sub>
        </m:sSub>
        <m:r>
          <m:rPr>
            <m:sty m:val="p"/>
          </m:rPr>
          <m:t>=</m:t>
        </m:r>
        <m:sSub>
          <m:e>
            <m:r>
              <m:t>D</m:t>
            </m:r>
          </m:e>
          <m:sub>
            <m:r>
              <m:t>t</m:t>
            </m:r>
          </m:sub>
        </m:sSub>
        <m:sSub>
          <m:e>
            <m:r>
              <m:t>R</m:t>
            </m:r>
          </m:e>
          <m:sub>
            <m:r>
              <m:t>t</m:t>
            </m:r>
          </m:sub>
        </m:sSub>
        <m:sSub>
          <m:e>
            <m:r>
              <m:t>D</m:t>
            </m:r>
          </m:e>
          <m:sub>
            <m:r>
              <m:t>t</m:t>
            </m:r>
          </m:sub>
        </m:sSub>
      </m:oMath>
      <w:r>
        <w:t xml:space="preserve">.</w:t>
      </w:r>
    </w:p>
    <w:p>
      <w:pPr>
        <w:pStyle w:val="BodyText"/>
      </w:pPr>
      <w:r>
        <w:rPr>
          <w:bCs/>
          <w:b/>
        </w:rPr>
        <w:t xml:space="preserve">11. Why rescale</w:t>
      </w:r>
      <w:r>
        <w:rPr>
          <w:bCs/>
          <w:b/>
        </w:rPr>
        <w:t xml:space="preserve"> </w:t>
      </w:r>
      <m:oMath>
        <m:sSub>
          <m:e>
            <m:r>
              <m:t>Q</m:t>
            </m:r>
          </m:e>
          <m:sub>
            <m:r>
              <m:t>t</m:t>
            </m:r>
          </m:sub>
        </m:sSub>
      </m:oMath>
      <w:r>
        <w:rPr>
          <w:bCs/>
          <w:b/>
        </w:rPr>
        <w:t xml:space="preserve">?</w:t>
      </w:r>
      <w:r>
        <w:t xml:space="preserve"> </w:t>
      </w:r>
      <m:oMath>
        <m:sSub>
          <m:e>
            <m:r>
              <m:t>Q</m:t>
            </m:r>
          </m:e>
          <m:sub>
            <m:r>
              <m:t>t</m:t>
            </m:r>
          </m:sub>
        </m:sSub>
      </m:oMath>
      <w:r>
        <w:t xml:space="preserve"> </w:t>
      </w:r>
      <w:r>
        <w:t xml:space="preserve">does not have exact ones on its diagonal; dividing by</w:t>
      </w:r>
      <w:r>
        <w:t xml:space="preserve"> </w:t>
      </w:r>
      <m:oMath>
        <m:rad>
          <m:radPr>
            <m:degHide m:val="on"/>
          </m:radPr>
          <m:deg/>
          <m:e>
            <m:sSub>
              <m:e>
                <m:r>
                  <m:t>q</m:t>
                </m:r>
              </m:e>
              <m:sub>
                <m:r>
                  <m:t>i</m:t>
                </m:r>
                <m:r>
                  <m:t>i</m:t>
                </m:r>
              </m:sub>
            </m:sSub>
            <m:sSub>
              <m:e>
                <m:r>
                  <m:t>q</m:t>
                </m:r>
              </m:e>
              <m:sub>
                <m:r>
                  <m:t>j</m:t>
                </m:r>
                <m:r>
                  <m:t>j</m:t>
                </m:r>
              </m:sub>
            </m:sSub>
          </m:e>
        </m:rad>
      </m:oMath>
      <w:r>
        <w:t xml:space="preserve"> </w:t>
      </w:r>
      <w:r>
        <w:t xml:space="preserve">gives an exact correlation matrix.</w:t>
      </w:r>
    </w:p>
    <w:p>
      <w:pPr>
        <w:pStyle w:val="BodyText"/>
      </w:pPr>
      <w:r>
        <w:rPr>
          <w:bCs/>
          <w:b/>
        </w:rPr>
        <w:t xml:space="preserve">12. Why is DCC always positive definite?</w:t>
      </w:r>
      <w:r>
        <w:t xml:space="preserve"> </w:t>
      </w:r>
      <m:oMath>
        <m:sSub>
          <m:e>
            <m:r>
              <m:t>Q</m:t>
            </m:r>
          </m:e>
          <m:sub>
            <m:r>
              <m:t>t</m:t>
            </m:r>
          </m:sub>
        </m:sSub>
      </m:oMath>
      <w:r>
        <w:t xml:space="preserve"> </w:t>
      </w:r>
      <w:r>
        <w:t xml:space="preserve">is a positive combination of a positive definite target, a positive semi-definite outer product and the previous positive definite</w:t>
      </w:r>
      <w:r>
        <w:t xml:space="preserve"> </w:t>
      </w:r>
      <m:oMath>
        <m:sSub>
          <m:e>
            <m:r>
              <m:t>Q</m:t>
            </m:r>
          </m:e>
          <m:sub>
            <m:r>
              <m:t>t</m:t>
            </m:r>
            <m:r>
              <m:rPr>
                <m:sty m:val="p"/>
              </m:rPr>
              <m:t>−</m:t>
            </m:r>
            <m:r>
              <m:t>1</m:t>
            </m:r>
          </m:sub>
        </m:sSub>
      </m:oMath>
      <w:r>
        <w:t xml:space="preserve">; rescaling preserves positive definiteness.</w:t>
      </w:r>
    </w:p>
    <w:p>
      <w:pPr>
        <w:pStyle w:val="BodyText"/>
      </w:pPr>
      <w:r>
        <w:rPr>
          <w:bCs/>
          <w:b/>
        </w:rPr>
        <w:t xml:space="preserve">13. What are the advantages of DCC over full multivariate GARCH (VECH, BEKK)?</w:t>
      </w:r>
      <w:r>
        <w:t xml:space="preserve"> </w:t>
      </w:r>
      <w:r>
        <w:t xml:space="preserve">Only two correlation parameters whatever N, estimable in two easy steps, and positive definite by construction.</w:t>
      </w:r>
    </w:p>
    <w:p>
      <w:pPr>
        <w:pStyle w:val="BodyText"/>
      </w:pPr>
      <w:r>
        <w:rPr>
          <w:bCs/>
          <w:b/>
        </w:rPr>
        <w:t xml:space="preserve">14. What did your DCC estimates mean?</w:t>
      </w:r>
      <w:r>
        <w:t xml:space="preserve"> </w:t>
      </w:r>
      <w:r>
        <w:t xml:space="preserve">a = 0.031, b = 0.945: a joint shock moves correlations by about 3% of its size, and a correlation shock halves in about 28 days — slower and mean-reverting compared with RiskMetrics’ 11-day half-life.</w:t>
      </w:r>
    </w:p>
    <w:p>
      <w:pPr>
        <w:pStyle w:val="BodyText"/>
      </w:pPr>
      <w:r>
        <w:rPr>
          <w:bCs/>
          <w:b/>
        </w:rPr>
        <w:t xml:space="preserve">15. What are DCC’s limitations?</w:t>
      </w:r>
      <w:r>
        <w:t xml:space="preserve"> </w:t>
      </w:r>
      <w:r>
        <w:t xml:space="preserve">One (a, b) for all pairs; symmetric response; mean reversion to a fixed long-run level, which made it</w:t>
      </w:r>
      <w:r>
        <w:t xml:space="preserve"> </w:t>
      </w:r>
      <w:r>
        <w:t xml:space="preserve">“</w:t>
      </w:r>
      <w:r>
        <w:t xml:space="preserve">muted</w:t>
      </w:r>
      <w:r>
        <w:t xml:space="preserve">”</w:t>
      </w:r>
      <w:r>
        <w:t xml:space="preserve"> </w:t>
      </w:r>
      <w:r>
        <w:t xml:space="preserve">in the 2026 regime; two-step estimation less efficient; Gaussian quasi-likelihood for correlations.</w:t>
      </w:r>
    </w:p>
    <w:p>
      <w:pPr>
        <w:pStyle w:val="BodyText"/>
      </w:pPr>
      <w:r>
        <w:rPr>
          <w:bCs/>
          <w:b/>
        </w:rPr>
        <w:t xml:space="preserve">16. Why did you write the GJR model again instead of reusing a library?</w:t>
      </w:r>
      <w:r>
        <w:t xml:space="preserve"> </w:t>
      </w:r>
      <w:r>
        <w:t xml:space="preserve">To control every detail and verify it: the estimates matched the</w:t>
      </w:r>
      <w:r>
        <w:t xml:space="preserve"> </w:t>
      </w:r>
      <w:r>
        <w:rPr>
          <w:rStyle w:val="VerbatimChar"/>
        </w:rPr>
        <w:t xml:space="preserve">arch</w:t>
      </w:r>
      <w:r>
        <w:t xml:space="preserve"> </w:t>
      </w:r>
      <w:r>
        <w:t xml:space="preserve">package to 3–4 decimals, so the library was used as an independent check.</w:t>
      </w:r>
    </w:p>
    <w:p>
      <w:pPr>
        <w:pStyle w:val="BodyText"/>
      </w:pPr>
      <w:r>
        <w:rPr>
          <w:bCs/>
          <w:b/>
        </w:rPr>
        <w:t xml:space="preserve">17. What did the univariate models show?</w:t>
      </w:r>
      <w:r>
        <w:t xml:space="preserve"> </w:t>
      </w:r>
      <w:r>
        <w:t xml:space="preserve">Equities react only to falls (γ ≈ 0.2); the Bund is symmetric with a 214-day half-life; gold has inverse leverage (γ = −0.024) and the fattest tails (ν = 5.6).</w:t>
      </w:r>
    </w:p>
    <w:bookmarkEnd w:id="77"/>
    <w:bookmarkStart w:id="78" w:name="c.-estimation-and-testing"/>
    <w:p>
      <w:pPr>
        <w:pStyle w:val="Heading2"/>
      </w:pPr>
      <w:r>
        <w:t xml:space="preserve">C. Estimation and testing</w:t>
      </w:r>
    </w:p>
    <w:p>
      <w:pPr>
        <w:pStyle w:val="FirstParagraph"/>
      </w:pPr>
      <w:r>
        <w:rPr>
          <w:bCs/>
          <w:b/>
        </w:rPr>
        <w:t xml:space="preserve">18. Explain two-step DCC estimation.</w:t>
      </w:r>
      <w:r>
        <w:t xml:space="preserve"> </w:t>
      </w:r>
      <w:r>
        <w:t xml:space="preserve">The Gaussian log-likelihood splits into a volatility part (one GARCH per asset) and a correlation part depending only on (a, b) given the residuals. Estimate step 1, then maximise the correlation part.</w:t>
      </w:r>
    </w:p>
    <w:p>
      <w:pPr>
        <w:pStyle w:val="BodyText"/>
      </w:pPr>
      <w:r>
        <w:rPr>
          <w:bCs/>
          <w:b/>
        </w:rPr>
        <w:t xml:space="preserve">19. Write the correlation log-likelihood.</w:t>
      </w:r>
      <w:r>
        <w:t xml:space="preserve"> </w:t>
      </w:r>
      <m:oMath>
        <m:sSub>
          <m:e>
            <m:r>
              <m:rPr>
                <m:sty m:val="p"/>
              </m:rPr>
              <m:t>ℓ</m:t>
            </m:r>
          </m:e>
          <m:sub>
            <m:r>
              <m:t>C</m:t>
            </m:r>
          </m:sub>
        </m:sSub>
        <m:r>
          <m:rPr>
            <m:sty m:val="p"/>
          </m:rPr>
          <m:t>=</m:t>
        </m:r>
        <m:r>
          <m:rPr>
            <m:sty m:val="p"/>
          </m:rPr>
          <m:t>−</m:t>
        </m:r>
        <m:f>
          <m:fPr>
            <m:type m:val="bar"/>
          </m:fPr>
          <m:num>
            <m:r>
              <m:t>1</m:t>
            </m:r>
          </m:num>
          <m:den>
            <m:r>
              <m:t>2</m:t>
            </m:r>
          </m:den>
        </m:f>
        <m:nary>
          <m:naryPr>
            <m:chr m:val="∑"/>
            <m:limLoc m:val="undOvr"/>
            <m:subHide m:val="off"/>
            <m:supHide m:val="on"/>
          </m:naryPr>
          <m:sub>
            <m:r>
              <m:t>t</m:t>
            </m:r>
          </m:sub>
          <m:sup>
            <m:r>
              <m:t>​</m:t>
            </m:r>
          </m:sup>
          <m:e>
            <m:d>
              <m:dPr>
                <m:begChr m:val="["/>
                <m:sepChr m:val=""/>
                <m:endChr m:val="]"/>
                <m:grow/>
              </m:dPr>
              <m:e>
                <m:r>
                  <m:rPr>
                    <m:sty m:val="p"/>
                  </m:rPr>
                  <m:t>ln</m:t>
                </m:r>
                <m:d>
                  <m:dPr>
                    <m:begChr m:val="|"/>
                    <m:sepChr m:val=""/>
                    <m:endChr m:val="|"/>
                    <m:grow/>
                  </m:dPr>
                  <m:e>
                    <m:sSub>
                      <m:e>
                        <m:r>
                          <m:t>R</m:t>
                        </m:r>
                      </m:e>
                      <m:sub>
                        <m:r>
                          <m:t>t</m:t>
                        </m:r>
                      </m:sub>
                    </m:sSub>
                  </m:e>
                </m:d>
                <m:r>
                  <m:rPr>
                    <m:sty m:val="p"/>
                  </m:rPr>
                  <m:t>+</m:t>
                </m:r>
                <m:sSub>
                  <m:e>
                    <m:r>
                      <m:rPr>
                        <m:sty m:val="b"/>
                      </m:rPr>
                      <m:t>ε</m:t>
                    </m:r>
                  </m:e>
                  <m:sub>
                    <m:r>
                      <m:t>t</m:t>
                    </m:r>
                  </m:sub>
                </m:sSub>
                <m:r>
                  <m:rPr>
                    <m:sty m:val="p"/>
                  </m:rPr>
                  <m:t>′</m:t>
                </m:r>
                <m:sSubSup>
                  <m:e>
                    <m:r>
                      <m:t>R</m:t>
                    </m:r>
                  </m:e>
                  <m:sub>
                    <m:r>
                      <m:t>t</m:t>
                    </m:r>
                  </m:sub>
                  <m:sup>
                    <m:r>
                      <m:rPr>
                        <m:sty m:val="p"/>
                      </m:rPr>
                      <m:t>−</m:t>
                    </m:r>
                    <m:r>
                      <m:t>1</m:t>
                    </m:r>
                  </m:sup>
                </m:sSubSup>
                <m:sSub>
                  <m:e>
                    <m:r>
                      <m:rPr>
                        <m:sty m:val="b"/>
                      </m:rPr>
                      <m:t>ε</m:t>
                    </m:r>
                  </m:e>
                  <m:sub>
                    <m:r>
                      <m:t>t</m:t>
                    </m:r>
                  </m:sub>
                </m:sSub>
                <m:r>
                  <m:rPr>
                    <m:sty m:val="p"/>
                  </m:rPr>
                  <m:t>−</m:t>
                </m:r>
                <m:sSub>
                  <m:e>
                    <m:r>
                      <m:rPr>
                        <m:sty m:val="b"/>
                      </m:rPr>
                      <m:t>ε</m:t>
                    </m:r>
                  </m:e>
                  <m:sub>
                    <m:r>
                      <m:t>t</m:t>
                    </m:r>
                  </m:sub>
                </m:sSub>
                <m:r>
                  <m:rPr>
                    <m:sty m:val="p"/>
                  </m:rPr>
                  <m:t>′</m:t>
                </m:r>
                <m:sSub>
                  <m:e>
                    <m:r>
                      <m:rPr>
                        <m:sty m:val="b"/>
                      </m:rPr>
                      <m:t>ε</m:t>
                    </m:r>
                  </m:e>
                  <m:sub>
                    <m:r>
                      <m:t>t</m:t>
                    </m:r>
                  </m:sub>
                </m:sSub>
              </m:e>
            </m:d>
          </m:e>
        </m:nary>
      </m:oMath>
      <w:r>
        <w:t xml:space="preserve">.</w:t>
      </w:r>
    </w:p>
    <w:p>
      <w:pPr>
        <w:pStyle w:val="BodyText"/>
      </w:pPr>
      <w:r>
        <w:rPr>
          <w:bCs/>
          <w:b/>
        </w:rPr>
        <w:t xml:space="preserve">20. How did you verify the DCC code?</w:t>
      </w:r>
      <w:r>
        <w:t xml:space="preserve"> </w:t>
      </w:r>
      <w:r>
        <w:t xml:space="preserve">The likelihood equals scipy’s multivariate normal density up to a constant; a = b = 0 reproduces CCC exactly; simulated data with a = 0.05, b = 0.93 gave estimates of 0.052 and 0.928.</w:t>
      </w:r>
    </w:p>
    <w:p>
      <w:pPr>
        <w:pStyle w:val="BodyText"/>
      </w:pPr>
      <w:r>
        <w:rPr>
          <w:bCs/>
          <w:b/>
        </w:rPr>
        <w:t xml:space="preserve">21. How do you test whether correlations are constant?</w:t>
      </w:r>
      <w:r>
        <w:t xml:space="preserve"> </w:t>
      </w:r>
      <w:r>
        <w:t xml:space="preserve">Likelihood ratio DCC vs CCC (CCC = DCC with a = b = 0): LR = 888.8. Because a = 0 is on the boundary, χ²(2) is conservative, but the result is overwhelming.</w:t>
      </w:r>
    </w:p>
    <w:p>
      <w:pPr>
        <w:pStyle w:val="BodyText"/>
      </w:pPr>
      <w:r>
        <w:rPr>
          <w:bCs/>
          <w:b/>
        </w:rPr>
        <w:t xml:space="preserve">22. What is correlation targeting?</w:t>
      </w:r>
      <w:r>
        <w:t xml:space="preserve"> </w:t>
      </w:r>
      <w:r>
        <w:t xml:space="preserve">Setting</w:t>
      </w:r>
      <w:r>
        <w:t xml:space="preserve"> </w:t>
      </w:r>
      <m:oMath>
        <m:acc>
          <m:accPr>
            <m:chr m:val="‾"/>
          </m:accPr>
          <m:e>
            <m:r>
              <m:t>Q</m:t>
            </m:r>
          </m:e>
        </m:acc>
      </m:oMath>
      <w:r>
        <w:t xml:space="preserve"> </w:t>
      </w:r>
      <w:r>
        <w:t xml:space="preserve">to the sample covariance of the residuals, so only a and b are estimated; out of sample,</w:t>
      </w:r>
      <w:r>
        <w:t xml:space="preserve"> </w:t>
      </w:r>
      <m:oMath>
        <m:acc>
          <m:accPr>
            <m:chr m:val="‾"/>
          </m:accPr>
          <m:e>
            <m:r>
              <m:t>Q</m:t>
            </m:r>
          </m:e>
        </m:acc>
      </m:oMath>
      <w:r>
        <w:t xml:space="preserve"> </w:t>
      </w:r>
      <w:r>
        <w:t xml:space="preserve">must come from the estimation window only.</w:t>
      </w:r>
    </w:p>
    <w:p>
      <w:pPr>
        <w:pStyle w:val="BodyText"/>
      </w:pPr>
      <w:r>
        <w:rPr>
          <w:bCs/>
          <w:b/>
        </w:rPr>
        <w:t xml:space="preserve">23. How did you guarantee no look-ahead out of sample?</w:t>
      </w:r>
      <w:r>
        <w:t xml:space="preserve"> </w:t>
      </w:r>
      <w:r>
        <w:t xml:space="preserve">Parameters are estimated on the 1,000 days before each block;</w:t>
      </w:r>
      <w:r>
        <w:t xml:space="preserve"> </w:t>
      </w:r>
      <m:oMath>
        <m:acc>
          <m:accPr>
            <m:chr m:val="‾"/>
          </m:accPr>
          <m:e>
            <m:r>
              <m:t>Q</m:t>
            </m:r>
          </m:e>
        </m:acc>
      </m:oMath>
      <w:r>
        <w:t xml:space="preserve"> </w:t>
      </w:r>
      <w:r>
        <w:t xml:space="preserve">comes from the window; recursions use yesterday’s values. A fake −20% day left every earlier forecast unchanged.</w:t>
      </w:r>
    </w:p>
    <w:bookmarkEnd w:id="78"/>
    <w:bookmarkStart w:id="79" w:name="d.-evaluating-covariance-forecasts"/>
    <w:p>
      <w:pPr>
        <w:pStyle w:val="Heading2"/>
      </w:pPr>
      <w:r>
        <w:t xml:space="preserve">D. Evaluating covariance forecasts</w:t>
      </w:r>
    </w:p>
    <w:p>
      <w:pPr>
        <w:pStyle w:val="FirstParagraph"/>
      </w:pPr>
      <w:r>
        <w:rPr>
          <w:bCs/>
          <w:b/>
        </w:rPr>
        <w:t xml:space="preserve">24. How do you evaluate a covariance forecast if the true covariance is unobservable?</w:t>
      </w:r>
      <w:r>
        <w:t xml:space="preserve"> </w:t>
      </w:r>
      <w:r>
        <w:t xml:space="preserve">Use the noisy but unbiased proxy</w:t>
      </w:r>
      <w:r>
        <w:t xml:space="preserve"> </w:t>
      </w:r>
      <m:oMath>
        <m:sSub>
          <m:e>
            <m:r>
              <m:rPr>
                <m:sty m:val="b"/>
              </m:rPr>
              <m:t>y</m:t>
            </m:r>
          </m:e>
          <m:sub>
            <m:r>
              <m:t>t</m:t>
            </m:r>
          </m:sub>
        </m:sSub>
        <m:sSub>
          <m:e>
            <m:r>
              <m:rPr>
                <m:sty m:val="b"/>
              </m:rPr>
              <m:t>y</m:t>
            </m:r>
          </m:e>
          <m:sub>
            <m:r>
              <m:t>t</m:t>
            </m:r>
          </m:sub>
        </m:sSub>
        <m:r>
          <m:rPr>
            <m:sty m:val="p"/>
          </m:rPr>
          <m:t>′</m:t>
        </m:r>
      </m:oMath>
      <w:r>
        <w:t xml:space="preserve"> </w:t>
      </w:r>
      <w:r>
        <w:t xml:space="preserve">with a robust loss such as QLIKE, which ranks models correctly even with a noisy proxy (Patton, 2011).</w:t>
      </w:r>
    </w:p>
    <w:p>
      <w:pPr>
        <w:pStyle w:val="BodyText"/>
      </w:pPr>
      <w:r>
        <w:rPr>
          <w:bCs/>
          <w:b/>
        </w:rPr>
        <w:t xml:space="preserve">25. Write the matrix QLIKE.</w:t>
      </w:r>
      <w:r>
        <w:t xml:space="preserve"> </w:t>
      </w:r>
      <m:oMath>
        <m:sSub>
          <m:e>
            <m:r>
              <m:t>L</m:t>
            </m:r>
          </m:e>
          <m:sub>
            <m:r>
              <m:t>t</m:t>
            </m:r>
          </m:sub>
        </m:sSub>
        <m:r>
          <m:rPr>
            <m:sty m:val="p"/>
          </m:rPr>
          <m:t>=</m:t>
        </m:r>
        <m:r>
          <m:rPr>
            <m:sty m:val="p"/>
          </m:rPr>
          <m:t>ln</m:t>
        </m:r>
        <m:d>
          <m:dPr>
            <m:begChr m:val="|"/>
            <m:sepChr m:val=""/>
            <m:endChr m:val="|"/>
            <m:grow/>
          </m:dPr>
          <m:e>
            <m:sSub>
              <m:e>
                <m:r>
                  <m:t>H</m:t>
                </m:r>
              </m:e>
              <m:sub>
                <m:r>
                  <m:t>t</m:t>
                </m:r>
              </m:sub>
            </m:sSub>
          </m:e>
        </m:d>
        <m:r>
          <m:rPr>
            <m:sty m:val="p"/>
          </m:rPr>
          <m:t>+</m:t>
        </m:r>
        <m:sSub>
          <m:e>
            <m:r>
              <m:rPr>
                <m:sty m:val="b"/>
              </m:rPr>
              <m:t>y</m:t>
            </m:r>
          </m:e>
          <m:sub>
            <m:r>
              <m:t>t</m:t>
            </m:r>
          </m:sub>
        </m:sSub>
        <m:r>
          <m:rPr>
            <m:sty m:val="p"/>
          </m:rPr>
          <m:t>′</m:t>
        </m:r>
        <m:sSubSup>
          <m:e>
            <m:r>
              <m:t>H</m:t>
            </m:r>
          </m:e>
          <m:sub>
            <m:r>
              <m:t>t</m:t>
            </m:r>
          </m:sub>
          <m:sup>
            <m:r>
              <m:rPr>
                <m:sty m:val="p"/>
              </m:rPr>
              <m:t>−</m:t>
            </m:r>
            <m:r>
              <m:t>1</m:t>
            </m:r>
          </m:sup>
        </m:sSubSup>
        <m:sSub>
          <m:e>
            <m:r>
              <m:rPr>
                <m:sty m:val="b"/>
              </m:rPr>
              <m:t>y</m:t>
            </m:r>
          </m:e>
          <m:sub>
            <m:r>
              <m:t>t</m:t>
            </m:r>
          </m:sub>
        </m:sSub>
      </m:oMath>
      <w:r>
        <w:t xml:space="preserve"> </w:t>
      </w:r>
      <w:r>
        <w:t xml:space="preserve">— minus twice the Gaussian log-likelihood up to a constant.</w:t>
      </w:r>
    </w:p>
    <w:p>
      <w:pPr>
        <w:pStyle w:val="BodyText"/>
      </w:pPr>
      <w:r>
        <w:rPr>
          <w:bCs/>
          <w:b/>
        </w:rPr>
        <w:t xml:space="preserve">26. Why use both matrix and portfolio QLIKE?</w:t>
      </w:r>
      <w:r>
        <w:t xml:space="preserve"> </w:t>
      </w:r>
      <w:r>
        <w:t xml:space="preserve">The matrix version judges every direction; the portfolio version judges only what the investor holds. Here DCC won the matrix clearly but tied with CCC on the 60/30/10 portfolio.</w:t>
      </w:r>
    </w:p>
    <w:p>
      <w:pPr>
        <w:pStyle w:val="BodyText"/>
      </w:pPr>
      <w:r>
        <w:rPr>
          <w:bCs/>
          <w:b/>
        </w:rPr>
        <w:t xml:space="preserve">27. What was the out-of-sample ranking?</w:t>
      </w:r>
      <w:r>
        <w:t xml:space="preserve"> </w:t>
      </w:r>
      <w:r>
        <w:t xml:space="preserve">DCC (0.269) &lt; CCC (0.387) &lt; EWMA (0.717) &lt; rolling (1.031), DCC significantly better than all (DM 3.8–7.0).</w:t>
      </w:r>
    </w:p>
    <w:p>
      <w:pPr>
        <w:pStyle w:val="BodyText"/>
      </w:pPr>
      <w:r>
        <w:rPr>
          <w:bCs/>
          <w:b/>
        </w:rPr>
        <w:t xml:space="preserve">28. Where did DCC not win?</w:t>
      </w:r>
      <w:r>
        <w:t xml:space="preserve"> </w:t>
      </w:r>
      <w:r>
        <w:t xml:space="preserve">In the 2026 regime, EWMA was as good (1.488 vs 1.499): a lasting regime change favours fast forgetting, and DCC’s mean reversion holds it back.</w:t>
      </w:r>
    </w:p>
    <w:p>
      <w:pPr>
        <w:pStyle w:val="BodyText"/>
      </w:pPr>
      <w:r>
        <w:rPr>
          <w:bCs/>
          <w:b/>
        </w:rPr>
        <w:t xml:space="preserve">29. Why use Newey–West in the Diebold–Mariano test?</w:t>
      </w:r>
      <w:r>
        <w:t xml:space="preserve"> </w:t>
      </w:r>
      <w:r>
        <w:t xml:space="preserve">Daily loss differences are autocorrelated because volatility clusters; a plain standard error would overstate significance.</w:t>
      </w:r>
    </w:p>
    <w:bookmarkEnd w:id="79"/>
    <w:bookmarkStart w:id="80" w:name="e.-risk-and-portfolios"/>
    <w:p>
      <w:pPr>
        <w:pStyle w:val="Heading2"/>
      </w:pPr>
      <w:r>
        <w:t xml:space="preserve">E. Risk and portfolios</w:t>
      </w:r>
    </w:p>
    <w:p>
      <w:pPr>
        <w:pStyle w:val="FirstParagraph"/>
      </w:pPr>
      <w:r>
        <w:rPr>
          <w:bCs/>
          <w:b/>
        </w:rPr>
        <w:t xml:space="preserve">30. How do you get portfolio VaR from a covariance forecast?</w:t>
      </w:r>
      <w:r>
        <w:t xml:space="preserve"> </w:t>
      </w:r>
      <m:oMath>
        <m:sSub>
          <m:e>
            <m:r>
              <m:t>σ</m:t>
            </m:r>
          </m:e>
          <m:sub>
            <m:r>
              <m:t>p</m:t>
            </m:r>
            <m:r>
              <m:rPr>
                <m:sty m:val="p"/>
              </m:rPr>
              <m:t>,</m:t>
            </m:r>
            <m:r>
              <m:t>t</m:t>
            </m:r>
          </m:sub>
        </m:sSub>
        <m:r>
          <m:rPr>
            <m:sty m:val="p"/>
          </m:rPr>
          <m:t>=</m:t>
        </m:r>
        <m:rad>
          <m:radPr>
            <m:degHide m:val="on"/>
          </m:radPr>
          <m:deg/>
          <m:e>
            <m:r>
              <m:rPr>
                <m:sty m:val="b"/>
              </m:rPr>
              <m:t>w</m:t>
            </m:r>
            <m:r>
              <m:rPr>
                <m:sty m:val="p"/>
              </m:rPr>
              <m:t>′</m:t>
            </m:r>
            <m:sSub>
              <m:e>
                <m:r>
                  <m:t>H</m:t>
                </m:r>
              </m:e>
              <m:sub>
                <m:r>
                  <m:t>t</m:t>
                </m:r>
              </m:sub>
            </m:sSub>
            <m:r>
              <m:rPr>
                <m:sty m:val="b"/>
              </m:rPr>
              <m:t>w</m:t>
            </m:r>
          </m:e>
        </m:rad>
      </m:oMath>
      <w:r>
        <w:t xml:space="preserve">, times a multiplier: normal, Student-t, or the empirical quantile of past standardised portfolio residuals (FHS).</w:t>
      </w:r>
    </w:p>
    <w:p>
      <w:pPr>
        <w:pStyle w:val="BodyText"/>
      </w:pPr>
      <w:r>
        <w:rPr>
          <w:bCs/>
          <w:b/>
        </w:rPr>
        <w:t xml:space="preserve">31. Which models passed the VaR backtests?</w:t>
      </w:r>
      <w:r>
        <w:t xml:space="preserve"> </w:t>
      </w:r>
      <w:r>
        <w:t xml:space="preserve">With FHS tails: EWMA, CCC and DCC (41–43 breaches vs 33.5; no clustering). The rolling window failed (11 consecutive breaches). Normal tails failed for every model.</w:t>
      </w:r>
    </w:p>
    <w:p>
      <w:pPr>
        <w:pStyle w:val="BodyText"/>
      </w:pPr>
      <w:r>
        <w:rPr>
          <w:bCs/>
          <w:b/>
        </w:rPr>
        <w:t xml:space="preserve">32. Why did CCC and DCC need less VaR than EWMA to pass?</w:t>
      </w:r>
      <w:r>
        <w:t xml:space="preserve"> </w:t>
      </w:r>
      <w:r>
        <w:t xml:space="preserve">Noisier volatility forecasts give noisier standardised residuals with fatter tails, so EWMA’s FHS needs bigger multipliers: EUR 166k vs 148k.</w:t>
      </w:r>
    </w:p>
    <w:p>
      <w:pPr>
        <w:pStyle w:val="BodyText"/>
      </w:pPr>
      <w:r>
        <w:rPr>
          <w:bCs/>
          <w:b/>
        </w:rPr>
        <w:t xml:space="preserve">33. Explain the minimum-variance portfolio and why it tests correlations.</w:t>
      </w:r>
      <w:r>
        <w:t xml:space="preserve"> </w:t>
      </w:r>
      <m:oMath>
        <m:r>
          <m:rPr>
            <m:sty m:val="b"/>
          </m:rPr>
          <m:t>w</m:t>
        </m:r>
        <m:r>
          <m:rPr>
            <m:sty m:val="p"/>
          </m:rPr>
          <m:t>=</m:t>
        </m:r>
        <m:sSup>
          <m:e>
            <m:r>
              <m:t>H</m:t>
            </m:r>
          </m:e>
          <m:sup>
            <m:r>
              <m:rPr>
                <m:sty m:val="p"/>
              </m:rPr>
              <m:t>−</m:t>
            </m:r>
            <m:r>
              <m:t>1</m:t>
            </m:r>
          </m:sup>
        </m:sSup>
        <m:r>
          <m:rPr>
            <m:sty m:val="b"/>
          </m:rPr>
          <m:t>1</m:t>
        </m:r>
        <m:r>
          <m:rPr>
            <m:sty m:val="p"/>
          </m:rPr>
          <m:t>/</m:t>
        </m:r>
        <m:d>
          <m:dPr>
            <m:begChr m:val="("/>
            <m:sepChr m:val=""/>
            <m:endChr m:val=")"/>
            <m:grow/>
          </m:dPr>
          <m:e>
            <m:r>
              <m:rPr>
                <m:sty m:val="b"/>
              </m:rPr>
              <m:t>1</m:t>
            </m:r>
            <m:r>
              <m:rPr>
                <m:sty m:val="p"/>
              </m:rPr>
              <m:t>′</m:t>
            </m:r>
            <m:sSup>
              <m:e>
                <m:r>
                  <m:t>H</m:t>
                </m:r>
              </m:e>
              <m:sup>
                <m:r>
                  <m:rPr>
                    <m:sty m:val="p"/>
                  </m:rPr>
                  <m:t>−</m:t>
                </m:r>
                <m:r>
                  <m:t>1</m:t>
                </m:r>
              </m:sup>
            </m:sSup>
            <m:r>
              <m:rPr>
                <m:sty m:val="b"/>
              </m:rPr>
              <m:t>1</m:t>
            </m:r>
          </m:e>
        </m:d>
      </m:oMath>
      <w:r>
        <w:t xml:space="preserve">; it depends only on</w:t>
      </w:r>
      <w:r>
        <w:t xml:space="preserve"> </w:t>
      </w:r>
      <m:oMath>
        <m:r>
          <m:t>H</m:t>
        </m:r>
      </m:oMath>
      <w:r>
        <w:t xml:space="preserve"> </w:t>
      </w:r>
      <w:r>
        <w:t xml:space="preserve">and uses every correlation through the inverse, so correlation errors become wrong positions.</w:t>
      </w:r>
    </w:p>
    <w:p>
      <w:pPr>
        <w:pStyle w:val="BodyText"/>
      </w:pPr>
      <w:r>
        <w:rPr>
          <w:bCs/>
          <w:b/>
        </w:rPr>
        <w:t xml:space="preserve">34. What is error maximisation?</w:t>
      </w:r>
      <w:r>
        <w:t xml:space="preserve"> </w:t>
      </w:r>
      <w:r>
        <w:t xml:space="preserve">Optimisers put the most weight where the estimate is most wrong — e.g. EWMA’s near-singular matrices produced positions up to 125% in one asset.</w:t>
      </w:r>
    </w:p>
    <w:p>
      <w:pPr>
        <w:pStyle w:val="BodyText"/>
      </w:pPr>
      <w:r>
        <w:rPr>
          <w:bCs/>
          <w:b/>
        </w:rPr>
        <w:t xml:space="preserve">35. Which model built the best minimum-variance portfolio?</w:t>
      </w:r>
      <w:r>
        <w:t xml:space="preserve"> </w:t>
      </w:r>
      <w:r>
        <w:t xml:space="preserve">DCC had the lowest realised volatility (4.389%), significantly better than CCC but not than rolling or EWMA; after costs, the rolling window was best.</w:t>
      </w:r>
    </w:p>
    <w:p>
      <w:pPr>
        <w:pStyle w:val="BodyText"/>
      </w:pPr>
      <w:r>
        <w:rPr>
          <w:bCs/>
          <w:b/>
        </w:rPr>
        <w:t xml:space="preserve">36. How do trading costs change the conclusion?</w:t>
      </w:r>
      <w:r>
        <w:t xml:space="preserve"> </w:t>
      </w:r>
      <w:r>
        <w:t xml:space="preserve">DCC trades 6.5% of the portfolio a day, the rolling window 0.9%. At 5 bp, DCC loses 0.82% a year, rolling 0.11%, so rolling earns 2.26% net vs 1.07%.</w:t>
      </w:r>
    </w:p>
    <w:p>
      <w:pPr>
        <w:pStyle w:val="BodyText"/>
      </w:pPr>
      <w:r>
        <w:rPr>
          <w:bCs/>
          <w:b/>
        </w:rPr>
        <w:t xml:space="preserve">37. How would you reduce turnover while keeping a good forecast?</w:t>
      </w:r>
      <w:r>
        <w:t xml:space="preserve"> </w:t>
      </w:r>
      <w:r>
        <w:t xml:space="preserve">Trading bands, smoothing weights over several days, a turnover penalty in the optimiser, covariance shrinkage, or a smoothed DCC.</w:t>
      </w:r>
    </w:p>
    <w:p>
      <w:pPr>
        <w:pStyle w:val="BodyText"/>
      </w:pPr>
      <w:r>
        <w:rPr>
          <w:bCs/>
          <w:b/>
        </w:rPr>
        <w:t xml:space="preserve">38. What is the Engle–Colacito approach?</w:t>
      </w:r>
      <w:r>
        <w:t xml:space="preserve"> </w:t>
      </w:r>
      <w:r>
        <w:t xml:space="preserve">Evaluating covariance forecasts by the realised variance of the portfolios they produce — an economic rather than statistical loss.</w:t>
      </w:r>
    </w:p>
    <w:bookmarkEnd w:id="80"/>
    <w:bookmarkStart w:id="81" w:name="f.-your-project"/>
    <w:p>
      <w:pPr>
        <w:pStyle w:val="Heading2"/>
      </w:pPr>
      <w:r>
        <w:t xml:space="preserve">F. Your project</w:t>
      </w:r>
    </w:p>
    <w:p>
      <w:pPr>
        <w:pStyle w:val="FirstParagraph"/>
      </w:pPr>
      <w:r>
        <w:rPr>
          <w:bCs/>
          <w:b/>
        </w:rPr>
        <w:t xml:space="preserve">39. Walk me through the project in two minutes.</w:t>
      </w:r>
      <w:r>
        <w:t xml:space="preserve"> </w:t>
      </w:r>
      <w:r>
        <w:t xml:space="preserve">I built a joint risk model for a EUR multi-asset portfolio (equities, Bunds, gold), cleaned the data (including 8 missing Bund coupon payouts in Yahoo’s data), and compared rolling, EWMA, CCC and DCC out of sample over 2012–2026. DCC was the most accurate forecast and passed the VaR backtests with less capital; but for building portfolios, its turnover meant a slower forecast was better after costs.</w:t>
      </w:r>
    </w:p>
    <w:p>
      <w:pPr>
        <w:pStyle w:val="BodyText"/>
      </w:pPr>
      <w:r>
        <w:rPr>
          <w:bCs/>
          <w:b/>
        </w:rPr>
        <w:t xml:space="preserve">40. What happened to the stock–bond correlation, and why does it matter?</w:t>
      </w:r>
      <w:r>
        <w:t xml:space="preserve"> </w:t>
      </w:r>
      <w:r>
        <w:t xml:space="preserve">It was strongly negative in 2008–2012 (Bunds hedged equities), about zero in 2022 (inflation hit both) and +0.62 in 2026. A portfolio that assumes a fixed hedge underestimates risk exactly when rates drive both markets.</w:t>
      </w:r>
    </w:p>
    <w:p>
      <w:pPr>
        <w:pStyle w:val="BodyText"/>
      </w:pPr>
      <w:r>
        <w:rPr>
          <w:bCs/>
          <w:b/>
        </w:rPr>
        <w:t xml:space="preserve">41. What data problem did you find?</w:t>
      </w:r>
      <w:r>
        <w:t xml:space="preserve"> </w:t>
      </w:r>
      <w:r>
        <w:t xml:space="preserve">Yahoo’s adjusted price for the Bund ETF missed 8 coupon payouts before 2013, creating fake −2% to −3.5% crashes. I detected them from the dates of extremes, confirmed them against the payout history, and rebuilt the total return.</w:t>
      </w:r>
    </w:p>
    <w:p>
      <w:pPr>
        <w:pStyle w:val="BodyText"/>
      </w:pPr>
      <w:r>
        <w:rPr>
          <w:bCs/>
          <w:b/>
        </w:rPr>
        <w:t xml:space="preserve">42. Why German Bunds and not US Treasuries?</w:t>
      </w:r>
      <w:r>
        <w:t xml:space="preserve"> </w:t>
      </w:r>
      <w:r>
        <w:t xml:space="preserve">For a EUR investor, unhedged Treasuries are mostly a currency bet (EUR/USD is more volatile than the bond); Bunds are what a EUR fund actually holds.</w:t>
      </w:r>
    </w:p>
    <w:p>
      <w:pPr>
        <w:pStyle w:val="BodyText"/>
      </w:pPr>
      <w:r>
        <w:rPr>
          <w:bCs/>
          <w:b/>
        </w:rPr>
        <w:t xml:space="preserve">43. What would you do next?</w:t>
      </w:r>
      <w:r>
        <w:t xml:space="preserve"> </w:t>
      </w:r>
      <w:r>
        <w:t xml:space="preserve">Asymmetric and pair-specific DCC, a multivariate Student-t or copula for joint tails, shrinkage and long-only minimum-variance portfolios with a turnover penalty, and adding duration risk (Project 5).</w:t>
      </w:r>
    </w:p>
    <w:p>
      <w:pPr>
        <w:pStyle w:val="BodyText"/>
      </w:pPr>
      <w:r>
        <w:rPr>
          <w:bCs/>
          <w:b/>
        </w:rPr>
        <w:t xml:space="preserve">44. What surprised you most?</w:t>
      </w:r>
      <w:r>
        <w:t xml:space="preserve"> </w:t>
      </w:r>
      <w:r>
        <w:t xml:space="preserve">That the best forecast was not the best portfolio: DCC won every statistical test but lost to a simple rolling window once trading costs were included.</w:t>
      </w:r>
    </w:p>
    <w:p>
      <w:pPr>
        <w:pStyle w:val="BodyText"/>
      </w:pPr>
      <w:r>
        <w:rPr>
          <w:bCs/>
          <w:b/>
        </w:rPr>
        <w:t xml:space="preserve">45. How does this project connect to portfolio management?</w:t>
      </w:r>
      <w:r>
        <w:t xml:space="preserve"> </w:t>
      </w:r>
      <w:r>
        <w:t xml:space="preserve">Every allocation, hedge and risk limit uses a covariance matrix. Knowing when correlations break, how to measure it, and how to avoid trading on estimation noise is the core of a portfolio risk role.</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theme="minorBidi" w:eastAsiaTheme="minorHAns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theme="majorBidi" w:eastAsiaTheme="majorEastAsia"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theme="majorBidi" w:eastAsiaTheme="majorEastAsia"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theme="majorBidi" w:eastAsiaTheme="majorEastAsia"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theme="majorBidi" w:eastAsiaTheme="majorEastAsia"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theme="majorBidi" w:eastAsiaTheme="majorEastAsia"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theme="majorBidi" w:eastAsiaTheme="majorEastAsia"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theme="majorBidi" w:eastAsiaTheme="majorEastAsia"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theme="majorBidi" w:eastAsiaTheme="majorEastAsia"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theme="majorBidi" w:eastAsiaTheme="majorEastAsia"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theme="majorBidi" w:eastAsiaTheme="majorEastAsia"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108"/>
        <w:bottom w:type="dxa" w:w="4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theme="majorBidi" w:eastAsiaTheme="majorEastAsia"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33" Target="media/rId33.png" /><Relationship Type="http://schemas.openxmlformats.org/officeDocument/2006/relationships/image" Id="rId64" Target="media/rId64.png" /><Relationship Type="http://schemas.openxmlformats.org/officeDocument/2006/relationships/image" Id="rId56" Target="media/rId56.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4 – Multivariate Volatility: Rolling, EWMA, CCC and DCC</dc:title>
  <dc:creator/>
  <cp:keywords/>
  <dcterms:created xsi:type="dcterms:W3CDTF">2026-10-26T20:27:48Z</dcterms:created>
  <dcterms:modified xsi:type="dcterms:W3CDTF">2026-10-26T20:27:48Z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Final Report: what was done, how and why — with 45 interview questions</vt:lpwstr>
  </property>
</Properties>
</file>