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both"/>
      </w:pPr>
      <w:r>
        <w:rPr>
          <w:rFonts w:ascii="Times New Roman" w:hAnsi="Times New Roman" w:cs="Times New Roman"/>
          <w:b/>
          <w:color w:val="1F3864"/>
          <w:sz w:val="40"/>
        </w:rPr>
        <w:t>ADJUJA</w:t>
      </w:r>
    </w:p>
    <w:p>
      <w:pPr>
        <w:spacing w:after="120"/>
        <w:jc w:val="both"/>
      </w:pPr>
      <w:r>
        <w:rPr>
          <w:rFonts w:ascii="Times New Roman" w:hAnsi="Times New Roman" w:cs="Times New Roman"/>
          <w:b/>
          <w:color w:val="2C3E50"/>
          <w:sz w:val="28"/>
        </w:rPr>
        <w:t>Etat du projet : description fonctionnelle et technique</w:t>
      </w:r>
    </w:p>
    <w:p>
      <w:pPr>
        <w:spacing w:after="1200"/>
        <w:jc w:val="both"/>
      </w:pPr>
      <w:r>
        <w:rPr>
          <w:rFonts w:ascii="Times New Roman" w:hAnsi="Times New Roman" w:cs="Times New Roman"/>
          <w:color w:val="555555"/>
          <w:sz w:val="24"/>
        </w:rPr>
        <w:t>Plateforme SaaS de génération automatisée de réponses aux appels d'offres publics</w:t>
      </w:r>
    </w:p>
    <w:p>
      <w:pPr>
        <w:jc w:val="both"/>
      </w:pPr>
      <w:r>
        <w:rPr>
          <w:rFonts w:ascii="Times New Roman" w:hAnsi="Times New Roman" w:cs="Times New Roman"/>
          <w:color w:val="555555"/>
          <w:sz w:val="22"/>
        </w:rPr>
        <w:t>Mai 2026</w:t>
      </w:r>
    </w:p>
    <w:p>
      <w:r>
        <w:br w:type="page"/>
      </w:r>
    </w:p>
    <w:p>
      <w:pPr>
        <w:spacing w:after="160" w:line="253" w:lineRule="exact" w:before="280"/>
        <w:jc w:val="both"/>
      </w:pPr>
      <w:r>
        <w:rPr>
          <w:rFonts w:ascii="Times New Roman" w:hAnsi="Times New Roman" w:cs="Times New Roman"/>
          <w:b/>
          <w:color w:val="1F3864"/>
          <w:sz w:val="26"/>
        </w:rPr>
        <w:t>Table des matières</w:t>
      </w:r>
    </w:p>
    <w:p>
      <w:pPr>
        <w:spacing w:after="60"/>
        <w:jc w:val="both"/>
      </w:pPr>
      <w:r>
        <w:rPr>
          <w:rFonts w:ascii="Times New Roman" w:hAnsi="Times New Roman" w:cs="Times New Roman"/>
          <w:b w:val="0"/>
          <w:color w:val="000000"/>
          <w:sz w:val="22"/>
        </w:rPr>
        <w:t>PARTIE I.   Description fonctionnelle</w:t>
      </w:r>
    </w:p>
    <w:p>
      <w:pPr>
        <w:spacing w:after="60"/>
        <w:jc w:val="both"/>
      </w:pPr>
      <w:r>
        <w:rPr>
          <w:rFonts w:ascii="Times New Roman" w:hAnsi="Times New Roman" w:cs="Times New Roman"/>
          <w:b/>
          <w:color w:val="000000"/>
          <w:sz w:val="22"/>
        </w:rPr>
        <w:t>1.   Vue d'ensemble de la plateforme</w:t>
      </w:r>
    </w:p>
    <w:p>
      <w:pPr>
        <w:spacing w:after="60"/>
        <w:jc w:val="both"/>
      </w:pPr>
      <w:r>
        <w:rPr>
          <w:rFonts w:ascii="Times New Roman" w:hAnsi="Times New Roman" w:cs="Times New Roman"/>
          <w:b w:val="0"/>
          <w:color w:val="000000"/>
          <w:sz w:val="22"/>
        </w:rPr>
        <w:t>1.1.   Positionnement et cible</w:t>
      </w:r>
    </w:p>
    <w:p>
      <w:pPr>
        <w:spacing w:after="60"/>
        <w:jc w:val="both"/>
      </w:pPr>
      <w:r>
        <w:rPr>
          <w:rFonts w:ascii="Times New Roman" w:hAnsi="Times New Roman" w:cs="Times New Roman"/>
          <w:b w:val="0"/>
          <w:color w:val="000000"/>
          <w:sz w:val="22"/>
        </w:rPr>
        <w:t>1.2.   Architecture de l'interface</w:t>
      </w:r>
    </w:p>
    <w:p>
      <w:pPr>
        <w:spacing w:after="60"/>
        <w:jc w:val="both"/>
      </w:pPr>
      <w:r>
        <w:rPr>
          <w:rFonts w:ascii="Times New Roman" w:hAnsi="Times New Roman" w:cs="Times New Roman"/>
          <w:b/>
          <w:color w:val="000000"/>
          <w:sz w:val="22"/>
        </w:rPr>
        <w:t>2.   Les pages de l'application</w:t>
      </w:r>
    </w:p>
    <w:p>
      <w:pPr>
        <w:spacing w:after="60"/>
        <w:jc w:val="both"/>
      </w:pPr>
      <w:r>
        <w:rPr>
          <w:rFonts w:ascii="Times New Roman" w:hAnsi="Times New Roman" w:cs="Times New Roman"/>
          <w:b w:val="0"/>
          <w:color w:val="000000"/>
          <w:sz w:val="22"/>
        </w:rPr>
        <w:t>2.1.   Page d'accueil publique</w:t>
      </w:r>
    </w:p>
    <w:p>
      <w:pPr>
        <w:spacing w:after="60"/>
        <w:jc w:val="both"/>
      </w:pPr>
      <w:r>
        <w:rPr>
          <w:rFonts w:ascii="Times New Roman" w:hAnsi="Times New Roman" w:cs="Times New Roman"/>
          <w:b w:val="0"/>
          <w:color w:val="000000"/>
          <w:sz w:val="22"/>
        </w:rPr>
        <w:t>2.2.   Authentification</w:t>
      </w:r>
    </w:p>
    <w:p>
      <w:pPr>
        <w:spacing w:after="60"/>
        <w:jc w:val="both"/>
      </w:pPr>
      <w:r>
        <w:rPr>
          <w:rFonts w:ascii="Times New Roman" w:hAnsi="Times New Roman" w:cs="Times New Roman"/>
          <w:b w:val="0"/>
          <w:color w:val="000000"/>
          <w:sz w:val="22"/>
        </w:rPr>
        <w:t>2.3.   Tableau de bord</w:t>
      </w:r>
    </w:p>
    <w:p>
      <w:pPr>
        <w:spacing w:after="60"/>
        <w:jc w:val="both"/>
      </w:pPr>
      <w:r>
        <w:rPr>
          <w:rFonts w:ascii="Times New Roman" w:hAnsi="Times New Roman" w:cs="Times New Roman"/>
          <w:b w:val="0"/>
          <w:color w:val="000000"/>
          <w:sz w:val="22"/>
        </w:rPr>
        <w:t>2.4.   Appels d'offres</w:t>
      </w:r>
    </w:p>
    <w:p>
      <w:pPr>
        <w:spacing w:after="60"/>
        <w:jc w:val="both"/>
      </w:pPr>
      <w:r>
        <w:rPr>
          <w:rFonts w:ascii="Times New Roman" w:hAnsi="Times New Roman" w:cs="Times New Roman"/>
          <w:b w:val="0"/>
          <w:color w:val="000000"/>
          <w:sz w:val="22"/>
        </w:rPr>
        <w:t>2.5.   Outils</w:t>
      </w:r>
    </w:p>
    <w:p>
      <w:pPr>
        <w:spacing w:after="60"/>
        <w:jc w:val="both"/>
      </w:pPr>
      <w:r>
        <w:rPr>
          <w:rFonts w:ascii="Times New Roman" w:hAnsi="Times New Roman" w:cs="Times New Roman"/>
          <w:b w:val="0"/>
          <w:color w:val="000000"/>
          <w:sz w:val="22"/>
        </w:rPr>
        <w:t>2.6.   Paramètres</w:t>
      </w:r>
    </w:p>
    <w:p>
      <w:pPr>
        <w:spacing w:after="60"/>
        <w:jc w:val="both"/>
      </w:pPr>
      <w:r>
        <w:rPr>
          <w:rFonts w:ascii="Times New Roman" w:hAnsi="Times New Roman" w:cs="Times New Roman"/>
          <w:b w:val="0"/>
          <w:color w:val="000000"/>
          <w:sz w:val="22"/>
        </w:rPr>
        <w:t>2.7.   Chatbot intégré</w:t>
      </w:r>
    </w:p>
    <w:p>
      <w:pPr>
        <w:spacing w:after="60"/>
        <w:jc w:val="both"/>
      </w:pPr>
      <w:r>
        <w:rPr>
          <w:rFonts w:ascii="Times New Roman" w:hAnsi="Times New Roman" w:cs="Times New Roman"/>
          <w:b/>
          <w:color w:val="000000"/>
          <w:sz w:val="22"/>
        </w:rPr>
        <w:t>3.   Parcours de génération d'un dossier AO</w:t>
      </w:r>
    </w:p>
    <w:p>
      <w:pPr>
        <w:spacing w:after="60"/>
        <w:jc w:val="both"/>
      </w:pPr>
      <w:r>
        <w:rPr>
          <w:rFonts w:ascii="Times New Roman" w:hAnsi="Times New Roman" w:cs="Times New Roman"/>
          <w:b w:val="0"/>
          <w:color w:val="000000"/>
          <w:sz w:val="22"/>
        </w:rPr>
        <w:t>3.1.   Préparation du profil entreprise</w:t>
      </w:r>
    </w:p>
    <w:p>
      <w:pPr>
        <w:spacing w:after="60"/>
        <w:jc w:val="both"/>
      </w:pPr>
      <w:r>
        <w:rPr>
          <w:rFonts w:ascii="Times New Roman" w:hAnsi="Times New Roman" w:cs="Times New Roman"/>
          <w:b w:val="0"/>
          <w:color w:val="000000"/>
          <w:sz w:val="22"/>
        </w:rPr>
        <w:t>3.2.   Création d'un appel d'offres</w:t>
      </w:r>
    </w:p>
    <w:p>
      <w:pPr>
        <w:spacing w:after="60"/>
        <w:jc w:val="both"/>
      </w:pPr>
      <w:r>
        <w:rPr>
          <w:rFonts w:ascii="Times New Roman" w:hAnsi="Times New Roman" w:cs="Times New Roman"/>
          <w:b w:val="0"/>
          <w:color w:val="000000"/>
          <w:sz w:val="22"/>
        </w:rPr>
        <w:t>3.3.   Lancement du pipeline</w:t>
      </w:r>
    </w:p>
    <w:p>
      <w:pPr>
        <w:spacing w:after="60"/>
        <w:jc w:val="both"/>
      </w:pPr>
      <w:r>
        <w:rPr>
          <w:rFonts w:ascii="Times New Roman" w:hAnsi="Times New Roman" w:cs="Times New Roman"/>
          <w:b w:val="0"/>
          <w:color w:val="000000"/>
          <w:sz w:val="22"/>
        </w:rPr>
        <w:t>3.4.   Suivi et téléchargement</w:t>
      </w:r>
    </w:p>
    <w:p>
      <w:pPr>
        <w:spacing w:after="60"/>
        <w:jc w:val="both"/>
      </w:pPr>
      <w:r>
        <w:rPr>
          <w:rFonts w:ascii="Times New Roman" w:hAnsi="Times New Roman" w:cs="Times New Roman"/>
          <w:b w:val="0"/>
          <w:color w:val="000000"/>
          <w:sz w:val="22"/>
        </w:rPr>
        <w:t>PARTIE II.   Description technique</w:t>
      </w:r>
    </w:p>
    <w:p>
      <w:pPr>
        <w:spacing w:after="60"/>
        <w:jc w:val="both"/>
      </w:pPr>
      <w:r>
        <w:rPr>
          <w:rFonts w:ascii="Times New Roman" w:hAnsi="Times New Roman" w:cs="Times New Roman"/>
          <w:b/>
          <w:color w:val="000000"/>
          <w:sz w:val="22"/>
        </w:rPr>
        <w:t>4.   Stack technologique</w:t>
      </w:r>
    </w:p>
    <w:p>
      <w:pPr>
        <w:spacing w:after="60"/>
        <w:jc w:val="both"/>
      </w:pPr>
      <w:r>
        <w:rPr>
          <w:rFonts w:ascii="Times New Roman" w:hAnsi="Times New Roman" w:cs="Times New Roman"/>
          <w:b w:val="0"/>
          <w:color w:val="000000"/>
          <w:sz w:val="22"/>
        </w:rPr>
        <w:t>4.1.   Backend</w:t>
      </w:r>
    </w:p>
    <w:p>
      <w:pPr>
        <w:spacing w:after="60"/>
        <w:jc w:val="both"/>
      </w:pPr>
      <w:r>
        <w:rPr>
          <w:rFonts w:ascii="Times New Roman" w:hAnsi="Times New Roman" w:cs="Times New Roman"/>
          <w:b w:val="0"/>
          <w:color w:val="000000"/>
          <w:sz w:val="22"/>
        </w:rPr>
        <w:t>4.2.   Frontend</w:t>
      </w:r>
    </w:p>
    <w:p>
      <w:pPr>
        <w:spacing w:after="60"/>
        <w:jc w:val="both"/>
      </w:pPr>
      <w:r>
        <w:rPr>
          <w:rFonts w:ascii="Times New Roman" w:hAnsi="Times New Roman" w:cs="Times New Roman"/>
          <w:b w:val="0"/>
          <w:color w:val="000000"/>
          <w:sz w:val="22"/>
        </w:rPr>
        <w:t>4.3.   Infrastructure</w:t>
      </w:r>
    </w:p>
    <w:p>
      <w:pPr>
        <w:spacing w:after="60"/>
        <w:jc w:val="both"/>
      </w:pPr>
      <w:r>
        <w:rPr>
          <w:rFonts w:ascii="Times New Roman" w:hAnsi="Times New Roman" w:cs="Times New Roman"/>
          <w:b/>
          <w:color w:val="000000"/>
          <w:sz w:val="22"/>
        </w:rPr>
        <w:t>5.   Architecture du pipeline de génération</w:t>
      </w:r>
    </w:p>
    <w:p>
      <w:pPr>
        <w:spacing w:after="60"/>
        <w:jc w:val="both"/>
      </w:pPr>
      <w:r>
        <w:rPr>
          <w:rFonts w:ascii="Times New Roman" w:hAnsi="Times New Roman" w:cs="Times New Roman"/>
          <w:b w:val="0"/>
          <w:color w:val="000000"/>
          <w:sz w:val="22"/>
        </w:rPr>
        <w:t>5.1.   Vue d'ensemble des tâches Celery</w:t>
      </w:r>
    </w:p>
    <w:p>
      <w:pPr>
        <w:spacing w:after="60"/>
        <w:jc w:val="both"/>
      </w:pPr>
      <w:r>
        <w:rPr>
          <w:rFonts w:ascii="Times New Roman" w:hAnsi="Times New Roman" w:cs="Times New Roman"/>
          <w:b w:val="0"/>
          <w:color w:val="000000"/>
          <w:sz w:val="22"/>
        </w:rPr>
        <w:t>5.2.   Classification et analyse du dossier AO</w:t>
      </w:r>
    </w:p>
    <w:p>
      <w:pPr>
        <w:spacing w:after="60"/>
        <w:jc w:val="both"/>
      </w:pPr>
      <w:r>
        <w:rPr>
          <w:rFonts w:ascii="Times New Roman" w:hAnsi="Times New Roman" w:cs="Times New Roman"/>
          <w:b w:val="0"/>
          <w:color w:val="000000"/>
          <w:sz w:val="22"/>
        </w:rPr>
        <w:t>5.3.   Génération de l'offre technique</w:t>
      </w:r>
    </w:p>
    <w:p>
      <w:pPr>
        <w:spacing w:after="60"/>
        <w:jc w:val="both"/>
      </w:pPr>
      <w:r>
        <w:rPr>
          <w:rFonts w:ascii="Times New Roman" w:hAnsi="Times New Roman" w:cs="Times New Roman"/>
          <w:b w:val="0"/>
          <w:color w:val="000000"/>
          <w:sz w:val="22"/>
        </w:rPr>
        <w:t>5.4.   Remplissage des documents administratifs</w:t>
      </w:r>
    </w:p>
    <w:p>
      <w:pPr>
        <w:spacing w:after="60"/>
        <w:jc w:val="both"/>
      </w:pPr>
      <w:r>
        <w:rPr>
          <w:rFonts w:ascii="Times New Roman" w:hAnsi="Times New Roman" w:cs="Times New Roman"/>
          <w:b w:val="0"/>
          <w:color w:val="000000"/>
          <w:sz w:val="22"/>
        </w:rPr>
        <w:t>5.5.   Matching de l'équipe</w:t>
      </w:r>
    </w:p>
    <w:p>
      <w:pPr>
        <w:spacing w:after="60"/>
        <w:jc w:val="both"/>
      </w:pPr>
      <w:r>
        <w:rPr>
          <w:rFonts w:ascii="Times New Roman" w:hAnsi="Times New Roman" w:cs="Times New Roman"/>
          <w:b w:val="0"/>
          <w:color w:val="000000"/>
          <w:sz w:val="22"/>
        </w:rPr>
        <w:t>5.6.   Signature et compilation</w:t>
      </w:r>
    </w:p>
    <w:p>
      <w:pPr>
        <w:spacing w:after="60"/>
        <w:jc w:val="both"/>
      </w:pPr>
      <w:r>
        <w:rPr>
          <w:rFonts w:ascii="Times New Roman" w:hAnsi="Times New Roman" w:cs="Times New Roman"/>
          <w:b/>
          <w:color w:val="000000"/>
          <w:sz w:val="22"/>
        </w:rPr>
        <w:t>6.   Base de connaissances RAG</w:t>
      </w:r>
    </w:p>
    <w:p>
      <w:pPr>
        <w:spacing w:after="60"/>
        <w:jc w:val="both"/>
      </w:pPr>
      <w:r>
        <w:rPr>
          <w:rFonts w:ascii="Times New Roman" w:hAnsi="Times New Roman" w:cs="Times New Roman"/>
          <w:b/>
          <w:color w:val="000000"/>
          <w:sz w:val="22"/>
        </w:rPr>
        <w:t>7.   Système de signature des documents</w:t>
      </w:r>
    </w:p>
    <w:p>
      <w:pPr>
        <w:spacing w:after="60"/>
        <w:jc w:val="both"/>
      </w:pPr>
      <w:r>
        <w:rPr>
          <w:rFonts w:ascii="Times New Roman" w:hAnsi="Times New Roman" w:cs="Times New Roman"/>
          <w:b/>
          <w:color w:val="000000"/>
          <w:sz w:val="22"/>
        </w:rPr>
        <w:t>8.   Modèles de données</w:t>
      </w:r>
    </w:p>
    <w:p>
      <w:r>
        <w:br w:type="page"/>
      </w:r>
    </w:p>
    <w:p>
      <w:pPr>
        <w:spacing w:before="200" w:after="320"/>
        <w:jc w:val="both"/>
      </w:pPr>
      <w:r>
        <w:rPr>
          <w:rFonts w:ascii="Times New Roman" w:hAnsi="Times New Roman" w:cs="Times New Roman"/>
          <w:b/>
          <w:color w:val="1F3864"/>
          <w:sz w:val="26"/>
        </w:rPr>
        <w:t>PARTIE I  :  DESCRIPTION FONCTIONNELLE</w:t>
      </w:r>
    </w:p>
    <w:p>
      <w:pPr>
        <w:spacing w:after="160" w:line="253" w:lineRule="exact" w:before="280"/>
        <w:jc w:val="both"/>
      </w:pPr>
      <w:r>
        <w:rPr>
          <w:rFonts w:ascii="Times New Roman" w:hAnsi="Times New Roman" w:cs="Times New Roman"/>
          <w:b/>
          <w:color w:val="1F3864"/>
          <w:sz w:val="26"/>
        </w:rPr>
        <w:t>1. Vue d'ensemble de la plateforme</w:t>
      </w:r>
    </w:p>
    <w:p>
      <w:pPr>
        <w:spacing w:after="120" w:line="253" w:lineRule="exact" w:before="200"/>
        <w:jc w:val="both"/>
      </w:pPr>
      <w:r>
        <w:rPr>
          <w:rFonts w:ascii="Times New Roman" w:hAnsi="Times New Roman" w:cs="Times New Roman"/>
          <w:b/>
          <w:color w:val="2C3E50"/>
          <w:sz w:val="24"/>
        </w:rPr>
        <w:t>1.1. Positionnement et cible</w:t>
      </w:r>
    </w:p>
    <w:p>
      <w:pPr>
        <w:spacing w:after="120" w:line="253" w:lineRule="exact"/>
        <w:jc w:val="both"/>
      </w:pPr>
      <w:r>
        <w:rPr>
          <w:rFonts w:ascii="Times New Roman" w:hAnsi="Times New Roman" w:cs="Times New Roman"/>
          <w:b w:val="0"/>
          <w:color w:val="000000"/>
          <w:sz w:val="22"/>
        </w:rPr>
        <w:t>ADJUJA est une plateforme SaaS destinée aux cabinets de conseil et aux PME marocaines qui répondent régulièrement aux appels d'offres publics. L'objectif est de réduire le temps de préparation d'un dossier de soumission de plusieurs jours à moins d'une heure, en automatisant la génération des documents obligatoires : offre technique, acte d'engagement, déclaration sur l'honneur et bordereau des prix.</w:t>
      </w:r>
    </w:p>
    <w:p>
      <w:pPr>
        <w:spacing w:after="120" w:line="253" w:lineRule="exact"/>
        <w:jc w:val="both"/>
      </w:pPr>
      <w:r>
        <w:rPr>
          <w:rFonts w:ascii="Times New Roman" w:hAnsi="Times New Roman" w:cs="Times New Roman"/>
          <w:b w:val="0"/>
          <w:color w:val="000000"/>
          <w:sz w:val="22"/>
        </w:rPr>
        <w:t>La plateforme fonctionne selon un principe de configuration unique : l'utilisateur renseigne son profil entreprise, upload ses CVs et ses documents permanents une seule fois. Ensuite, pour chaque nouvel appel d'offres, deux fichiers suffisent (CPS et RC) pour déclencher la génération complète du dossier.</w:t>
      </w:r>
    </w:p>
    <w:p>
      <w:pPr>
        <w:spacing w:after="120" w:line="253" w:lineRule="exact" w:before="200"/>
        <w:jc w:val="both"/>
      </w:pPr>
      <w:r>
        <w:rPr>
          <w:rFonts w:ascii="Times New Roman" w:hAnsi="Times New Roman" w:cs="Times New Roman"/>
          <w:b/>
          <w:color w:val="2C3E50"/>
          <w:sz w:val="24"/>
        </w:rPr>
        <w:t>1.2. Architecture de l'interface</w:t>
      </w:r>
    </w:p>
    <w:p>
      <w:pPr>
        <w:spacing w:after="120" w:line="253" w:lineRule="exact"/>
        <w:jc w:val="both"/>
      </w:pPr>
      <w:r>
        <w:rPr>
          <w:rFonts w:ascii="Times New Roman" w:hAnsi="Times New Roman" w:cs="Times New Roman"/>
          <w:b w:val="0"/>
          <w:color w:val="000000"/>
          <w:sz w:val="22"/>
        </w:rPr>
        <w:t>L'interface est organisée autour d'une barre latérale fixe de 208 pixels qui donne accès aux trois espaces principaux de l'application : les appels d'offres, les outils et les paramètres. Un bouton de bascule thème clair/sombre et un sélecteur de langue (français/anglais) sont présents en permanence dans la barre supérieure. L'ensemble de l'application respecte une largeur maximale de contenu de 896 pixels pour les pages de liste et 640 pixels pour les formulaires.</w:t>
      </w:r>
    </w:p>
    <w:p>
      <w:pPr>
        <w:spacing w:after="160" w:line="253" w:lineRule="exact" w:before="280"/>
        <w:jc w:val="both"/>
      </w:pPr>
      <w:r>
        <w:rPr>
          <w:rFonts w:ascii="Times New Roman" w:hAnsi="Times New Roman" w:cs="Times New Roman"/>
          <w:b/>
          <w:color w:val="1F3864"/>
          <w:sz w:val="26"/>
        </w:rPr>
        <w:t>2. Les pages de l'application</w:t>
      </w:r>
    </w:p>
    <w:p>
      <w:pPr>
        <w:spacing w:after="120" w:line="253" w:lineRule="exact" w:before="200"/>
        <w:jc w:val="both"/>
      </w:pPr>
      <w:r>
        <w:rPr>
          <w:rFonts w:ascii="Times New Roman" w:hAnsi="Times New Roman" w:cs="Times New Roman"/>
          <w:b/>
          <w:color w:val="2C3E50"/>
          <w:sz w:val="24"/>
        </w:rPr>
        <w:t>2.1. Page d'accueil publique</w:t>
      </w:r>
    </w:p>
    <w:p>
      <w:pPr>
        <w:spacing w:after="120" w:line="253" w:lineRule="exact"/>
        <w:jc w:val="both"/>
      </w:pPr>
      <w:r>
        <w:rPr>
          <w:rFonts w:ascii="Times New Roman" w:hAnsi="Times New Roman" w:cs="Times New Roman"/>
          <w:b w:val="0"/>
          <w:color w:val="000000"/>
          <w:sz w:val="22"/>
        </w:rPr>
        <w:t>La page d'accueil présente la plateforme aux visiteurs non connectés. Elle contient une section héro avec un titre accrocheur, un mockup animé de l'interface et un bouton d'appel à l'action vers l'inscription. Deux sections suivent : une présentation des fonctionnalités principales et une description du processus en étapes. La navigation supérieure propose des liens vers ces sections et vers les pages de connexion et d'inscription.</w:t>
      </w:r>
    </w:p>
    <w:p>
      <w:pPr>
        <w:spacing w:after="120" w:line="253" w:lineRule="exact" w:before="200"/>
        <w:jc w:val="both"/>
      </w:pPr>
      <w:r>
        <w:rPr>
          <w:rFonts w:ascii="Times New Roman" w:hAnsi="Times New Roman" w:cs="Times New Roman"/>
          <w:b/>
          <w:color w:val="2C3E50"/>
          <w:sz w:val="24"/>
        </w:rPr>
        <w:t>2.2. Authentification</w:t>
      </w:r>
    </w:p>
    <w:p>
      <w:pPr>
        <w:spacing w:after="120" w:line="253" w:lineRule="exact"/>
        <w:jc w:val="both"/>
      </w:pPr>
      <w:r>
        <w:rPr>
          <w:rFonts w:ascii="Times New Roman" w:hAnsi="Times New Roman" w:cs="Times New Roman"/>
          <w:b w:val="0"/>
          <w:color w:val="000000"/>
          <w:sz w:val="22"/>
        </w:rPr>
        <w:t>La page d'inscription collecte le nom, le prénom, l'adresse électronique et le mot de passe. La connexion utilise l'adresse électronique et le mot de passe. L'authentification repose sur des tokens JWT. Toute page de l'application est protégée : un utilisateur non connecté est redirigé vers la page de connexion.</w:t>
      </w:r>
    </w:p>
    <w:p>
      <w:pPr>
        <w:spacing w:after="120" w:line="253" w:lineRule="exact" w:before="200"/>
        <w:jc w:val="both"/>
      </w:pPr>
      <w:r>
        <w:rPr>
          <w:rFonts w:ascii="Times New Roman" w:hAnsi="Times New Roman" w:cs="Times New Roman"/>
          <w:b/>
          <w:color w:val="2C3E50"/>
          <w:sz w:val="24"/>
        </w:rPr>
        <w:t>2.3. Tableau de bord</w:t>
      </w:r>
    </w:p>
    <w:p>
      <w:pPr>
        <w:spacing w:after="120" w:line="253" w:lineRule="exact"/>
        <w:jc w:val="both"/>
      </w:pPr>
      <w:r>
        <w:rPr>
          <w:rFonts w:ascii="Times New Roman" w:hAnsi="Times New Roman" w:cs="Times New Roman"/>
          <w:b w:val="0"/>
          <w:color w:val="000000"/>
          <w:sz w:val="22"/>
        </w:rPr>
        <w:t>Le tableau de bord est organisé en six onglets accessibles via une barre de navigation horizontale.</w:t>
      </w:r>
    </w:p>
    <w:tbl>
      <w:tblPr>
        <w:tblW w:type="auto" w:w="0"/>
        <w:jc w:val="center"/>
        <w:tblLook w:firstColumn="1" w:firstRow="1" w:lastColumn="0" w:lastRow="0" w:noHBand="0" w:noVBand="1" w:val="04A0"/>
      </w:tblPr>
      <w:tblGrid>
        <w:gridCol w:w="4255"/>
        <w:gridCol w:w="4255"/>
      </w:tblGrid>
      <w:tr>
        <w:tc>
          <w:tcPr>
            <w:tcW w:type="dxa" w:w="4255"/>
            <w:shd w:val="clear" w:color="auto" w:fill="1F3864"/>
          </w:tcPr>
          <w:p>
            <w:pPr>
              <w:jc w:val="both"/>
            </w:pPr>
            <w:r>
              <w:rPr>
                <w:rFonts w:ascii="Times New Roman" w:hAnsi="Times New Roman" w:cs="Times New Roman"/>
                <w:b/>
                <w:color w:val="FFFFFF"/>
                <w:sz w:val="20"/>
              </w:rPr>
              <w:t>Onglet</w:t>
            </w:r>
          </w:p>
        </w:tc>
        <w:tc>
          <w:tcPr>
            <w:tcW w:type="dxa" w:w="4255"/>
            <w:shd w:val="clear" w:color="auto" w:fill="1F3864"/>
          </w:tcPr>
          <w:p>
            <w:pPr>
              <w:jc w:val="both"/>
            </w:pPr>
            <w:r>
              <w:rPr>
                <w:rFonts w:ascii="Times New Roman" w:hAnsi="Times New Roman" w:cs="Times New Roman"/>
                <w:b/>
                <w:color w:val="FFFFFF"/>
                <w:sz w:val="20"/>
              </w:rPr>
              <w:t>Contenu</w:t>
            </w:r>
          </w:p>
        </w:tc>
      </w:tr>
      <w:tr>
        <w:tc>
          <w:tcPr>
            <w:tcW w:type="dxa" w:w="4255"/>
            <w:shd w:val="clear" w:color="auto" w:fill="F2F2F2"/>
          </w:tcPr>
          <w:p>
            <w:pPr>
              <w:jc w:val="both"/>
            </w:pPr>
            <w:r>
              <w:rPr>
                <w:rFonts w:ascii="Times New Roman" w:hAnsi="Times New Roman" w:cs="Times New Roman"/>
                <w:color w:val="000000"/>
                <w:sz w:val="20"/>
              </w:rPr>
              <w:t>Vue d'ensemble</w:t>
            </w:r>
          </w:p>
        </w:tc>
        <w:tc>
          <w:tcPr>
            <w:tcW w:type="dxa" w:w="4255"/>
            <w:shd w:val="clear" w:color="auto" w:fill="F2F2F2"/>
          </w:tcPr>
          <w:p>
            <w:pPr>
              <w:jc w:val="both"/>
            </w:pPr>
            <w:r>
              <w:rPr>
                <w:rFonts w:ascii="Times New Roman" w:hAnsi="Times New Roman" w:cs="Times New Roman"/>
                <w:color w:val="000000"/>
                <w:sz w:val="20"/>
              </w:rPr>
              <w:t>Statistiques globales : nombre d'AOs, documents générés, statuts. Accès rapide aux derniers appels d'offres.</w:t>
            </w:r>
          </w:p>
        </w:tc>
      </w:tr>
      <w:tr>
        <w:tc>
          <w:tcPr>
            <w:tcW w:type="dxa" w:w="4255"/>
            <w:shd w:val="clear" w:color="auto" w:fill="FFFFFF"/>
          </w:tcPr>
          <w:p>
            <w:pPr>
              <w:jc w:val="both"/>
            </w:pPr>
            <w:r>
              <w:rPr>
                <w:rFonts w:ascii="Times New Roman" w:hAnsi="Times New Roman" w:cs="Times New Roman"/>
                <w:color w:val="000000"/>
                <w:sz w:val="20"/>
              </w:rPr>
              <w:t>Profil entreprise</w:t>
            </w:r>
          </w:p>
        </w:tc>
        <w:tc>
          <w:tcPr>
            <w:tcW w:type="dxa" w:w="4255"/>
            <w:shd w:val="clear" w:color="auto" w:fill="FFFFFF"/>
          </w:tcPr>
          <w:p>
            <w:pPr>
              <w:jc w:val="both"/>
            </w:pPr>
            <w:r>
              <w:rPr>
                <w:rFonts w:ascii="Times New Roman" w:hAnsi="Times New Roman" w:cs="Times New Roman"/>
                <w:color w:val="000000"/>
                <w:sz w:val="20"/>
              </w:rPr>
              <w:t>Formulaire complet des données de l'entreprise : raison sociale, ICE, RC, IF, CNSS, capital social, RIB, forme juridique, adresse, ville, téléphone, email, gérant et CIN.</w:t>
            </w:r>
          </w:p>
        </w:tc>
      </w:tr>
      <w:tr>
        <w:tc>
          <w:tcPr>
            <w:tcW w:type="dxa" w:w="4255"/>
            <w:shd w:val="clear" w:color="auto" w:fill="F2F2F2"/>
          </w:tcPr>
          <w:p>
            <w:pPr>
              <w:jc w:val="both"/>
            </w:pPr>
            <w:r>
              <w:rPr>
                <w:rFonts w:ascii="Times New Roman" w:hAnsi="Times New Roman" w:cs="Times New Roman"/>
                <w:color w:val="000000"/>
                <w:sz w:val="20"/>
              </w:rPr>
              <w:t>Paraphe &amp; Cachet</w:t>
            </w:r>
          </w:p>
        </w:tc>
        <w:tc>
          <w:tcPr>
            <w:tcW w:type="dxa" w:w="4255"/>
            <w:shd w:val="clear" w:color="auto" w:fill="F2F2F2"/>
          </w:tcPr>
          <w:p>
            <w:pPr>
              <w:jc w:val="both"/>
            </w:pPr>
            <w:r>
              <w:rPr>
                <w:rFonts w:ascii="Times New Roman" w:hAnsi="Times New Roman" w:cs="Times New Roman"/>
                <w:color w:val="000000"/>
                <w:sz w:val="20"/>
              </w:rPr>
              <w:t>Upload de l'image du paraphe du gérant (utilisé sur CPS et RC). Upload du cachet de l'entreprise (apposé sur les documents administratifs). Upload optionnel d'une image 'Lu et accepté'. Upload optionnel d'un template DOCX pour la note méthodologique.</w:t>
            </w:r>
          </w:p>
        </w:tc>
      </w:tr>
      <w:tr>
        <w:tc>
          <w:tcPr>
            <w:tcW w:type="dxa" w:w="4255"/>
            <w:shd w:val="clear" w:color="auto" w:fill="FFFFFF"/>
          </w:tcPr>
          <w:p>
            <w:pPr>
              <w:jc w:val="both"/>
            </w:pPr>
            <w:r>
              <w:rPr>
                <w:rFonts w:ascii="Times New Roman" w:hAnsi="Times New Roman" w:cs="Times New Roman"/>
                <w:color w:val="000000"/>
                <w:sz w:val="20"/>
              </w:rPr>
              <w:t>Documents</w:t>
            </w:r>
          </w:p>
        </w:tc>
        <w:tc>
          <w:tcPr>
            <w:tcW w:type="dxa" w:w="4255"/>
            <w:shd w:val="clear" w:color="auto" w:fill="FFFFFF"/>
          </w:tcPr>
          <w:p>
            <w:pPr>
              <w:jc w:val="both"/>
            </w:pPr>
            <w:r>
              <w:rPr>
                <w:rFonts w:ascii="Times New Roman" w:hAnsi="Times New Roman" w:cs="Times New Roman"/>
                <w:color w:val="000000"/>
                <w:sz w:val="20"/>
              </w:rPr>
              <w:t>Gestion des documents permanents de l'entreprise : PV de gérance, attestations fiscales et CNSS, note sur les moyens. Ces documents sont inclus automatiquement dans chaque dossier généré.</w:t>
            </w:r>
          </w:p>
        </w:tc>
      </w:tr>
      <w:tr>
        <w:tc>
          <w:tcPr>
            <w:tcW w:type="dxa" w:w="4255"/>
            <w:shd w:val="clear" w:color="auto" w:fill="F2F2F2"/>
          </w:tcPr>
          <w:p>
            <w:pPr>
              <w:jc w:val="both"/>
            </w:pPr>
            <w:r>
              <w:rPr>
                <w:rFonts w:ascii="Times New Roman" w:hAnsi="Times New Roman" w:cs="Times New Roman"/>
                <w:color w:val="000000"/>
                <w:sz w:val="20"/>
              </w:rPr>
              <w:t>Equipe / CVs</w:t>
            </w:r>
          </w:p>
        </w:tc>
        <w:tc>
          <w:tcPr>
            <w:tcW w:type="dxa" w:w="4255"/>
            <w:shd w:val="clear" w:color="auto" w:fill="F2F2F2"/>
          </w:tcPr>
          <w:p>
            <w:pPr>
              <w:jc w:val="both"/>
            </w:pPr>
            <w:r>
              <w:rPr>
                <w:rFonts w:ascii="Times New Roman" w:hAnsi="Times New Roman" w:cs="Times New Roman"/>
                <w:color w:val="000000"/>
                <w:sz w:val="20"/>
              </w:rPr>
              <w:t>Gestion du pool de formateurs et experts. Upload d'un PDF de CV : le système extrait automatiquement les informations (nom, prénom, poste, spécialité, diplôme, expérience) via Mistral. Le CV est ensuite indexé dans la base RAG.</w:t>
            </w:r>
          </w:p>
        </w:tc>
      </w:tr>
      <w:tr>
        <w:tc>
          <w:tcPr>
            <w:tcW w:type="dxa" w:w="4255"/>
            <w:shd w:val="clear" w:color="auto" w:fill="FFFFFF"/>
          </w:tcPr>
          <w:p>
            <w:pPr>
              <w:jc w:val="both"/>
            </w:pPr>
            <w:r>
              <w:rPr>
                <w:rFonts w:ascii="Times New Roman" w:hAnsi="Times New Roman" w:cs="Times New Roman"/>
                <w:color w:val="000000"/>
                <w:sz w:val="20"/>
              </w:rPr>
              <w:t>Génération</w:t>
            </w:r>
          </w:p>
        </w:tc>
        <w:tc>
          <w:tcPr>
            <w:tcW w:type="dxa" w:w="4255"/>
            <w:shd w:val="clear" w:color="auto" w:fill="FFFFFF"/>
          </w:tcPr>
          <w:p>
            <w:pPr>
              <w:jc w:val="both"/>
            </w:pPr>
            <w:r>
              <w:rPr>
                <w:rFonts w:ascii="Times New Roman" w:hAnsi="Times New Roman" w:cs="Times New Roman"/>
                <w:color w:val="000000"/>
                <w:sz w:val="20"/>
              </w:rPr>
              <w:t>Interface de démarrage rapide pour créer un AO directement depuis le tableau de bord.</w:t>
            </w:r>
          </w:p>
        </w:tc>
      </w:tr>
    </w:tbl>
    <w:p/>
    <w:p>
      <w:pPr>
        <w:spacing w:after="120" w:line="253" w:lineRule="exact" w:before="200"/>
        <w:jc w:val="both"/>
      </w:pPr>
      <w:r>
        <w:rPr>
          <w:rFonts w:ascii="Times New Roman" w:hAnsi="Times New Roman" w:cs="Times New Roman"/>
          <w:b/>
          <w:color w:val="2C3E50"/>
          <w:sz w:val="24"/>
        </w:rPr>
        <w:t>2.4. Appels d'offres</w:t>
      </w:r>
    </w:p>
    <w:p>
      <w:pPr>
        <w:spacing w:after="120" w:line="253" w:lineRule="exact"/>
        <w:jc w:val="both"/>
      </w:pPr>
      <w:r>
        <w:rPr>
          <w:rFonts w:ascii="Times New Roman" w:hAnsi="Times New Roman" w:cs="Times New Roman"/>
          <w:b w:val="0"/>
          <w:color w:val="000000"/>
          <w:sz w:val="22"/>
        </w:rPr>
        <w:t>La page des appels d'offres liste tous les dossiers créés pour l'organisation. Chaque entrée affiche le nom de l'AO, son statut (en attente, en traitement, terminé, erreur) et un bouton de suppression. Un bouton 'Nouvel AO' permet de créer une nouvelle entrée.</w:t>
      </w:r>
    </w:p>
    <w:p>
      <w:pPr>
        <w:spacing w:after="120" w:line="253" w:lineRule="exact"/>
        <w:jc w:val="both"/>
      </w:pPr>
      <w:r>
        <w:rPr>
          <w:rFonts w:ascii="Times New Roman" w:hAnsi="Times New Roman" w:cs="Times New Roman"/>
          <w:b w:val="0"/>
          <w:color w:val="000000"/>
          <w:sz w:val="22"/>
        </w:rPr>
        <w:t>Au clic sur un AO, le détail s'ouvre et présente : la barre de progression du pipeline (de 0 à 100 %), la liste des documents sources uploadés (CPS, RC) avec boutons de téléchargement, les documents générés organisés par dossier (financier, administratif, technique) avec boutons PDF et DOCX selon le format disponible, et le dossier complet en ZIP téléchargeable en un clic.</w:t>
      </w:r>
    </w:p>
    <w:p>
      <w:pPr>
        <w:spacing w:after="120" w:line="253" w:lineRule="exact" w:before="200"/>
        <w:jc w:val="both"/>
      </w:pPr>
      <w:r>
        <w:rPr>
          <w:rFonts w:ascii="Times New Roman" w:hAnsi="Times New Roman" w:cs="Times New Roman"/>
          <w:b/>
          <w:color w:val="2C3E50"/>
          <w:sz w:val="24"/>
        </w:rPr>
        <w:t>2.5. Outils</w:t>
      </w:r>
    </w:p>
    <w:p>
      <w:pPr>
        <w:spacing w:after="120" w:line="253" w:lineRule="exact"/>
        <w:jc w:val="both"/>
      </w:pPr>
      <w:r>
        <w:rPr>
          <w:rFonts w:ascii="Times New Roman" w:hAnsi="Times New Roman" w:cs="Times New Roman"/>
          <w:b w:val="0"/>
          <w:color w:val="000000"/>
          <w:sz w:val="22"/>
        </w:rPr>
        <w:t>La page Outils donne accès aux documents permanents de l'entreprise : consultation, upload et suppression. C'est une vue simplifiée du même contenu que l'onglet Documents du tableau de bord, accessible directement depuis la navigation principale.</w:t>
      </w:r>
    </w:p>
    <w:p>
      <w:pPr>
        <w:spacing w:after="120" w:line="253" w:lineRule="exact" w:before="200"/>
        <w:jc w:val="both"/>
      </w:pPr>
      <w:r>
        <w:rPr>
          <w:rFonts w:ascii="Times New Roman" w:hAnsi="Times New Roman" w:cs="Times New Roman"/>
          <w:b/>
          <w:color w:val="2C3E50"/>
          <w:sz w:val="24"/>
        </w:rPr>
        <w:t>2.6. Paramètres</w:t>
      </w:r>
    </w:p>
    <w:p>
      <w:pPr>
        <w:spacing w:after="120" w:line="253" w:lineRule="exact"/>
        <w:jc w:val="both"/>
      </w:pPr>
      <w:r>
        <w:rPr>
          <w:rFonts w:ascii="Times New Roman" w:hAnsi="Times New Roman" w:cs="Times New Roman"/>
          <w:b w:val="0"/>
          <w:color w:val="000000"/>
          <w:sz w:val="22"/>
        </w:rPr>
        <w:t>Les paramètres proposent deux onglets. Le premier, 'Général', permet de choisir le fournisseur LLM par défaut pour le chatbot parmi Mistral, OpenAI et Anthropic. Le second, 'Utilisation', affiche des indicateurs de consommation de l'API.</w:t>
      </w:r>
    </w:p>
    <w:p>
      <w:pPr>
        <w:spacing w:after="120" w:line="253" w:lineRule="exact" w:before="200"/>
        <w:jc w:val="both"/>
      </w:pPr>
      <w:r>
        <w:rPr>
          <w:rFonts w:ascii="Times New Roman" w:hAnsi="Times New Roman" w:cs="Times New Roman"/>
          <w:b/>
          <w:color w:val="2C3E50"/>
          <w:sz w:val="24"/>
        </w:rPr>
        <w:t>2.7. Chatbot intégré</w:t>
      </w:r>
    </w:p>
    <w:p>
      <w:pPr>
        <w:spacing w:after="120" w:line="253" w:lineRule="exact"/>
        <w:jc w:val="both"/>
      </w:pPr>
      <w:r>
        <w:rPr>
          <w:rFonts w:ascii="Times New Roman" w:hAnsi="Times New Roman" w:cs="Times New Roman"/>
          <w:b w:val="0"/>
          <w:color w:val="000000"/>
          <w:sz w:val="22"/>
        </w:rPr>
        <w:t>Un chatbot flottant est accessible depuis toutes les pages de l'application via une bulle en bas à droite de l'écran. Il répond aux questions de l'utilisateur en s'appuyant sur la base de connaissances interne de l'organisation (CVs, documents entreprise, analyses d'AOs passés). L'utilisateur peut choisir le modèle LLM utilisé pour la réponse. L'historique de la conversation est conservé pour la session en cours.</w:t>
      </w:r>
    </w:p>
    <w:p>
      <w:r>
        <w:br w:type="page"/>
      </w:r>
    </w:p>
    <w:p>
      <w:pPr>
        <w:spacing w:after="160" w:line="253" w:lineRule="exact" w:before="280"/>
        <w:jc w:val="both"/>
      </w:pPr>
      <w:r>
        <w:rPr>
          <w:rFonts w:ascii="Times New Roman" w:hAnsi="Times New Roman" w:cs="Times New Roman"/>
          <w:b/>
          <w:color w:val="1F3864"/>
          <w:sz w:val="26"/>
        </w:rPr>
        <w:t>3. Parcours de génération d'un dossier AO</w:t>
      </w:r>
    </w:p>
    <w:p>
      <w:pPr>
        <w:spacing w:after="120" w:line="253" w:lineRule="exact" w:before="200"/>
        <w:jc w:val="both"/>
      </w:pPr>
      <w:r>
        <w:rPr>
          <w:rFonts w:ascii="Times New Roman" w:hAnsi="Times New Roman" w:cs="Times New Roman"/>
          <w:b/>
          <w:color w:val="2C3E50"/>
          <w:sz w:val="24"/>
        </w:rPr>
        <w:t>3.1. Préparation du profil entreprise</w:t>
      </w:r>
    </w:p>
    <w:p>
      <w:pPr>
        <w:spacing w:after="120" w:line="253" w:lineRule="exact"/>
        <w:jc w:val="both"/>
      </w:pPr>
      <w:r>
        <w:rPr>
          <w:rFonts w:ascii="Times New Roman" w:hAnsi="Times New Roman" w:cs="Times New Roman"/>
          <w:b w:val="0"/>
          <w:color w:val="000000"/>
          <w:sz w:val="22"/>
        </w:rPr>
        <w:t>Avant de traiter un premier AO, l'utilisateur complète le profil de son entreprise depuis le tableau de bord. Cette étape est réalisée une seule fois. Elle couvre l'identité juridique, les coordonnées, les données financières et les représentants légaux. L'utilisateur uploade ensuite le paraphe du gérant, le cachet de l'entreprise et les documents permanents (attestations, PV de gérance).</w:t>
      </w:r>
    </w:p>
    <w:p>
      <w:pPr>
        <w:spacing w:after="120" w:line="253" w:lineRule="exact"/>
        <w:jc w:val="both"/>
      </w:pPr>
      <w:r>
        <w:rPr>
          <w:rFonts w:ascii="Times New Roman" w:hAnsi="Times New Roman" w:cs="Times New Roman"/>
          <w:b w:val="0"/>
          <w:color w:val="000000"/>
          <w:sz w:val="22"/>
        </w:rPr>
        <w:t>Le pool de CVs est alimenté de la même façon : pour chaque expert ou formateur, l'utilisateur dépose le PDF du CV. Le système extrait les informations en quelques secondes et présente un formulaire pré-rempli à valider. Une fois sauvegardé, le CV est indexé et disponible pour le matching automatique.</w:t>
      </w:r>
    </w:p>
    <w:p>
      <w:pPr>
        <w:spacing w:after="120" w:line="253" w:lineRule="exact" w:before="200"/>
        <w:jc w:val="both"/>
      </w:pPr>
      <w:r>
        <w:rPr>
          <w:rFonts w:ascii="Times New Roman" w:hAnsi="Times New Roman" w:cs="Times New Roman"/>
          <w:b/>
          <w:color w:val="2C3E50"/>
          <w:sz w:val="24"/>
        </w:rPr>
        <w:t>3.2. Création d'un appel d'offres</w:t>
      </w:r>
    </w:p>
    <w:p>
      <w:pPr>
        <w:spacing w:after="120" w:line="253" w:lineRule="exact"/>
        <w:jc w:val="both"/>
      </w:pPr>
      <w:r>
        <w:rPr>
          <w:rFonts w:ascii="Times New Roman" w:hAnsi="Times New Roman" w:cs="Times New Roman"/>
          <w:b w:val="0"/>
          <w:color w:val="000000"/>
          <w:sz w:val="22"/>
        </w:rPr>
        <w:t>L'utilisateur clique sur 'Nouvel AO' et saisit un nom identifiant le dossier. L'interface lui présente ensuite une zone d'upload pour le CPS (cahier des prescriptions spéciales) et le RC (règlement de consultation). Ces deux fichiers PDF sont les seuls documents source nécessaires au pipeline.</w:t>
      </w:r>
    </w:p>
    <w:p>
      <w:pPr>
        <w:spacing w:after="120" w:line="253" w:lineRule="exact" w:before="200"/>
        <w:jc w:val="both"/>
      </w:pPr>
      <w:r>
        <w:rPr>
          <w:rFonts w:ascii="Times New Roman" w:hAnsi="Times New Roman" w:cs="Times New Roman"/>
          <w:b/>
          <w:color w:val="2C3E50"/>
          <w:sz w:val="24"/>
        </w:rPr>
        <w:t>3.3. Lancement du pipeline</w:t>
      </w:r>
    </w:p>
    <w:p>
      <w:pPr>
        <w:spacing w:after="120" w:line="253" w:lineRule="exact"/>
        <w:jc w:val="both"/>
      </w:pPr>
      <w:r>
        <w:rPr>
          <w:rFonts w:ascii="Times New Roman" w:hAnsi="Times New Roman" w:cs="Times New Roman"/>
          <w:b w:val="0"/>
          <w:color w:val="000000"/>
          <w:sz w:val="22"/>
        </w:rPr>
        <w:t>Une fois les fichiers uploadés, l'utilisateur clique sur 'Démarrer'. Le pipeline se lance en tâche de fond. La barre de progression se met à jour en temps réel, par interrogation périodique du serveur. L'utilisateur n'a rien d'autre à faire.</w:t>
      </w:r>
    </w:p>
    <w:p>
      <w:pPr>
        <w:spacing w:after="120" w:line="253" w:lineRule="exact"/>
        <w:jc w:val="both"/>
      </w:pPr>
      <w:r>
        <w:rPr>
          <w:rFonts w:ascii="Times New Roman" w:hAnsi="Times New Roman" w:cs="Times New Roman"/>
          <w:b w:val="0"/>
          <w:color w:val="000000"/>
          <w:sz w:val="22"/>
        </w:rPr>
        <w:t>Le pipeline produit automatiquement : une note méthodologique structurée en dix sections adaptées au contenu du CPS, un acte d'engagement pré-rempli avec les données de l'entreprise, une déclaration sur l'honneur pré-remplie, un bordereau des prix formaté, et l'ensemble des documents permanents. Chaque document PDF est signé avec le cachet ou le paraphe selon sa nature.</w:t>
      </w:r>
    </w:p>
    <w:p>
      <w:pPr>
        <w:spacing w:after="120" w:line="253" w:lineRule="exact" w:before="200"/>
        <w:jc w:val="both"/>
      </w:pPr>
      <w:r>
        <w:rPr>
          <w:rFonts w:ascii="Times New Roman" w:hAnsi="Times New Roman" w:cs="Times New Roman"/>
          <w:b/>
          <w:color w:val="2C3E50"/>
          <w:sz w:val="24"/>
        </w:rPr>
        <w:t>3.4. Suivi et téléchargement</w:t>
      </w:r>
    </w:p>
    <w:p>
      <w:pPr>
        <w:spacing w:after="120" w:line="253" w:lineRule="exact"/>
        <w:jc w:val="both"/>
      </w:pPr>
      <w:r>
        <w:rPr>
          <w:rFonts w:ascii="Times New Roman" w:hAnsi="Times New Roman" w:cs="Times New Roman"/>
          <w:b w:val="0"/>
          <w:color w:val="000000"/>
          <w:sz w:val="22"/>
        </w:rPr>
        <w:t>Dès que le pipeline atteint 100 %, le statut passe à 'Terminé' et la liste des documents apparaît. L'utilisateur peut télécharger chaque document individuellement au format PDF ou DOCX, ou récupérer le dossier complet en un fichier ZIP. Les documents administratifs et technique sont rangés dans des sous-dossiers distincts à l'intérieur du ZIP.</w:t>
      </w:r>
    </w:p>
    <w:p>
      <w:r>
        <w:br w:type="page"/>
      </w:r>
    </w:p>
    <w:p>
      <w:pPr>
        <w:spacing w:before="200" w:after="320"/>
        <w:jc w:val="both"/>
      </w:pPr>
      <w:r>
        <w:rPr>
          <w:rFonts w:ascii="Times New Roman" w:hAnsi="Times New Roman" w:cs="Times New Roman"/>
          <w:b/>
          <w:color w:val="1F3864"/>
          <w:sz w:val="26"/>
        </w:rPr>
        <w:t>PARTIE II  :  DESCRIPTION TECHNIQUE</w:t>
      </w:r>
    </w:p>
    <w:p>
      <w:pPr>
        <w:spacing w:after="160" w:line="253" w:lineRule="exact" w:before="280"/>
        <w:jc w:val="both"/>
      </w:pPr>
      <w:r>
        <w:rPr>
          <w:rFonts w:ascii="Times New Roman" w:hAnsi="Times New Roman" w:cs="Times New Roman"/>
          <w:b/>
          <w:color w:val="1F3864"/>
          <w:sz w:val="26"/>
        </w:rPr>
        <w:t>4. Stack technologique</w:t>
      </w:r>
    </w:p>
    <w:p>
      <w:pPr>
        <w:spacing w:after="120" w:line="253" w:lineRule="exact" w:before="200"/>
        <w:jc w:val="both"/>
      </w:pPr>
      <w:r>
        <w:rPr>
          <w:rFonts w:ascii="Times New Roman" w:hAnsi="Times New Roman" w:cs="Times New Roman"/>
          <w:b/>
          <w:color w:val="2C3E50"/>
          <w:sz w:val="24"/>
        </w:rPr>
        <w:t>4.1. Backend</w:t>
      </w:r>
    </w:p>
    <w:p>
      <w:pPr>
        <w:spacing w:after="120" w:line="253" w:lineRule="exact"/>
        <w:jc w:val="both"/>
      </w:pPr>
      <w:r>
        <w:rPr>
          <w:rFonts w:ascii="Times New Roman" w:hAnsi="Times New Roman" w:cs="Times New Roman"/>
          <w:b w:val="0"/>
          <w:color w:val="000000"/>
          <w:sz w:val="22"/>
        </w:rPr>
        <w:t>Le backend est une API REST construite avec FastAPI et Python. La base de données est PostgreSQL, accédée de façon asynchrone via SQLAlchemy et asyncpg. Les migrations de schéma sont gérées par Alembic. Les fichiers binaires (PDFs, images, documents) sont stockés dans MinIO, un serveur objet compatible S3. Redis sert à la fois de broker de messages et de backend de résultats pour Celery. Qdrant est la base vectorielle utilisée pour la recherche RAG.</w:t>
      </w:r>
    </w:p>
    <w:tbl>
      <w:tblPr>
        <w:tblW w:type="auto" w:w="0"/>
        <w:jc w:val="center"/>
        <w:tblLook w:firstColumn="1" w:firstRow="1" w:lastColumn="0" w:lastRow="0" w:noHBand="0" w:noVBand="1" w:val="04A0"/>
      </w:tblPr>
      <w:tblGrid>
        <w:gridCol w:w="4255"/>
        <w:gridCol w:w="4255"/>
      </w:tblGrid>
      <w:tr>
        <w:tc>
          <w:tcPr>
            <w:tcW w:type="dxa" w:w="4255"/>
            <w:shd w:val="clear" w:color="auto" w:fill="1F3864"/>
          </w:tcPr>
          <w:p>
            <w:pPr>
              <w:jc w:val="both"/>
            </w:pPr>
            <w:r>
              <w:rPr>
                <w:rFonts w:ascii="Times New Roman" w:hAnsi="Times New Roman" w:cs="Times New Roman"/>
                <w:b/>
                <w:color w:val="FFFFFF"/>
                <w:sz w:val="20"/>
              </w:rPr>
              <w:t>Composant</w:t>
            </w:r>
          </w:p>
        </w:tc>
        <w:tc>
          <w:tcPr>
            <w:tcW w:type="dxa" w:w="4255"/>
            <w:shd w:val="clear" w:color="auto" w:fill="1F3864"/>
          </w:tcPr>
          <w:p>
            <w:pPr>
              <w:jc w:val="both"/>
            </w:pPr>
            <w:r>
              <w:rPr>
                <w:rFonts w:ascii="Times New Roman" w:hAnsi="Times New Roman" w:cs="Times New Roman"/>
                <w:b/>
                <w:color w:val="FFFFFF"/>
                <w:sz w:val="20"/>
              </w:rPr>
              <w:t>Rôle</w:t>
            </w:r>
          </w:p>
        </w:tc>
      </w:tr>
      <w:tr>
        <w:tc>
          <w:tcPr>
            <w:tcW w:type="dxa" w:w="4255"/>
            <w:shd w:val="clear" w:color="auto" w:fill="F2F2F2"/>
          </w:tcPr>
          <w:p>
            <w:pPr>
              <w:jc w:val="both"/>
            </w:pPr>
            <w:r>
              <w:rPr>
                <w:rFonts w:ascii="Times New Roman" w:hAnsi="Times New Roman" w:cs="Times New Roman"/>
                <w:color w:val="000000"/>
                <w:sz w:val="20"/>
              </w:rPr>
              <w:t>FastAPI</w:t>
            </w:r>
          </w:p>
        </w:tc>
        <w:tc>
          <w:tcPr>
            <w:tcW w:type="dxa" w:w="4255"/>
            <w:shd w:val="clear" w:color="auto" w:fill="F2F2F2"/>
          </w:tcPr>
          <w:p>
            <w:pPr>
              <w:jc w:val="both"/>
            </w:pPr>
            <w:r>
              <w:rPr>
                <w:rFonts w:ascii="Times New Roman" w:hAnsi="Times New Roman" w:cs="Times New Roman"/>
                <w:color w:val="000000"/>
                <w:sz w:val="20"/>
              </w:rPr>
              <w:t>API REST asynchrone, gestion des routes, validation des données avec Pydantic</w:t>
            </w:r>
          </w:p>
        </w:tc>
      </w:tr>
      <w:tr>
        <w:tc>
          <w:tcPr>
            <w:tcW w:type="dxa" w:w="4255"/>
            <w:shd w:val="clear" w:color="auto" w:fill="FFFFFF"/>
          </w:tcPr>
          <w:p>
            <w:pPr>
              <w:jc w:val="both"/>
            </w:pPr>
            <w:r>
              <w:rPr>
                <w:rFonts w:ascii="Times New Roman" w:hAnsi="Times New Roman" w:cs="Times New Roman"/>
                <w:color w:val="000000"/>
                <w:sz w:val="20"/>
              </w:rPr>
              <w:t>PostgreSQL</w:t>
            </w:r>
          </w:p>
        </w:tc>
        <w:tc>
          <w:tcPr>
            <w:tcW w:type="dxa" w:w="4255"/>
            <w:shd w:val="clear" w:color="auto" w:fill="FFFFFF"/>
          </w:tcPr>
          <w:p>
            <w:pPr>
              <w:jc w:val="both"/>
            </w:pPr>
            <w:r>
              <w:rPr>
                <w:rFonts w:ascii="Times New Roman" w:hAnsi="Times New Roman" w:cs="Times New Roman"/>
                <w:color w:val="000000"/>
                <w:sz w:val="20"/>
              </w:rPr>
              <w:t>Base de données relationnelle : utilisateurs, organisations, AOs, documents, profils</w:t>
            </w:r>
          </w:p>
        </w:tc>
      </w:tr>
      <w:tr>
        <w:tc>
          <w:tcPr>
            <w:tcW w:type="dxa" w:w="4255"/>
            <w:shd w:val="clear" w:color="auto" w:fill="F2F2F2"/>
          </w:tcPr>
          <w:p>
            <w:pPr>
              <w:jc w:val="both"/>
            </w:pPr>
            <w:r>
              <w:rPr>
                <w:rFonts w:ascii="Times New Roman" w:hAnsi="Times New Roman" w:cs="Times New Roman"/>
                <w:color w:val="000000"/>
                <w:sz w:val="20"/>
              </w:rPr>
              <w:t>MinIO</w:t>
            </w:r>
          </w:p>
        </w:tc>
        <w:tc>
          <w:tcPr>
            <w:tcW w:type="dxa" w:w="4255"/>
            <w:shd w:val="clear" w:color="auto" w:fill="F2F2F2"/>
          </w:tcPr>
          <w:p>
            <w:pPr>
              <w:jc w:val="both"/>
            </w:pPr>
            <w:r>
              <w:rPr>
                <w:rFonts w:ascii="Times New Roman" w:hAnsi="Times New Roman" w:cs="Times New Roman"/>
                <w:color w:val="000000"/>
                <w:sz w:val="20"/>
              </w:rPr>
              <w:t>Stockage objet des fichiers binaires : PDFs, images, DOCX générés</w:t>
            </w:r>
          </w:p>
        </w:tc>
      </w:tr>
      <w:tr>
        <w:tc>
          <w:tcPr>
            <w:tcW w:type="dxa" w:w="4255"/>
            <w:shd w:val="clear" w:color="auto" w:fill="FFFFFF"/>
          </w:tcPr>
          <w:p>
            <w:pPr>
              <w:jc w:val="both"/>
            </w:pPr>
            <w:r>
              <w:rPr>
                <w:rFonts w:ascii="Times New Roman" w:hAnsi="Times New Roman" w:cs="Times New Roman"/>
                <w:color w:val="000000"/>
                <w:sz w:val="20"/>
              </w:rPr>
              <w:t>Redis</w:t>
            </w:r>
          </w:p>
        </w:tc>
        <w:tc>
          <w:tcPr>
            <w:tcW w:type="dxa" w:w="4255"/>
            <w:shd w:val="clear" w:color="auto" w:fill="FFFFFF"/>
          </w:tcPr>
          <w:p>
            <w:pPr>
              <w:jc w:val="both"/>
            </w:pPr>
            <w:r>
              <w:rPr>
                <w:rFonts w:ascii="Times New Roman" w:hAnsi="Times New Roman" w:cs="Times New Roman"/>
                <w:color w:val="000000"/>
                <w:sz w:val="20"/>
              </w:rPr>
              <w:t>Broker Celery (base 1), backend de résultats (base 2), cache général (base 0)</w:t>
            </w:r>
          </w:p>
        </w:tc>
      </w:tr>
      <w:tr>
        <w:tc>
          <w:tcPr>
            <w:tcW w:type="dxa" w:w="4255"/>
            <w:shd w:val="clear" w:color="auto" w:fill="F2F2F2"/>
          </w:tcPr>
          <w:p>
            <w:pPr>
              <w:jc w:val="both"/>
            </w:pPr>
            <w:r>
              <w:rPr>
                <w:rFonts w:ascii="Times New Roman" w:hAnsi="Times New Roman" w:cs="Times New Roman"/>
                <w:color w:val="000000"/>
                <w:sz w:val="20"/>
              </w:rPr>
              <w:t>Celery</w:t>
            </w:r>
          </w:p>
        </w:tc>
        <w:tc>
          <w:tcPr>
            <w:tcW w:type="dxa" w:w="4255"/>
            <w:shd w:val="clear" w:color="auto" w:fill="F2F2F2"/>
          </w:tcPr>
          <w:p>
            <w:pPr>
              <w:jc w:val="both"/>
            </w:pPr>
            <w:r>
              <w:rPr>
                <w:rFonts w:ascii="Times New Roman" w:hAnsi="Times New Roman" w:cs="Times New Roman"/>
                <w:color w:val="000000"/>
                <w:sz w:val="20"/>
              </w:rPr>
              <w:t>Orchestrateur de tâches asynchrones, deux workers : celery_io et celery_cpu</w:t>
            </w:r>
          </w:p>
        </w:tc>
      </w:tr>
      <w:tr>
        <w:tc>
          <w:tcPr>
            <w:tcW w:type="dxa" w:w="4255"/>
            <w:shd w:val="clear" w:color="auto" w:fill="FFFFFF"/>
          </w:tcPr>
          <w:p>
            <w:pPr>
              <w:jc w:val="both"/>
            </w:pPr>
            <w:r>
              <w:rPr>
                <w:rFonts w:ascii="Times New Roman" w:hAnsi="Times New Roman" w:cs="Times New Roman"/>
                <w:color w:val="000000"/>
                <w:sz w:val="20"/>
              </w:rPr>
              <w:t>Qdrant</w:t>
            </w:r>
          </w:p>
        </w:tc>
        <w:tc>
          <w:tcPr>
            <w:tcW w:type="dxa" w:w="4255"/>
            <w:shd w:val="clear" w:color="auto" w:fill="FFFFFF"/>
          </w:tcPr>
          <w:p>
            <w:pPr>
              <w:jc w:val="both"/>
            </w:pPr>
            <w:r>
              <w:rPr>
                <w:rFonts w:ascii="Times New Roman" w:hAnsi="Times New Roman" w:cs="Times New Roman"/>
                <w:color w:val="000000"/>
                <w:sz w:val="20"/>
              </w:rPr>
              <w:t>Base vectorielle pour la recherche sémantique (RAG) sur les documents de l'organisation</w:t>
            </w:r>
          </w:p>
        </w:tc>
      </w:tr>
      <w:tr>
        <w:tc>
          <w:tcPr>
            <w:tcW w:type="dxa" w:w="4255"/>
            <w:shd w:val="clear" w:color="auto" w:fill="F2F2F2"/>
          </w:tcPr>
          <w:p>
            <w:pPr>
              <w:jc w:val="both"/>
            </w:pPr>
            <w:r>
              <w:rPr>
                <w:rFonts w:ascii="Times New Roman" w:hAnsi="Times New Roman" w:cs="Times New Roman"/>
                <w:color w:val="000000"/>
                <w:sz w:val="20"/>
              </w:rPr>
              <w:t>Mistral AI</w:t>
            </w:r>
          </w:p>
        </w:tc>
        <w:tc>
          <w:tcPr>
            <w:tcW w:type="dxa" w:w="4255"/>
            <w:shd w:val="clear" w:color="auto" w:fill="F2F2F2"/>
          </w:tcPr>
          <w:p>
            <w:pPr>
              <w:jc w:val="both"/>
            </w:pPr>
            <w:r>
              <w:rPr>
                <w:rFonts w:ascii="Times New Roman" w:hAnsi="Times New Roman" w:cs="Times New Roman"/>
                <w:color w:val="000000"/>
                <w:sz w:val="20"/>
              </w:rPr>
              <w:t>Fournisseur LLM principal : génération de texte, extraction JSON, embeddings</w:t>
            </w:r>
          </w:p>
        </w:tc>
      </w:tr>
    </w:tbl>
    <w:p/>
    <w:p>
      <w:pPr>
        <w:spacing w:after="120" w:line="253" w:lineRule="exact" w:before="200"/>
        <w:jc w:val="both"/>
      </w:pPr>
      <w:r>
        <w:rPr>
          <w:rFonts w:ascii="Times New Roman" w:hAnsi="Times New Roman" w:cs="Times New Roman"/>
          <w:b/>
          <w:color w:val="2C3E50"/>
          <w:sz w:val="24"/>
        </w:rPr>
        <w:t>4.2. Frontend</w:t>
      </w:r>
    </w:p>
    <w:p>
      <w:pPr>
        <w:spacing w:after="120" w:line="253" w:lineRule="exact"/>
        <w:jc w:val="both"/>
      </w:pPr>
      <w:r>
        <w:rPr>
          <w:rFonts w:ascii="Times New Roman" w:hAnsi="Times New Roman" w:cs="Times New Roman"/>
          <w:b w:val="0"/>
          <w:color w:val="000000"/>
          <w:sz w:val="22"/>
        </w:rPr>
        <w:t>Le frontend est une application React avec TypeScript, compilée par Vite. Le style est géré par une combinaison de CSS custom properties (variables --l-*) et de Tailwind pour les utilitaires de mise en page. L'internationalisation est assurée par react-i18next avec deux fichiers de traduction (français et anglais). La police principale est DM Sans. Tous les appels à l'API passent par un module centralisé api.ts qui injecte automatiquement le token d'authentification.</w:t>
      </w:r>
    </w:p>
    <w:p>
      <w:pPr>
        <w:spacing w:after="120" w:line="253" w:lineRule="exact" w:before="200"/>
        <w:jc w:val="both"/>
      </w:pPr>
      <w:r>
        <w:rPr>
          <w:rFonts w:ascii="Times New Roman" w:hAnsi="Times New Roman" w:cs="Times New Roman"/>
          <w:b/>
          <w:color w:val="2C3E50"/>
          <w:sz w:val="24"/>
        </w:rPr>
        <w:t>4.3. Infrastructure</w:t>
      </w:r>
    </w:p>
    <w:p>
      <w:pPr>
        <w:spacing w:after="120" w:line="253" w:lineRule="exact"/>
        <w:jc w:val="both"/>
      </w:pPr>
      <w:r>
        <w:rPr>
          <w:rFonts w:ascii="Times New Roman" w:hAnsi="Times New Roman" w:cs="Times New Roman"/>
          <w:b w:val="0"/>
          <w:color w:val="000000"/>
          <w:sz w:val="22"/>
        </w:rPr>
        <w:t>En développement, tous les services sont orchestrés par Docker Compose. L'API et le frontend tournent localement avec hot-reload. En production, le même fichier Docker Compose sans suffixe orchestre les conteneurs, et Nginx sert le frontend compilé ainsi que le proxy vers l'API.</w:t>
      </w:r>
    </w:p>
    <w:p>
      <w:pPr>
        <w:spacing w:after="120" w:line="253" w:lineRule="exact"/>
        <w:jc w:val="both"/>
      </w:pPr>
      <w:r>
        <w:rPr>
          <w:rFonts w:ascii="Times New Roman" w:hAnsi="Times New Roman" w:cs="Times New Roman"/>
          <w:b w:val="0"/>
          <w:color w:val="000000"/>
          <w:sz w:val="22"/>
        </w:rPr>
        <w:t>Deux workers Celery distincts traitent les tâches selon leur nature. Le worker celery_io traite les tâches d'entrée/sortie légères : classification, analyse, matching d'équipe, indexation. Le worker celery_cpu traite les tâches intensives : génération de la note méthodologique, remplissage de documents, signature et compilation du ZIP.</w:t>
      </w:r>
    </w:p>
    <w:p>
      <w:r>
        <w:br w:type="page"/>
      </w:r>
    </w:p>
    <w:p>
      <w:pPr>
        <w:spacing w:after="160" w:line="253" w:lineRule="exact" w:before="280"/>
        <w:jc w:val="both"/>
      </w:pPr>
      <w:r>
        <w:rPr>
          <w:rFonts w:ascii="Times New Roman" w:hAnsi="Times New Roman" w:cs="Times New Roman"/>
          <w:b/>
          <w:color w:val="1F3864"/>
          <w:sz w:val="26"/>
        </w:rPr>
        <w:t>5. Architecture du pipeline de génération</w:t>
      </w:r>
    </w:p>
    <w:p>
      <w:pPr>
        <w:spacing w:after="120" w:line="253" w:lineRule="exact" w:before="200"/>
        <w:jc w:val="both"/>
      </w:pPr>
      <w:r>
        <w:rPr>
          <w:rFonts w:ascii="Times New Roman" w:hAnsi="Times New Roman" w:cs="Times New Roman"/>
          <w:b/>
          <w:color w:val="2C3E50"/>
          <w:sz w:val="24"/>
        </w:rPr>
        <w:t>5.1. Vue d'ensemble des tâches Celery</w:t>
      </w:r>
    </w:p>
    <w:p>
      <w:pPr>
        <w:spacing w:after="120" w:line="253" w:lineRule="exact"/>
        <w:jc w:val="both"/>
      </w:pPr>
      <w:r>
        <w:rPr>
          <w:rFonts w:ascii="Times New Roman" w:hAnsi="Times New Roman" w:cs="Times New Roman"/>
          <w:b w:val="0"/>
          <w:color w:val="000000"/>
          <w:sz w:val="22"/>
        </w:rPr>
        <w:t>Le pipeline suit un graphe de tâches précis. Une chaîne séquentielle de trois tâches initialise l'analyse. A l'issue de cette chaîne, un accord (chord) Celery lance en parallèle la génération de l'offre technique et le remplissage des documents administratifs. La signature et la compilation du ZIP n'interviennent que lorsque les deux branches parallèles sont terminées. Le matching de l'équipe s'exécute en parallèle de l'accord, sans bloquer le pipeline.</w:t>
      </w:r>
    </w:p>
    <w:p>
      <w:pPr>
        <w:spacing w:after="0"/>
        <w:ind w:left="400" w:right="400"/>
        <w:jc w:val="both"/>
        <w:pBdr>
          <w:left w:val="single" w:sz="12" w:space="4" w:color="1F3864"/>
        </w:pBdr>
      </w:pPr>
      <w:r>
        <w:rPr>
          <w:rFonts w:ascii="Courier New" w:hAnsi="Courier New"/>
          <w:color w:val="1F3864"/>
          <w:sz w:val="18"/>
          <w:shd w:val="clear" w:color="auto" w:fill="F2F2F2"/>
        </w:rPr>
        <w:t>chain(</w:t>
      </w:r>
    </w:p>
    <w:p>
      <w:pPr>
        <w:spacing w:after="0"/>
        <w:ind w:left="400" w:right="400"/>
        <w:jc w:val="both"/>
        <w:pBdr>
          <w:left w:val="single" w:sz="12" w:space="4" w:color="1F3864"/>
        </w:pBdr>
      </w:pPr>
      <w:r>
        <w:rPr>
          <w:rFonts w:ascii="Courier New" w:hAnsi="Courier New"/>
          <w:color w:val="1F3864"/>
          <w:sz w:val="18"/>
          <w:shd w:val="clear" w:color="auto" w:fill="F2F2F2"/>
        </w:rPr>
        <w:t xml:space="preserve">    task_classify_uploads(ao_id),</w:t>
      </w:r>
    </w:p>
    <w:p>
      <w:pPr>
        <w:spacing w:after="0"/>
        <w:ind w:left="400" w:right="400"/>
        <w:jc w:val="both"/>
        <w:pBdr>
          <w:left w:val="single" w:sz="12" w:space="4" w:color="1F3864"/>
        </w:pBdr>
      </w:pPr>
      <w:r>
        <w:rPr>
          <w:rFonts w:ascii="Courier New" w:hAnsi="Courier New"/>
          <w:color w:val="1F3864"/>
          <w:sz w:val="18"/>
          <w:shd w:val="clear" w:color="auto" w:fill="F2F2F2"/>
        </w:rPr>
        <w:t xml:space="preserve">    task_analyze_ao_context(ao_id),</w:t>
      </w:r>
    </w:p>
    <w:p>
      <w:pPr>
        <w:spacing w:after="0"/>
        <w:ind w:left="400" w:right="400"/>
        <w:jc w:val="both"/>
        <w:pBdr>
          <w:left w:val="single" w:sz="12" w:space="4" w:color="1F3864"/>
        </w:pBdr>
      </w:pPr>
      <w:r>
        <w:rPr>
          <w:rFonts w:ascii="Courier New" w:hAnsi="Courier New"/>
          <w:color w:val="1F3864"/>
          <w:sz w:val="18"/>
          <w:shd w:val="clear" w:color="auto" w:fill="F2F2F2"/>
        </w:rPr>
        <w:t xml:space="preserve">    task_build_pipeline(ao_id),</w:t>
      </w:r>
    </w:p>
    <w:p>
      <w:pPr>
        <w:spacing w:after="0"/>
        <w:ind w:left="400" w:right="400"/>
        <w:jc w:val="both"/>
        <w:pBdr>
          <w:left w:val="single" w:sz="12" w:space="4" w:color="1F3864"/>
        </w:pBdr>
      </w:pPr>
      <w:r>
        <w:rPr>
          <w:rFonts w:ascii="Courier New" w:hAnsi="Courier New"/>
          <w:color w:val="1F3864"/>
          <w:sz w:val="18"/>
          <w:shd w:val="clear" w:color="auto" w:fill="F2F2F2"/>
        </w:rPr>
        <w:t>)</w:t>
      </w:r>
    </w:p>
    <w:p>
      <w:pPr>
        <w:spacing w:after="0"/>
        <w:ind w:left="400" w:right="400"/>
        <w:jc w:val="both"/>
        <w:pBdr>
          <w:left w:val="single" w:sz="12" w:space="4" w:color="1F3864"/>
        </w:pBdr>
      </w:pPr>
      <w:r>
        <w:rPr>
          <w:rFonts w:ascii="Courier New" w:hAnsi="Courier New"/>
          <w:color w:val="1F3864"/>
          <w:sz w:val="18"/>
          <w:shd w:val="clear" w:color="auto" w:fill="F2F2F2"/>
        </w:rPr>
        <w:t>chord(</w:t>
      </w:r>
    </w:p>
    <w:p>
      <w:pPr>
        <w:spacing w:after="0"/>
        <w:ind w:left="400" w:right="400"/>
        <w:jc w:val="both"/>
        <w:pBdr>
          <w:left w:val="single" w:sz="12" w:space="4" w:color="1F3864"/>
        </w:pBdr>
      </w:pPr>
      <w:r>
        <w:rPr>
          <w:rFonts w:ascii="Courier New" w:hAnsi="Courier New"/>
          <w:color w:val="1F3864"/>
          <w:sz w:val="18"/>
          <w:shd w:val="clear" w:color="auto" w:fill="F2F2F2"/>
        </w:rPr>
        <w:t xml:space="preserve">    group(</w:t>
      </w:r>
    </w:p>
    <w:p>
      <w:pPr>
        <w:spacing w:after="0"/>
        <w:ind w:left="400" w:right="400"/>
        <w:jc w:val="both"/>
        <w:pBdr>
          <w:left w:val="single" w:sz="12" w:space="4" w:color="1F3864"/>
        </w:pBdr>
      </w:pPr>
      <w:r>
        <w:rPr>
          <w:rFonts w:ascii="Courier New" w:hAnsi="Courier New"/>
          <w:color w:val="1F3864"/>
          <w:sz w:val="18"/>
          <w:shd w:val="clear" w:color="auto" w:fill="F2F2F2"/>
        </w:rPr>
        <w:t xml:space="preserve">        task_generate_note_metho(ao_id),</w:t>
      </w:r>
    </w:p>
    <w:p>
      <w:pPr>
        <w:spacing w:after="0"/>
        <w:ind w:left="400" w:right="400"/>
        <w:jc w:val="both"/>
        <w:pBdr>
          <w:left w:val="single" w:sz="12" w:space="4" w:color="1F3864"/>
        </w:pBdr>
      </w:pPr>
      <w:r>
        <w:rPr>
          <w:rFonts w:ascii="Courier New" w:hAnsi="Courier New"/>
          <w:color w:val="1F3864"/>
          <w:sz w:val="18"/>
          <w:shd w:val="clear" w:color="auto" w:fill="F2F2F2"/>
        </w:rPr>
        <w:t xml:space="preserve">        task_fill_documents(ao_id),</w:t>
      </w:r>
    </w:p>
    <w:p>
      <w:pPr>
        <w:spacing w:after="0"/>
        <w:ind w:left="400" w:right="400"/>
        <w:jc w:val="both"/>
        <w:pBdr>
          <w:left w:val="single" w:sz="12" w:space="4" w:color="1F3864"/>
        </w:pBdr>
      </w:pPr>
      <w:r>
        <w:rPr>
          <w:rFonts w:ascii="Courier New" w:hAnsi="Courier New"/>
          <w:color w:val="1F3864"/>
          <w:sz w:val="18"/>
          <w:shd w:val="clear" w:color="auto" w:fill="F2F2F2"/>
        </w:rPr>
        <w:t xml:space="preserve">    ),</w:t>
      </w:r>
    </w:p>
    <w:p>
      <w:pPr>
        <w:spacing w:after="0"/>
        <w:ind w:left="400" w:right="400"/>
        <w:jc w:val="both"/>
        <w:pBdr>
          <w:left w:val="single" w:sz="12" w:space="4" w:color="1F3864"/>
        </w:pBdr>
      </w:pPr>
      <w:r>
        <w:rPr>
          <w:rFonts w:ascii="Courier New" w:hAnsi="Courier New"/>
          <w:color w:val="1F3864"/>
          <w:sz w:val="18"/>
          <w:shd w:val="clear" w:color="auto" w:fill="F2F2F2"/>
        </w:rPr>
        <w:t xml:space="preserve">    task_sign_and_compile(ao_id),</w:t>
      </w:r>
    </w:p>
    <w:p>
      <w:pPr>
        <w:spacing w:after="0"/>
        <w:ind w:left="400" w:right="400"/>
        <w:jc w:val="both"/>
        <w:pBdr>
          <w:left w:val="single" w:sz="12" w:space="4" w:color="1F3864"/>
        </w:pBdr>
      </w:pPr>
      <w:r>
        <w:rPr>
          <w:rFonts w:ascii="Courier New" w:hAnsi="Courier New"/>
          <w:color w:val="1F3864"/>
          <w:sz w:val="18"/>
          <w:shd w:val="clear" w:color="auto" w:fill="F2F2F2"/>
        </w:rPr>
        <w:t>)</w:t>
      </w:r>
    </w:p>
    <w:p>
      <w:pPr>
        <w:spacing w:after="0"/>
        <w:ind w:left="400" w:right="400"/>
        <w:jc w:val="both"/>
        <w:pBdr>
          <w:left w:val="single" w:sz="12" w:space="4" w:color="1F3864"/>
        </w:pBdr>
      </w:pPr>
      <w:r>
        <w:rPr>
          <w:rFonts w:ascii="Courier New" w:hAnsi="Courier New"/>
          <w:color w:val="1F3864"/>
          <w:sz w:val="18"/>
          <w:shd w:val="clear" w:color="auto" w:fill="F2F2F2"/>
        </w:rPr>
        <w:t>task_match_team(ao_id)  # parallele, queue celery_io</w:t>
      </w:r>
    </w:p>
    <w:p>
      <w:pPr>
        <w:spacing w:after="0"/>
        <w:ind w:left="400" w:right="400"/>
        <w:jc w:val="both"/>
        <w:pBdr>
          <w:left w:val="single" w:sz="12" w:space="4" w:color="1F3864"/>
        </w:pBdr>
      </w:pPr>
      <w:r>
        <w:rPr>
          <w:rFonts w:ascii="Courier New" w:hAnsi="Courier New"/>
          <w:color w:val="1F3864"/>
          <w:sz w:val="18"/>
          <w:shd w:val="clear" w:color="auto" w:fill="F2F2F2"/>
        </w:rPr>
        <w:t>task_index_results(ao_id)</w:t>
      </w:r>
    </w:p>
    <w:p/>
    <w:p>
      <w:pPr>
        <w:spacing w:after="120" w:line="253" w:lineRule="exact" w:before="200"/>
        <w:jc w:val="both"/>
      </w:pPr>
      <w:r>
        <w:rPr>
          <w:rFonts w:ascii="Times New Roman" w:hAnsi="Times New Roman" w:cs="Times New Roman"/>
          <w:b/>
          <w:color w:val="2C3E50"/>
          <w:sz w:val="24"/>
        </w:rPr>
        <w:t>5.2. Classification et analyse du dossier AO</w:t>
      </w:r>
    </w:p>
    <w:p>
      <w:pPr>
        <w:spacing w:after="120" w:line="253" w:lineRule="exact"/>
        <w:jc w:val="both"/>
      </w:pPr>
      <w:r>
        <w:rPr>
          <w:rFonts w:ascii="Times New Roman" w:hAnsi="Times New Roman" w:cs="Times New Roman"/>
          <w:b w:val="0"/>
          <w:color w:val="000000"/>
          <w:sz w:val="22"/>
        </w:rPr>
        <w:t>La première tâche, task_classify_uploads, détermine le type de chaque document uploadé (CPS ou RC) par analyse du nom de fichier et du contenu textuel extrait par PyMuPDF. La tâche suivante, task_analyze_ao_context, envoie le texte complet du CPS et du RC à Mistral Large. Le modèle retourne un objet JSON structuré contenant : le contexte de l'appel d'offres (acheteur, objet, lots, délai), la liste des profils requis avec diplôme et expérience minimum, la liste des documents à produire avec leur source (générer, remplir ou signer), et les critères de pondération de l'offre technique.</w:t>
      </w:r>
    </w:p>
    <w:p>
      <w:pPr>
        <w:spacing w:after="120" w:line="253" w:lineRule="exact"/>
        <w:jc w:val="both"/>
      </w:pPr>
      <w:r>
        <w:rPr>
          <w:rFonts w:ascii="Times New Roman" w:hAnsi="Times New Roman" w:cs="Times New Roman"/>
          <w:b w:val="0"/>
          <w:color w:val="000000"/>
          <w:sz w:val="22"/>
        </w:rPr>
        <w:t>La tâche task_build_pipeline lit cet objet JSON pour décider si la génération de l'offre technique est nécessaire et quels templates de documents doivent être remplis. Elle configure et lance l'accord Celery.</w:t>
      </w:r>
    </w:p>
    <w:p>
      <w:pPr>
        <w:spacing w:after="120" w:line="253" w:lineRule="exact" w:before="200"/>
        <w:jc w:val="both"/>
      </w:pPr>
      <w:r>
        <w:rPr>
          <w:rFonts w:ascii="Times New Roman" w:hAnsi="Times New Roman" w:cs="Times New Roman"/>
          <w:b/>
          <w:color w:val="2C3E50"/>
          <w:sz w:val="24"/>
        </w:rPr>
        <w:t>5.3. Génération de l'offre technique</w:t>
      </w:r>
    </w:p>
    <w:p>
      <w:pPr>
        <w:spacing w:after="120" w:line="253" w:lineRule="exact"/>
        <w:jc w:val="both"/>
      </w:pPr>
      <w:r>
        <w:rPr>
          <w:rFonts w:ascii="Times New Roman" w:hAnsi="Times New Roman" w:cs="Times New Roman"/>
          <w:b w:val="0"/>
          <w:color w:val="000000"/>
          <w:sz w:val="22"/>
        </w:rPr>
        <w:t>La tâche task_generate_note_metho est la plus longue du pipeline, avec une durée typique de deux à trois minutes. Elle délègue à un service dédié qui exécute plusieurs sous-étapes.</w:t>
      </w:r>
    </w:p>
    <w:p>
      <w:pPr>
        <w:spacing w:after="120" w:line="253" w:lineRule="exact"/>
        <w:jc w:val="both"/>
      </w:pPr>
      <w:r>
        <w:rPr>
          <w:rFonts w:ascii="Times New Roman" w:hAnsi="Times New Roman" w:cs="Times New Roman"/>
          <w:b w:val="0"/>
          <w:color w:val="000000"/>
          <w:sz w:val="22"/>
        </w:rPr>
        <w:t>Le service commence par analyser le CPS avec un extracteur spécialisé qui identifie le périmètre, les livrables, le vocabulaire propre au maître d'ouvrage et les contraintes de délai. Le RC est analysé séparément pour extraire les critères d'évaluation et les exigences de format. Un moteur de stratégie choisit ensuite l'angle de l'offre selon le type de mission.</w:t>
      </w:r>
    </w:p>
    <w:p>
      <w:pPr>
        <w:spacing w:after="120" w:line="253" w:lineRule="exact"/>
        <w:jc w:val="both"/>
      </w:pPr>
      <w:r>
        <w:rPr>
          <w:rFonts w:ascii="Times New Roman" w:hAnsi="Times New Roman" w:cs="Times New Roman"/>
          <w:b w:val="0"/>
          <w:color w:val="000000"/>
          <w:sz w:val="22"/>
        </w:rPr>
        <w:t>La génération des sections utilise six appels Mistral Large en parallèle, limités à deux appels simultanés pour respecter les limites de débit de l'API. Chaque appel reçoit un prompt système spécifique à sa section, le contexte extrait du CPS, le contexte RAG récupéré depuis Qdrant, et les informations sur l'équipe matchée. Un contrôle qualité évalue le résultat et peut déclencher une régénération de la section la plus faible, jusqu'à deux fois.</w:t>
      </w:r>
    </w:p>
    <w:p>
      <w:pPr>
        <w:spacing w:after="120" w:line="253" w:lineRule="exact"/>
        <w:jc w:val="both"/>
      </w:pPr>
      <w:r>
        <w:rPr>
          <w:rFonts w:ascii="Times New Roman" w:hAnsi="Times New Roman" w:cs="Times New Roman"/>
          <w:b w:val="0"/>
          <w:color w:val="000000"/>
          <w:sz w:val="22"/>
        </w:rPr>
        <w:t>Une fois les sections générées, l'assembleur DOCX construit le document final en dix sections : page de garde, sommaire, présentation du cabinet, compréhension du contexte, compréhension de la mission, approche méthodologique, équipe proposée, planning d'exécution avec diagramme Gantt, chronogramme d'affectation du personnel et annexes. Le document est ensuite converti en PDF par LibreOffice.</w:t>
      </w:r>
    </w:p>
    <w:p>
      <w:pPr>
        <w:spacing w:after="120" w:line="253" w:lineRule="exact" w:before="200"/>
        <w:jc w:val="both"/>
      </w:pPr>
      <w:r>
        <w:rPr>
          <w:rFonts w:ascii="Times New Roman" w:hAnsi="Times New Roman" w:cs="Times New Roman"/>
          <w:b/>
          <w:color w:val="2C3E50"/>
          <w:sz w:val="24"/>
        </w:rPr>
        <w:t>5.4. Remplissage des documents administratifs</w:t>
      </w:r>
    </w:p>
    <w:p>
      <w:pPr>
        <w:spacing w:after="120" w:line="253" w:lineRule="exact"/>
        <w:jc w:val="both"/>
      </w:pPr>
      <w:r>
        <w:rPr>
          <w:rFonts w:ascii="Times New Roman" w:hAnsi="Times New Roman" w:cs="Times New Roman"/>
          <w:b w:val="0"/>
          <w:color w:val="000000"/>
          <w:sz w:val="22"/>
        </w:rPr>
        <w:t>La tâche task_fill_documents parcourt la liste des documents à remplir identifiés lors de l'analyse. Pour chaque document (acte d'engagement, déclaration sur l'honneur, bordereau des prix), elle appelle le service filler.</w:t>
      </w:r>
    </w:p>
    <w:p>
      <w:pPr>
        <w:spacing w:after="120" w:line="253" w:lineRule="exact"/>
        <w:jc w:val="both"/>
      </w:pPr>
      <w:r>
        <w:rPr>
          <w:rFonts w:ascii="Times New Roman" w:hAnsi="Times New Roman" w:cs="Times New Roman"/>
          <w:b w:val="0"/>
          <w:color w:val="000000"/>
          <w:sz w:val="22"/>
        </w:rPr>
        <w:t>Le filler extrait le texte du PDF page par page, identifie les zones blanches et les champs à compléter, puis envoie ces éléments à Mistral Large avec les données de l'entreprise (company_info). Le modèle retourne un dictionnaire associant chaque identifiant de champ à sa valeur. Le filler reconstruit ensuite le PDF avec les valeurs injectées, en préservant la mise en page originale. Si le document est scanné (texte non extractible), Pixtral analyse les images page par page.</w:t>
      </w:r>
    </w:p>
    <w:p>
      <w:pPr>
        <w:spacing w:after="120" w:line="253" w:lineRule="exact" w:before="200"/>
        <w:jc w:val="both"/>
      </w:pPr>
      <w:r>
        <w:rPr>
          <w:rFonts w:ascii="Times New Roman" w:hAnsi="Times New Roman" w:cs="Times New Roman"/>
          <w:b/>
          <w:color w:val="2C3E50"/>
          <w:sz w:val="24"/>
        </w:rPr>
        <w:t>5.5. Matching de l'équipe</w:t>
      </w:r>
    </w:p>
    <w:p>
      <w:pPr>
        <w:spacing w:after="120" w:line="253" w:lineRule="exact"/>
        <w:jc w:val="both"/>
      </w:pPr>
      <w:r>
        <w:rPr>
          <w:rFonts w:ascii="Times New Roman" w:hAnsi="Times New Roman" w:cs="Times New Roman"/>
          <w:b w:val="0"/>
          <w:color w:val="000000"/>
          <w:sz w:val="22"/>
        </w:rPr>
        <w:t>La tâche task_match_team s'exécute en parallèle du reste du pipeline. Elle lit la liste des profils requis depuis l'objet analyse_json stocké en base et le pool de CVs actifs de l'organisation. Elle envoie les deux listes à Mistral Large qui retourne un tableau d'associations : chaque profil requis est associé au CV le plus adapté, avec un indicateur d'alerte si aucun CV ne correspond aux critères minimum. Les associations sont stockées dans la table ao_team_members.</w:t>
      </w:r>
    </w:p>
    <w:p>
      <w:pPr>
        <w:spacing w:after="120" w:line="253" w:lineRule="exact"/>
        <w:jc w:val="both"/>
      </w:pPr>
      <w:r>
        <w:rPr>
          <w:rFonts w:ascii="Times New Roman" w:hAnsi="Times New Roman" w:cs="Times New Roman"/>
          <w:b w:val="0"/>
          <w:color w:val="000000"/>
          <w:sz w:val="22"/>
        </w:rPr>
        <w:t>La génération de la note méthodologique attend jusqu'à 90 secondes la complétion du matching avant de construire la section 'Equipe proposée'. En pratique, le matching se termine en moins de 15 secondes, avant que les premières sections LLM de l'offre technique ne soient produites.</w:t>
      </w:r>
    </w:p>
    <w:p>
      <w:pPr>
        <w:spacing w:after="120" w:line="253" w:lineRule="exact" w:before="200"/>
        <w:jc w:val="both"/>
      </w:pPr>
      <w:r>
        <w:rPr>
          <w:rFonts w:ascii="Times New Roman" w:hAnsi="Times New Roman" w:cs="Times New Roman"/>
          <w:b/>
          <w:color w:val="2C3E50"/>
          <w:sz w:val="24"/>
        </w:rPr>
        <w:t>5.6. Signature et compilation</w:t>
      </w:r>
    </w:p>
    <w:p>
      <w:pPr>
        <w:spacing w:after="120" w:line="253" w:lineRule="exact"/>
        <w:jc w:val="both"/>
      </w:pPr>
      <w:r>
        <w:rPr>
          <w:rFonts w:ascii="Times New Roman" w:hAnsi="Times New Roman" w:cs="Times New Roman"/>
          <w:b w:val="0"/>
          <w:color w:val="000000"/>
          <w:sz w:val="22"/>
        </w:rPr>
        <w:t>La tâche task_sign_and_compile est déclenchée automatiquement par Celery lorsque les deux branches parallèles (offre technique et filler) sont terminées. Elle charge les images du paraphe, du cachet et du tampon 'Lu et accepté' depuis MinIO.</w:t>
      </w:r>
    </w:p>
    <w:p>
      <w:pPr>
        <w:spacing w:after="120" w:line="253" w:lineRule="exact"/>
        <w:jc w:val="both"/>
      </w:pPr>
      <w:r>
        <w:rPr>
          <w:rFonts w:ascii="Times New Roman" w:hAnsi="Times New Roman" w:cs="Times New Roman"/>
          <w:b w:val="0"/>
          <w:color w:val="000000"/>
          <w:sz w:val="22"/>
        </w:rPr>
        <w:t>Pour chaque document PDF, le service de signature applique un traitement différencié selon la nature du document. Les documents source CPS et RC reçoivent le paraphe du gérant sur chaque page et le tampon 'Lu et accepté' sur la dernière page. Les documents administratifs (acte d'engagement, déclaration sur l'honneur) et l'offre technique reçoivent uniquement le cachet de l'entreprise dans la zone de signature détectée automatiquement (zone 'Fait à' ou zone de mots-clés sur la dernière page). Le texte 'Fait à [ville], le [date]' est injecté dans les documents qui le prévoient.</w:t>
      </w:r>
    </w:p>
    <w:p>
      <w:pPr>
        <w:spacing w:after="120" w:line="253" w:lineRule="exact"/>
        <w:jc w:val="both"/>
      </w:pPr>
      <w:r>
        <w:rPr>
          <w:rFonts w:ascii="Times New Roman" w:hAnsi="Times New Roman" w:cs="Times New Roman"/>
          <w:b w:val="0"/>
          <w:color w:val="000000"/>
          <w:sz w:val="22"/>
        </w:rPr>
        <w:t>Chaque PDF signé est uploadé en MinIO sous un chemin dédié et le minio_key du document en base de données est mis à jour pour pointer vers la version signée. Les boutons de téléchargement de l'interface servent donc directement la version signée. Un fichier ZIP est créé avec tous les documents organisés en dossiers (source, financier, administratif, technique) et uploadé en MinIO. Le statut du pipeline passe à 100 % et l'AO passe en statut 'terminé'.</w:t>
      </w:r>
    </w:p>
    <w:p>
      <w:r>
        <w:br w:type="page"/>
      </w:r>
    </w:p>
    <w:p>
      <w:pPr>
        <w:spacing w:after="160" w:line="253" w:lineRule="exact" w:before="280"/>
        <w:jc w:val="both"/>
      </w:pPr>
      <w:r>
        <w:rPr>
          <w:rFonts w:ascii="Times New Roman" w:hAnsi="Times New Roman" w:cs="Times New Roman"/>
          <w:b/>
          <w:color w:val="1F3864"/>
          <w:sz w:val="26"/>
        </w:rPr>
        <w:t>6. Base de connaissances RAG</w:t>
      </w:r>
    </w:p>
    <w:p>
      <w:pPr>
        <w:spacing w:after="120" w:line="253" w:lineRule="exact"/>
        <w:jc w:val="both"/>
      </w:pPr>
      <w:r>
        <w:rPr>
          <w:rFonts w:ascii="Times New Roman" w:hAnsi="Times New Roman" w:cs="Times New Roman"/>
          <w:b w:val="0"/>
          <w:color w:val="000000"/>
          <w:sz w:val="22"/>
        </w:rPr>
        <w:t>ADJUJA maintient une base vectorielle par organisation dans Qdrant. La collection est nommée selon le schéma offria_kb_{org_id}. Chaque document indexé est découpé en chunks de 500 tokens avec un chevauchement de 50 tokens. Les embeddings sont calculés par le modèle Mistral Embed.</w:t>
      </w:r>
    </w:p>
    <w:p>
      <w:pPr>
        <w:spacing w:after="120" w:line="253" w:lineRule="exact"/>
        <w:jc w:val="both"/>
      </w:pPr>
      <w:r>
        <w:rPr>
          <w:rFonts w:ascii="Times New Roman" w:hAnsi="Times New Roman" w:cs="Times New Roman"/>
          <w:b w:val="0"/>
          <w:color w:val="000000"/>
          <w:sz w:val="22"/>
        </w:rPr>
        <w:t>Trois types de documents alimentent la base. Les CVs des experts sont indexés automatiquement lors de leur upload depuis le tableau de bord. Les documents permanents de l'entreprise (attestations de référence, note sur les moyens) sont indexés à leur upload. Les analyses d'AOs terminés (objet, contexte, approche) sont indexées par la tâche task_index_results à la fin de chaque pipeline réussi.</w:t>
      </w:r>
    </w:p>
    <w:p>
      <w:pPr>
        <w:spacing w:after="120" w:line="253" w:lineRule="exact"/>
        <w:jc w:val="both"/>
      </w:pPr>
      <w:r>
        <w:rPr>
          <w:rFonts w:ascii="Times New Roman" w:hAnsi="Times New Roman" w:cs="Times New Roman"/>
          <w:b w:val="0"/>
          <w:color w:val="000000"/>
          <w:sz w:val="22"/>
        </w:rPr>
        <w:t>Lors de la génération de l'offre technique, le service RAG est interrogé pour chacune des six sections avec une requête construite à partir du titre de la section et du périmètre de l'AO. Le contexte retourné est injecté dans le prompt de génération. Le chatbot utilise le même service RAG pour contextualiser ses réponses avec les documents de l'organisation.</w:t>
      </w:r>
    </w:p>
    <w:p>
      <w:pPr>
        <w:spacing w:after="160" w:line="253" w:lineRule="exact" w:before="280"/>
        <w:jc w:val="both"/>
      </w:pPr>
      <w:r>
        <w:rPr>
          <w:rFonts w:ascii="Times New Roman" w:hAnsi="Times New Roman" w:cs="Times New Roman"/>
          <w:b/>
          <w:color w:val="1F3864"/>
          <w:sz w:val="26"/>
        </w:rPr>
        <w:t>7. Système de signature des documents</w:t>
      </w:r>
    </w:p>
    <w:p>
      <w:pPr>
        <w:spacing w:after="120" w:line="253" w:lineRule="exact"/>
        <w:jc w:val="both"/>
      </w:pPr>
      <w:r>
        <w:rPr>
          <w:rFonts w:ascii="Times New Roman" w:hAnsi="Times New Roman" w:cs="Times New Roman"/>
          <w:b w:val="0"/>
          <w:color w:val="000000"/>
          <w:sz w:val="22"/>
        </w:rPr>
        <w:t>Le service de signature utilise PyMuPDF pour modifier les PDFs en mémoire sans passer par un outil externe. Pour chaque page, une série de détections est exécutée. La détection de la zone 'Fait à' cherche le patron textuel dans les spans de la page. La détection de zone de signature cherche des mots-clés comme 'signature du soumissionnaire' ou 'cachet du concurrent' sur la dernière page uniquement.</w:t>
      </w:r>
    </w:p>
    <w:tbl>
      <w:tblPr>
        <w:tblW w:type="auto" w:w="0"/>
        <w:jc w:val="center"/>
        <w:tblLook w:firstColumn="1" w:firstRow="1" w:lastColumn="0" w:lastRow="0" w:noHBand="0" w:noVBand="1" w:val="04A0"/>
      </w:tblPr>
      <w:tblGrid>
        <w:gridCol w:w="2128"/>
        <w:gridCol w:w="2128"/>
        <w:gridCol w:w="2128"/>
        <w:gridCol w:w="2128"/>
      </w:tblGrid>
      <w:tr>
        <w:tc>
          <w:tcPr>
            <w:tcW w:type="dxa" w:w="2128"/>
            <w:shd w:val="clear" w:color="auto" w:fill="1F3864"/>
          </w:tcPr>
          <w:p>
            <w:pPr>
              <w:jc w:val="both"/>
            </w:pPr>
            <w:r>
              <w:rPr>
                <w:rFonts w:ascii="Times New Roman" w:hAnsi="Times New Roman" w:cs="Times New Roman"/>
                <w:b/>
                <w:color w:val="FFFFFF"/>
                <w:sz w:val="20"/>
              </w:rPr>
              <w:t>Document</w:t>
            </w:r>
          </w:p>
        </w:tc>
        <w:tc>
          <w:tcPr>
            <w:tcW w:type="dxa" w:w="2128"/>
            <w:shd w:val="clear" w:color="auto" w:fill="1F3864"/>
          </w:tcPr>
          <w:p>
            <w:pPr>
              <w:jc w:val="both"/>
            </w:pPr>
            <w:r>
              <w:rPr>
                <w:rFonts w:ascii="Times New Roman" w:hAnsi="Times New Roman" w:cs="Times New Roman"/>
                <w:b/>
                <w:color w:val="FFFFFF"/>
                <w:sz w:val="20"/>
              </w:rPr>
              <w:t>Paraphe (chaque page)</w:t>
            </w:r>
          </w:p>
        </w:tc>
        <w:tc>
          <w:tcPr>
            <w:tcW w:type="dxa" w:w="2128"/>
            <w:shd w:val="clear" w:color="auto" w:fill="1F3864"/>
          </w:tcPr>
          <w:p>
            <w:pPr>
              <w:jc w:val="both"/>
            </w:pPr>
            <w:r>
              <w:rPr>
                <w:rFonts w:ascii="Times New Roman" w:hAnsi="Times New Roman" w:cs="Times New Roman"/>
                <w:b/>
                <w:color w:val="FFFFFF"/>
                <w:sz w:val="20"/>
              </w:rPr>
              <w:t>Zone de signature (dernière page)</w:t>
            </w:r>
          </w:p>
        </w:tc>
        <w:tc>
          <w:tcPr>
            <w:tcW w:type="dxa" w:w="2128"/>
            <w:shd w:val="clear" w:color="auto" w:fill="1F3864"/>
          </w:tcPr>
          <w:p>
            <w:pPr>
              <w:jc w:val="both"/>
            </w:pPr>
            <w:r>
              <w:rPr>
                <w:rFonts w:ascii="Times New Roman" w:hAnsi="Times New Roman" w:cs="Times New Roman"/>
                <w:b/>
                <w:color w:val="FFFFFF"/>
                <w:sz w:val="20"/>
              </w:rPr>
              <w:t>Lu et accepté</w:t>
            </w:r>
          </w:p>
        </w:tc>
      </w:tr>
      <w:tr>
        <w:tc>
          <w:tcPr>
            <w:tcW w:type="dxa" w:w="2128"/>
            <w:shd w:val="clear" w:color="auto" w:fill="F2F2F2"/>
          </w:tcPr>
          <w:p>
            <w:pPr>
              <w:jc w:val="both"/>
            </w:pPr>
            <w:r>
              <w:rPr>
                <w:rFonts w:ascii="Times New Roman" w:hAnsi="Times New Roman" w:cs="Times New Roman"/>
                <w:color w:val="000000"/>
                <w:sz w:val="20"/>
              </w:rPr>
              <w:t>CPS</w:t>
            </w:r>
          </w:p>
        </w:tc>
        <w:tc>
          <w:tcPr>
            <w:tcW w:type="dxa" w:w="2128"/>
            <w:shd w:val="clear" w:color="auto" w:fill="F2F2F2"/>
          </w:tcPr>
          <w:p>
            <w:pPr>
              <w:jc w:val="both"/>
            </w:pPr>
            <w:r>
              <w:rPr>
                <w:rFonts w:ascii="Times New Roman" w:hAnsi="Times New Roman" w:cs="Times New Roman"/>
                <w:color w:val="000000"/>
                <w:sz w:val="20"/>
              </w:rPr>
              <w:t>Oui (image paraphe du gérant)</w:t>
            </w:r>
          </w:p>
        </w:tc>
        <w:tc>
          <w:tcPr>
            <w:tcW w:type="dxa" w:w="2128"/>
            <w:shd w:val="clear" w:color="auto" w:fill="F2F2F2"/>
          </w:tcPr>
          <w:p>
            <w:pPr>
              <w:jc w:val="both"/>
            </w:pPr>
            <w:r>
              <w:rPr>
                <w:rFonts w:ascii="Times New Roman" w:hAnsi="Times New Roman" w:cs="Times New Roman"/>
                <w:color w:val="000000"/>
                <w:sz w:val="20"/>
              </w:rPr>
              <w:t>Lu et accepté</w:t>
            </w:r>
          </w:p>
        </w:tc>
        <w:tc>
          <w:tcPr>
            <w:tcW w:type="dxa" w:w="2128"/>
            <w:shd w:val="clear" w:color="auto" w:fill="F2F2F2"/>
          </w:tcPr>
          <w:p>
            <w:pPr>
              <w:jc w:val="both"/>
            </w:pPr>
            <w:r>
              <w:rPr>
                <w:rFonts w:ascii="Times New Roman" w:hAnsi="Times New Roman" w:cs="Times New Roman"/>
                <w:color w:val="000000"/>
                <w:sz w:val="20"/>
              </w:rPr>
              <w:t>Oui (dernière page)</w:t>
            </w:r>
          </w:p>
        </w:tc>
      </w:tr>
      <w:tr>
        <w:tc>
          <w:tcPr>
            <w:tcW w:type="dxa" w:w="2128"/>
            <w:shd w:val="clear" w:color="auto" w:fill="FFFFFF"/>
          </w:tcPr>
          <w:p>
            <w:pPr>
              <w:jc w:val="both"/>
            </w:pPr>
            <w:r>
              <w:rPr>
                <w:rFonts w:ascii="Times New Roman" w:hAnsi="Times New Roman" w:cs="Times New Roman"/>
                <w:color w:val="000000"/>
                <w:sz w:val="20"/>
              </w:rPr>
              <w:t>RC</w:t>
            </w:r>
          </w:p>
        </w:tc>
        <w:tc>
          <w:tcPr>
            <w:tcW w:type="dxa" w:w="2128"/>
            <w:shd w:val="clear" w:color="auto" w:fill="FFFFFF"/>
          </w:tcPr>
          <w:p>
            <w:pPr>
              <w:jc w:val="both"/>
            </w:pPr>
            <w:r>
              <w:rPr>
                <w:rFonts w:ascii="Times New Roman" w:hAnsi="Times New Roman" w:cs="Times New Roman"/>
                <w:color w:val="000000"/>
                <w:sz w:val="20"/>
              </w:rPr>
              <w:t>Oui (image paraphe du gérant)</w:t>
            </w:r>
          </w:p>
        </w:tc>
        <w:tc>
          <w:tcPr>
            <w:tcW w:type="dxa" w:w="2128"/>
            <w:shd w:val="clear" w:color="auto" w:fill="FFFFFF"/>
          </w:tcPr>
          <w:p>
            <w:pPr>
              <w:jc w:val="both"/>
            </w:pPr>
            <w:r>
              <w:rPr>
                <w:rFonts w:ascii="Times New Roman" w:hAnsi="Times New Roman" w:cs="Times New Roman"/>
                <w:color w:val="000000"/>
                <w:sz w:val="20"/>
              </w:rPr>
              <w:t>Lu et accepté</w:t>
            </w:r>
          </w:p>
        </w:tc>
        <w:tc>
          <w:tcPr>
            <w:tcW w:type="dxa" w:w="2128"/>
            <w:shd w:val="clear" w:color="auto" w:fill="FFFFFF"/>
          </w:tcPr>
          <w:p>
            <w:pPr>
              <w:jc w:val="both"/>
            </w:pPr>
            <w:r>
              <w:rPr>
                <w:rFonts w:ascii="Times New Roman" w:hAnsi="Times New Roman" w:cs="Times New Roman"/>
                <w:color w:val="000000"/>
                <w:sz w:val="20"/>
              </w:rPr>
              <w:t>Oui (dernière page)</w:t>
            </w:r>
          </w:p>
        </w:tc>
      </w:tr>
      <w:tr>
        <w:tc>
          <w:tcPr>
            <w:tcW w:type="dxa" w:w="2128"/>
            <w:shd w:val="clear" w:color="auto" w:fill="F2F2F2"/>
          </w:tcPr>
          <w:p>
            <w:pPr>
              <w:jc w:val="both"/>
            </w:pPr>
            <w:r>
              <w:rPr>
                <w:rFonts w:ascii="Times New Roman" w:hAnsi="Times New Roman" w:cs="Times New Roman"/>
                <w:color w:val="000000"/>
                <w:sz w:val="20"/>
              </w:rPr>
              <w:t>Acte d'engagement</w:t>
            </w:r>
          </w:p>
        </w:tc>
        <w:tc>
          <w:tcPr>
            <w:tcW w:type="dxa" w:w="2128"/>
            <w:shd w:val="clear" w:color="auto" w:fill="F2F2F2"/>
          </w:tcPr>
          <w:p>
            <w:pPr>
              <w:jc w:val="both"/>
            </w:pPr>
            <w:r>
              <w:rPr>
                <w:rFonts w:ascii="Times New Roman" w:hAnsi="Times New Roman" w:cs="Times New Roman"/>
                <w:color w:val="000000"/>
                <w:sz w:val="20"/>
              </w:rPr>
              <w:t>Non</w:t>
            </w:r>
          </w:p>
        </w:tc>
        <w:tc>
          <w:tcPr>
            <w:tcW w:type="dxa" w:w="2128"/>
            <w:shd w:val="clear" w:color="auto" w:fill="F2F2F2"/>
          </w:tcPr>
          <w:p>
            <w:pPr>
              <w:jc w:val="both"/>
            </w:pPr>
            <w:r>
              <w:rPr>
                <w:rFonts w:ascii="Times New Roman" w:hAnsi="Times New Roman" w:cs="Times New Roman"/>
                <w:color w:val="000000"/>
                <w:sz w:val="20"/>
              </w:rPr>
              <w:t>Cachet de l'entreprise uniquement</w:t>
            </w:r>
          </w:p>
        </w:tc>
        <w:tc>
          <w:tcPr>
            <w:tcW w:type="dxa" w:w="2128"/>
            <w:shd w:val="clear" w:color="auto" w:fill="F2F2F2"/>
          </w:tcPr>
          <w:p>
            <w:pPr>
              <w:jc w:val="both"/>
            </w:pPr>
            <w:r>
              <w:rPr>
                <w:rFonts w:ascii="Times New Roman" w:hAnsi="Times New Roman" w:cs="Times New Roman"/>
                <w:color w:val="000000"/>
                <w:sz w:val="20"/>
              </w:rPr>
              <w:t>Non</w:t>
            </w:r>
          </w:p>
        </w:tc>
      </w:tr>
      <w:tr>
        <w:tc>
          <w:tcPr>
            <w:tcW w:type="dxa" w:w="2128"/>
            <w:shd w:val="clear" w:color="auto" w:fill="FFFFFF"/>
          </w:tcPr>
          <w:p>
            <w:pPr>
              <w:jc w:val="both"/>
            </w:pPr>
            <w:r>
              <w:rPr>
                <w:rFonts w:ascii="Times New Roman" w:hAnsi="Times New Roman" w:cs="Times New Roman"/>
                <w:color w:val="000000"/>
                <w:sz w:val="20"/>
              </w:rPr>
              <w:t>Déclaration honneur</w:t>
            </w:r>
          </w:p>
        </w:tc>
        <w:tc>
          <w:tcPr>
            <w:tcW w:type="dxa" w:w="2128"/>
            <w:shd w:val="clear" w:color="auto" w:fill="FFFFFF"/>
          </w:tcPr>
          <w:p>
            <w:pPr>
              <w:jc w:val="both"/>
            </w:pPr>
            <w:r>
              <w:rPr>
                <w:rFonts w:ascii="Times New Roman" w:hAnsi="Times New Roman" w:cs="Times New Roman"/>
                <w:color w:val="000000"/>
                <w:sz w:val="20"/>
              </w:rPr>
              <w:t>Non</w:t>
            </w:r>
          </w:p>
        </w:tc>
        <w:tc>
          <w:tcPr>
            <w:tcW w:type="dxa" w:w="2128"/>
            <w:shd w:val="clear" w:color="auto" w:fill="FFFFFF"/>
          </w:tcPr>
          <w:p>
            <w:pPr>
              <w:jc w:val="both"/>
            </w:pPr>
            <w:r>
              <w:rPr>
                <w:rFonts w:ascii="Times New Roman" w:hAnsi="Times New Roman" w:cs="Times New Roman"/>
                <w:color w:val="000000"/>
                <w:sz w:val="20"/>
              </w:rPr>
              <w:t>Cachet de l'entreprise uniquement</w:t>
            </w:r>
          </w:p>
        </w:tc>
        <w:tc>
          <w:tcPr>
            <w:tcW w:type="dxa" w:w="2128"/>
            <w:shd w:val="clear" w:color="auto" w:fill="FFFFFF"/>
          </w:tcPr>
          <w:p>
            <w:pPr>
              <w:jc w:val="both"/>
            </w:pPr>
            <w:r>
              <w:rPr>
                <w:rFonts w:ascii="Times New Roman" w:hAnsi="Times New Roman" w:cs="Times New Roman"/>
                <w:color w:val="000000"/>
                <w:sz w:val="20"/>
              </w:rPr>
              <w:t>Non</w:t>
            </w:r>
          </w:p>
        </w:tc>
      </w:tr>
      <w:tr>
        <w:tc>
          <w:tcPr>
            <w:tcW w:type="dxa" w:w="2128"/>
            <w:shd w:val="clear" w:color="auto" w:fill="F2F2F2"/>
          </w:tcPr>
          <w:p>
            <w:pPr>
              <w:jc w:val="both"/>
            </w:pPr>
            <w:r>
              <w:rPr>
                <w:rFonts w:ascii="Times New Roman" w:hAnsi="Times New Roman" w:cs="Times New Roman"/>
                <w:color w:val="000000"/>
                <w:sz w:val="20"/>
              </w:rPr>
              <w:t>Note méthodologique</w:t>
            </w:r>
          </w:p>
        </w:tc>
        <w:tc>
          <w:tcPr>
            <w:tcW w:type="dxa" w:w="2128"/>
            <w:shd w:val="clear" w:color="auto" w:fill="F2F2F2"/>
          </w:tcPr>
          <w:p>
            <w:pPr>
              <w:jc w:val="both"/>
            </w:pPr>
            <w:r>
              <w:rPr>
                <w:rFonts w:ascii="Times New Roman" w:hAnsi="Times New Roman" w:cs="Times New Roman"/>
                <w:color w:val="000000"/>
                <w:sz w:val="20"/>
              </w:rPr>
              <w:t>Non</w:t>
            </w:r>
          </w:p>
        </w:tc>
        <w:tc>
          <w:tcPr>
            <w:tcW w:type="dxa" w:w="2128"/>
            <w:shd w:val="clear" w:color="auto" w:fill="F2F2F2"/>
          </w:tcPr>
          <w:p>
            <w:pPr>
              <w:jc w:val="both"/>
            </w:pPr>
            <w:r>
              <w:rPr>
                <w:rFonts w:ascii="Times New Roman" w:hAnsi="Times New Roman" w:cs="Times New Roman"/>
                <w:color w:val="000000"/>
                <w:sz w:val="20"/>
              </w:rPr>
              <w:t>Cachet de l'entreprise uniquement</w:t>
            </w:r>
          </w:p>
        </w:tc>
        <w:tc>
          <w:tcPr>
            <w:tcW w:type="dxa" w:w="2128"/>
            <w:shd w:val="clear" w:color="auto" w:fill="F2F2F2"/>
          </w:tcPr>
          <w:p>
            <w:pPr>
              <w:jc w:val="both"/>
            </w:pPr>
            <w:r>
              <w:rPr>
                <w:rFonts w:ascii="Times New Roman" w:hAnsi="Times New Roman" w:cs="Times New Roman"/>
                <w:color w:val="000000"/>
                <w:sz w:val="20"/>
              </w:rPr>
              <w:t>Non</w:t>
            </w:r>
          </w:p>
        </w:tc>
      </w:tr>
    </w:tbl>
    <w:p/>
    <w:p>
      <w:pPr>
        <w:spacing w:after="80" w:line="253" w:lineRule="exact"/>
        <w:jc w:val="both"/>
      </w:pPr>
      <w:r>
        <w:rPr>
          <w:rFonts w:ascii="Times New Roman" w:hAnsi="Times New Roman" w:cs="Times New Roman"/>
          <w:i/>
          <w:color w:val="555555"/>
          <w:sz w:val="20"/>
        </w:rPr>
        <w:t>Le cachet de l'entreprise contient visuellement la signature du gérant. Il n'est donc pas nécessaire d'apposer l'image paraphe séparément sur les documents administratifs.</w:t>
      </w:r>
    </w:p>
    <w:p>
      <w:pPr>
        <w:spacing w:after="160" w:line="253" w:lineRule="exact" w:before="280"/>
        <w:jc w:val="both"/>
      </w:pPr>
      <w:r>
        <w:rPr>
          <w:rFonts w:ascii="Times New Roman" w:hAnsi="Times New Roman" w:cs="Times New Roman"/>
          <w:b/>
          <w:color w:val="1F3864"/>
          <w:sz w:val="26"/>
        </w:rPr>
        <w:t>8. Modèles de données</w:t>
      </w:r>
    </w:p>
    <w:p>
      <w:pPr>
        <w:spacing w:after="120" w:line="253" w:lineRule="exact"/>
        <w:jc w:val="both"/>
      </w:pPr>
      <w:r>
        <w:rPr>
          <w:rFonts w:ascii="Times New Roman" w:hAnsi="Times New Roman" w:cs="Times New Roman"/>
          <w:b w:val="0"/>
          <w:color w:val="000000"/>
          <w:sz w:val="22"/>
        </w:rPr>
        <w:t>Les principales tables de la base de données sont les suivantes.</w:t>
      </w:r>
    </w:p>
    <w:tbl>
      <w:tblPr>
        <w:tblW w:type="auto" w:w="0"/>
        <w:jc w:val="center"/>
        <w:tblLook w:firstColumn="1" w:firstRow="1" w:lastColumn="0" w:lastRow="0" w:noHBand="0" w:noVBand="1" w:val="04A0"/>
      </w:tblPr>
      <w:tblGrid>
        <w:gridCol w:w="4255"/>
        <w:gridCol w:w="4255"/>
      </w:tblGrid>
      <w:tr>
        <w:tc>
          <w:tcPr>
            <w:tcW w:type="dxa" w:w="4255"/>
            <w:shd w:val="clear" w:color="auto" w:fill="1F3864"/>
          </w:tcPr>
          <w:p>
            <w:pPr>
              <w:jc w:val="both"/>
            </w:pPr>
            <w:r>
              <w:rPr>
                <w:rFonts w:ascii="Times New Roman" w:hAnsi="Times New Roman" w:cs="Times New Roman"/>
                <w:b/>
                <w:color w:val="FFFFFF"/>
                <w:sz w:val="20"/>
              </w:rPr>
              <w:t>Table</w:t>
            </w:r>
          </w:p>
        </w:tc>
        <w:tc>
          <w:tcPr>
            <w:tcW w:type="dxa" w:w="4255"/>
            <w:shd w:val="clear" w:color="auto" w:fill="1F3864"/>
          </w:tcPr>
          <w:p>
            <w:pPr>
              <w:jc w:val="both"/>
            </w:pPr>
            <w:r>
              <w:rPr>
                <w:rFonts w:ascii="Times New Roman" w:hAnsi="Times New Roman" w:cs="Times New Roman"/>
                <w:b/>
                <w:color w:val="FFFFFF"/>
                <w:sz w:val="20"/>
              </w:rPr>
              <w:t>Description</w:t>
            </w:r>
          </w:p>
        </w:tc>
      </w:tr>
      <w:tr>
        <w:tc>
          <w:tcPr>
            <w:tcW w:type="dxa" w:w="4255"/>
            <w:shd w:val="clear" w:color="auto" w:fill="F2F2F2"/>
          </w:tcPr>
          <w:p>
            <w:pPr>
              <w:jc w:val="both"/>
            </w:pPr>
            <w:r>
              <w:rPr>
                <w:rFonts w:ascii="Times New Roman" w:hAnsi="Times New Roman" w:cs="Times New Roman"/>
                <w:color w:val="000000"/>
                <w:sz w:val="20"/>
              </w:rPr>
              <w:t>organisations</w:t>
            </w:r>
          </w:p>
        </w:tc>
        <w:tc>
          <w:tcPr>
            <w:tcW w:type="dxa" w:w="4255"/>
            <w:shd w:val="clear" w:color="auto" w:fill="F2F2F2"/>
          </w:tcPr>
          <w:p>
            <w:pPr>
              <w:jc w:val="both"/>
            </w:pPr>
            <w:r>
              <w:rPr>
                <w:rFonts w:ascii="Times New Roman" w:hAnsi="Times New Roman" w:cs="Times New Roman"/>
                <w:color w:val="000000"/>
                <w:sz w:val="20"/>
              </w:rPr>
              <w:t>Entités clientes, une par société</w:t>
            </w:r>
          </w:p>
        </w:tc>
      </w:tr>
      <w:tr>
        <w:tc>
          <w:tcPr>
            <w:tcW w:type="dxa" w:w="4255"/>
            <w:shd w:val="clear" w:color="auto" w:fill="FFFFFF"/>
          </w:tcPr>
          <w:p>
            <w:pPr>
              <w:jc w:val="both"/>
            </w:pPr>
            <w:r>
              <w:rPr>
                <w:rFonts w:ascii="Times New Roman" w:hAnsi="Times New Roman" w:cs="Times New Roman"/>
                <w:color w:val="000000"/>
                <w:sz w:val="20"/>
              </w:rPr>
              <w:t>users</w:t>
            </w:r>
          </w:p>
        </w:tc>
        <w:tc>
          <w:tcPr>
            <w:tcW w:type="dxa" w:w="4255"/>
            <w:shd w:val="clear" w:color="auto" w:fill="FFFFFF"/>
          </w:tcPr>
          <w:p>
            <w:pPr>
              <w:jc w:val="both"/>
            </w:pPr>
            <w:r>
              <w:rPr>
                <w:rFonts w:ascii="Times New Roman" w:hAnsi="Times New Roman" w:cs="Times New Roman"/>
                <w:color w:val="000000"/>
                <w:sz w:val="20"/>
              </w:rPr>
              <w:t>Utilisateurs rattachés à une organisation</w:t>
            </w:r>
          </w:p>
        </w:tc>
      </w:tr>
      <w:tr>
        <w:tc>
          <w:tcPr>
            <w:tcW w:type="dxa" w:w="4255"/>
            <w:shd w:val="clear" w:color="auto" w:fill="F2F2F2"/>
          </w:tcPr>
          <w:p>
            <w:pPr>
              <w:jc w:val="both"/>
            </w:pPr>
            <w:r>
              <w:rPr>
                <w:rFonts w:ascii="Times New Roman" w:hAnsi="Times New Roman" w:cs="Times New Roman"/>
                <w:color w:val="000000"/>
                <w:sz w:val="20"/>
              </w:rPr>
              <w:t>company_profiles</w:t>
            </w:r>
          </w:p>
        </w:tc>
        <w:tc>
          <w:tcPr>
            <w:tcW w:type="dxa" w:w="4255"/>
            <w:shd w:val="clear" w:color="auto" w:fill="F2F2F2"/>
          </w:tcPr>
          <w:p>
            <w:pPr>
              <w:jc w:val="both"/>
            </w:pPr>
            <w:r>
              <w:rPr>
                <w:rFonts w:ascii="Times New Roman" w:hAnsi="Times New Roman" w:cs="Times New Roman"/>
                <w:color w:val="000000"/>
                <w:sz w:val="20"/>
              </w:rPr>
              <w:t>Profil complet de l'entreprise : données légales, financières, clés MinIO des images et templates</w:t>
            </w:r>
          </w:p>
        </w:tc>
      </w:tr>
      <w:tr>
        <w:tc>
          <w:tcPr>
            <w:tcW w:type="dxa" w:w="4255"/>
            <w:shd w:val="clear" w:color="auto" w:fill="FFFFFF"/>
          </w:tcPr>
          <w:p>
            <w:pPr>
              <w:jc w:val="both"/>
            </w:pPr>
            <w:r>
              <w:rPr>
                <w:rFonts w:ascii="Times New Roman" w:hAnsi="Times New Roman" w:cs="Times New Roman"/>
                <w:color w:val="000000"/>
                <w:sz w:val="20"/>
              </w:rPr>
              <w:t>company_documents</w:t>
            </w:r>
          </w:p>
        </w:tc>
        <w:tc>
          <w:tcPr>
            <w:tcW w:type="dxa" w:w="4255"/>
            <w:shd w:val="clear" w:color="auto" w:fill="FFFFFF"/>
          </w:tcPr>
          <w:p>
            <w:pPr>
              <w:jc w:val="both"/>
            </w:pPr>
            <w:r>
              <w:rPr>
                <w:rFonts w:ascii="Times New Roman" w:hAnsi="Times New Roman" w:cs="Times New Roman"/>
                <w:color w:val="000000"/>
                <w:sz w:val="20"/>
              </w:rPr>
              <w:t>Documents permanents (attestations, PV) avec clé MinIO et type</w:t>
            </w:r>
          </w:p>
        </w:tc>
      </w:tr>
      <w:tr>
        <w:tc>
          <w:tcPr>
            <w:tcW w:type="dxa" w:w="4255"/>
            <w:shd w:val="clear" w:color="auto" w:fill="F2F2F2"/>
          </w:tcPr>
          <w:p>
            <w:pPr>
              <w:jc w:val="both"/>
            </w:pPr>
            <w:r>
              <w:rPr>
                <w:rFonts w:ascii="Times New Roman" w:hAnsi="Times New Roman" w:cs="Times New Roman"/>
                <w:color w:val="000000"/>
                <w:sz w:val="20"/>
              </w:rPr>
              <w:t>staff_cvs</w:t>
            </w:r>
          </w:p>
        </w:tc>
        <w:tc>
          <w:tcPr>
            <w:tcW w:type="dxa" w:w="4255"/>
            <w:shd w:val="clear" w:color="auto" w:fill="F2F2F2"/>
          </w:tcPr>
          <w:p>
            <w:pPr>
              <w:jc w:val="both"/>
            </w:pPr>
            <w:r>
              <w:rPr>
                <w:rFonts w:ascii="Times New Roman" w:hAnsi="Times New Roman" w:cs="Times New Roman"/>
                <w:color w:val="000000"/>
                <w:sz w:val="20"/>
              </w:rPr>
              <w:t>CVs des experts : données extraites, spécialité, statut actif</w:t>
            </w:r>
          </w:p>
        </w:tc>
      </w:tr>
      <w:tr>
        <w:tc>
          <w:tcPr>
            <w:tcW w:type="dxa" w:w="4255"/>
            <w:shd w:val="clear" w:color="auto" w:fill="FFFFFF"/>
          </w:tcPr>
          <w:p>
            <w:pPr>
              <w:jc w:val="both"/>
            </w:pPr>
            <w:r>
              <w:rPr>
                <w:rFonts w:ascii="Times New Roman" w:hAnsi="Times New Roman" w:cs="Times New Roman"/>
                <w:color w:val="000000"/>
                <w:sz w:val="20"/>
              </w:rPr>
              <w:t>appels_offres</w:t>
            </w:r>
          </w:p>
        </w:tc>
        <w:tc>
          <w:tcPr>
            <w:tcW w:type="dxa" w:w="4255"/>
            <w:shd w:val="clear" w:color="auto" w:fill="FFFFFF"/>
          </w:tcPr>
          <w:p>
            <w:pPr>
              <w:jc w:val="both"/>
            </w:pPr>
            <w:r>
              <w:rPr>
                <w:rFonts w:ascii="Times New Roman" w:hAnsi="Times New Roman" w:cs="Times New Roman"/>
                <w:color w:val="000000"/>
                <w:sz w:val="20"/>
              </w:rPr>
              <w:t>Entrée par AO : statut, pourcentage pipeline, analyse JSON, instructions personnalisées</w:t>
            </w:r>
          </w:p>
        </w:tc>
      </w:tr>
      <w:tr>
        <w:tc>
          <w:tcPr>
            <w:tcW w:type="dxa" w:w="4255"/>
            <w:shd w:val="clear" w:color="auto" w:fill="F2F2F2"/>
          </w:tcPr>
          <w:p>
            <w:pPr>
              <w:jc w:val="both"/>
            </w:pPr>
            <w:r>
              <w:rPr>
                <w:rFonts w:ascii="Times New Roman" w:hAnsi="Times New Roman" w:cs="Times New Roman"/>
                <w:color w:val="000000"/>
                <w:sz w:val="20"/>
              </w:rPr>
              <w:t>ao_documents</w:t>
            </w:r>
          </w:p>
        </w:tc>
        <w:tc>
          <w:tcPr>
            <w:tcW w:type="dxa" w:w="4255"/>
            <w:shd w:val="clear" w:color="auto" w:fill="F2F2F2"/>
          </w:tcPr>
          <w:p>
            <w:pPr>
              <w:jc w:val="both"/>
            </w:pPr>
            <w:r>
              <w:rPr>
                <w:rFonts w:ascii="Times New Roman" w:hAnsi="Times New Roman" w:cs="Times New Roman"/>
                <w:color w:val="000000"/>
                <w:sz w:val="20"/>
              </w:rPr>
              <w:t>Fichiers associés à un AO : type, dossier, origine, clé MinIO, statut</w:t>
            </w:r>
          </w:p>
        </w:tc>
      </w:tr>
      <w:tr>
        <w:tc>
          <w:tcPr>
            <w:tcW w:type="dxa" w:w="4255"/>
            <w:shd w:val="clear" w:color="auto" w:fill="FFFFFF"/>
          </w:tcPr>
          <w:p>
            <w:pPr>
              <w:jc w:val="both"/>
            </w:pPr>
            <w:r>
              <w:rPr>
                <w:rFonts w:ascii="Times New Roman" w:hAnsi="Times New Roman" w:cs="Times New Roman"/>
                <w:color w:val="000000"/>
                <w:sz w:val="20"/>
              </w:rPr>
              <w:t>ao_team_members</w:t>
            </w:r>
          </w:p>
        </w:tc>
        <w:tc>
          <w:tcPr>
            <w:tcW w:type="dxa" w:w="4255"/>
            <w:shd w:val="clear" w:color="auto" w:fill="FFFFFF"/>
          </w:tcPr>
          <w:p>
            <w:pPr>
              <w:jc w:val="both"/>
            </w:pPr>
            <w:r>
              <w:rPr>
                <w:rFonts w:ascii="Times New Roman" w:hAnsi="Times New Roman" w:cs="Times New Roman"/>
                <w:color w:val="000000"/>
                <w:sz w:val="20"/>
              </w:rPr>
              <w:t>Associations AO vers staff_cv issues du matching, avec rôle et indicateur d'alerte</w:t>
            </w:r>
          </w:p>
        </w:tc>
      </w:tr>
    </w:tbl>
    <w:p/>
    <w:p>
      <w:pPr>
        <w:spacing w:after="120" w:line="253" w:lineRule="exact"/>
        <w:jc w:val="both"/>
      </w:pPr>
      <w:r>
        <w:rPr>
          <w:rFonts w:ascii="Times New Roman" w:hAnsi="Times New Roman" w:cs="Times New Roman"/>
          <w:b w:val="0"/>
          <w:color w:val="000000"/>
          <w:sz w:val="22"/>
        </w:rPr>
        <w:t>Le champ org_id est présent sur toutes les tables métier et vaut, en développement mono-tenant, l'identifiant de l'utilisateur lui-même. En configuration multi-tenant, il correspond à l'identifiant de l'organisation.</w:t>
      </w:r>
    </w:p>
    <w:sectPr w:rsidR="00FC693F" w:rsidRPr="0006063C" w:rsidSect="00034616">
      <w:pgSz w:w="11909" w:h="16834"/>
      <w:pgMar w:top="1699"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