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  <w:pBdr>
          <w:bottom w:val="single" w:sz="16" w:space="4" w:color="1E3A8A"/>
        </w:pBdr>
      </w:pPr>
      <w:r>
        <w:rPr>
          <w:b/>
          <w:color w:val="1E3A8A"/>
          <w:sz w:val="42"/>
        </w:rPr>
        <w:t>AHMED YOUSEF RAMADAN</w:t>
        <w:br/>
      </w:r>
      <w:r>
        <w:rPr>
          <w:b/>
          <w:color w:val="475569"/>
          <w:sz w:val="21"/>
        </w:rPr>
        <w:t>CERTIFIED SCIENCE &amp; CHEMISTRY TEACHER | STEM &amp; EDTECH SPECIALIST</w:t>
        <w:br/>
      </w:r>
      <w:r>
        <w:rPr>
          <w:color w:val="475569"/>
          <w:sz w:val="19"/>
        </w:rPr>
        <w:t>Alexandria, Egypt  •  +20 155 390 0394  •  ahmedaboshady128@gmail.com  •  linkedin.com/in/ahmed-yousef-ramadan</w:t>
      </w:r>
    </w:p>
    <w:p>
      <w:pPr>
        <w:spacing w:before="180" w:after="60"/>
        <w:pBdr>
          <w:bottom w:val="single" w:sz="8" w:space="4" w:color="CBD5E1"/>
        </w:pBdr>
      </w:pPr>
      <w:r>
        <w:rPr>
          <w:b/>
          <w:color w:val="1E3A8A"/>
          <w:sz w:val="22"/>
        </w:rPr>
        <w:t>PROFESSIONAL PROFILE</w:t>
      </w:r>
    </w:p>
    <w:p>
      <w:pPr>
        <w:spacing w:after="60"/>
      </w:pPr>
      <w:r>
        <w:rPr>
          <w:sz w:val="19"/>
        </w:rPr>
        <w:t>Passionate, certified Science &amp; Chemistry Educator with a strong dual background in Biophysics &amp; Chemistry (Faculty of Science) and a Postgraduate Professional Educator Diploma (Faculty of Education). Dedicated to fostering scientific inquiry, critical thinking, and intellectual curiosity within international curriculum frameworks (American Diploma, British / Cambridge IGCSE, and IB). Highly skilled in student-centered instruction, laboratory experimentation, differentiated learning, and modern Educational Technology (EdTech) integration to drive both academic excellence and genuine enthusiasm for the sciences.</w:t>
      </w:r>
    </w:p>
    <w:p>
      <w:pPr>
        <w:spacing w:before="180" w:after="60"/>
        <w:pBdr>
          <w:bottom w:val="single" w:sz="8" w:space="4" w:color="CBD5E1"/>
        </w:pBdr>
      </w:pPr>
      <w:r>
        <w:rPr>
          <w:b/>
          <w:color w:val="1E3A8A"/>
          <w:sz w:val="22"/>
        </w:rPr>
        <w:t>EDUCATION &amp; PROFESSIONAL CREDENTIALS</w:t>
      </w:r>
    </w:p>
    <w:p>
      <w:pPr>
        <w:spacing w:before="40" w:after="20"/>
      </w:pPr>
      <w:r>
        <w:rPr>
          <w:b/>
          <w:color w:val="0F172A"/>
          <w:sz w:val="20"/>
        </w:rPr>
        <w:t>Postgraduate Diploma in Education (PGDE) | Professional Educator Qualification</w:t>
      </w:r>
      <w:r>
        <w:rPr>
          <w:i/>
          <w:sz w:val="19"/>
        </w:rPr>
        <w:t xml:space="preserve">  |  Alexandria University – Faculty of Education</w:t>
      </w:r>
    </w:p>
    <w:p>
      <w:pPr>
        <w:spacing w:after="60"/>
        <w:ind w:left="259"/>
      </w:pPr>
      <w:r>
        <w:rPr>
          <w:color w:val="475569"/>
          <w:sz w:val="18"/>
        </w:rPr>
        <w:t>Specialized in Educational Psychology, Modern Pedagogical Methods, Curriculum Design, Classroom Management, and Learning Assessment Strategies.</w:t>
      </w:r>
    </w:p>
    <w:p>
      <w:pPr>
        <w:spacing w:before="40" w:after="20"/>
      </w:pPr>
      <w:r>
        <w:rPr>
          <w:b/>
          <w:color w:val="0F172A"/>
          <w:sz w:val="20"/>
        </w:rPr>
        <w:t>Bachelor of Science (B.Sc.) in Biophysics &amp; Chemistry</w:t>
      </w:r>
      <w:r>
        <w:rPr>
          <w:i/>
          <w:sz w:val="19"/>
        </w:rPr>
        <w:t xml:space="preserve">  |  Alexandria University – Faculty of Science</w:t>
      </w:r>
    </w:p>
    <w:p>
      <w:pPr>
        <w:spacing w:after="60"/>
        <w:ind w:left="259"/>
      </w:pPr>
      <w:r>
        <w:rPr>
          <w:color w:val="475569"/>
          <w:sz w:val="18"/>
        </w:rPr>
        <w:t>Comprehensive curriculum covering Organic, Inorganic, and Physical Chemistry, Molecular Biophysics, Laboratory Techniques, Quantitative Analysis, and Research Methodologies.</w:t>
      </w:r>
    </w:p>
    <w:p>
      <w:pPr>
        <w:spacing w:before="180" w:after="60"/>
        <w:pBdr>
          <w:bottom w:val="single" w:sz="8" w:space="4" w:color="CBD5E1"/>
        </w:pBdr>
      </w:pPr>
      <w:r>
        <w:rPr>
          <w:b/>
          <w:color w:val="1E3A8A"/>
          <w:sz w:val="22"/>
        </w:rPr>
        <w:t>CORE TEACHING COMPETENCIES</w:t>
      </w:r>
    </w:p>
    <w:p>
      <w:pPr>
        <w:pStyle w:val="ListBullet"/>
        <w:spacing w:after="40"/>
        <w:ind w:left="317"/>
      </w:pPr>
      <w:r>
        <w:rPr>
          <w:b/>
          <w:color w:val="0F172A"/>
          <w:sz w:val="19"/>
        </w:rPr>
        <w:t xml:space="preserve">Curriculum &amp; Pedagogy: </w:t>
      </w:r>
      <w:r>
        <w:rPr>
          <w:sz w:val="19"/>
        </w:rPr>
        <w:t>Inquiry-Based Learning (IBL), STEM Education, Differentiated Instruction, Lesson &amp; Unit Design, Formative &amp; Summative Assessments, Student-Centered Active Learning.</w:t>
      </w:r>
    </w:p>
    <w:p>
      <w:pPr>
        <w:pStyle w:val="ListBullet"/>
        <w:spacing w:after="40"/>
        <w:ind w:left="317"/>
      </w:pPr>
      <w:r>
        <w:rPr>
          <w:b/>
          <w:color w:val="0F172A"/>
          <w:sz w:val="19"/>
        </w:rPr>
        <w:t xml:space="preserve">Subject Matter Expertise: </w:t>
      </w:r>
      <w:r>
        <w:rPr>
          <w:sz w:val="19"/>
        </w:rPr>
        <w:t>General Science (Middle School / Key Stage 3), Chemistry (High School / IGCSE / American Curriculum), Biophysics &amp; Integrated Physical Sciences, Laboratory Safety &amp; Experimental Design.</w:t>
      </w:r>
    </w:p>
    <w:p>
      <w:pPr>
        <w:pStyle w:val="ListBullet"/>
        <w:spacing w:after="40"/>
        <w:ind w:left="317"/>
      </w:pPr>
      <w:r>
        <w:rPr>
          <w:b/>
          <w:color w:val="0F172A"/>
          <w:sz w:val="19"/>
        </w:rPr>
        <w:t xml:space="preserve">Classroom Leadership: </w:t>
      </w:r>
      <w:r>
        <w:rPr>
          <w:sz w:val="19"/>
        </w:rPr>
        <w:t>Positive Behavioral Support, Student Mentorship &amp; Academic Guidance, Fostering Growth Mindset, Cultivating Inclusive Learning Environments, Effective Parent-Teacher Partnership.</w:t>
      </w:r>
    </w:p>
    <w:p>
      <w:pPr>
        <w:pStyle w:val="ListBullet"/>
        <w:spacing w:after="40"/>
        <w:ind w:left="317"/>
      </w:pPr>
      <w:r>
        <w:rPr>
          <w:b/>
          <w:color w:val="0F172A"/>
          <w:sz w:val="19"/>
        </w:rPr>
        <w:t xml:space="preserve">Educational Technology: </w:t>
      </w:r>
      <w:r>
        <w:rPr>
          <w:sz w:val="19"/>
        </w:rPr>
        <w:t>Google Classroom, Microsoft 365 for Education, PhET Interactive Simulations, Virtual Labs, Quizizz / Kahoot, Interactive Whiteboards, Digital LMS &amp; Analytics.</w:t>
      </w:r>
    </w:p>
    <w:p>
      <w:pPr>
        <w:spacing w:before="180" w:after="60"/>
        <w:pBdr>
          <w:bottom w:val="single" w:sz="8" w:space="4" w:color="CBD5E1"/>
        </w:pBdr>
      </w:pPr>
      <w:r>
        <w:rPr>
          <w:b/>
          <w:color w:val="1E3A8A"/>
          <w:sz w:val="22"/>
        </w:rPr>
        <w:t>TEACHING &amp; INSTRUCTIONAL EXPERIENCE</w:t>
      </w:r>
    </w:p>
    <w:p>
      <w:pPr>
        <w:spacing w:before="40" w:after="40"/>
      </w:pPr>
      <w:r>
        <w:rPr>
          <w:b/>
          <w:color w:val="0F172A"/>
          <w:sz w:val="20"/>
        </w:rPr>
        <w:t>Science &amp; Chemistry Educator (Academic Tutoring &amp; Student Instruction)</w:t>
      </w:r>
      <w:r>
        <w:rPr>
          <w:i/>
          <w:sz w:val="19"/>
        </w:rPr>
        <w:t xml:space="preserve">  |  Alexandria, Egypt (2021 – Present)</w:t>
      </w:r>
    </w:p>
    <w:p>
      <w:pPr>
        <w:pStyle w:val="ListBullet"/>
        <w:spacing w:after="40"/>
        <w:ind w:left="317"/>
      </w:pPr>
      <w:r>
        <w:rPr>
          <w:sz w:val="18"/>
        </w:rPr>
        <w:t>Deliver rigorous, student-focused instruction in Middle School General Science and High School Chemistry aligned with international curriculum standards (Cambridge / IGCSE and American NGSS frameworks).</w:t>
      </w:r>
    </w:p>
    <w:p>
      <w:pPr>
        <w:pStyle w:val="ListBullet"/>
        <w:spacing w:after="40"/>
        <w:ind w:left="317"/>
      </w:pPr>
      <w:r>
        <w:rPr>
          <w:sz w:val="18"/>
        </w:rPr>
        <w:t>Design inquiry-based, hands-on lesson modules that translate complex theoretical chemistry and physics concepts into tangible real-world demonstrations, significantly elevating conceptual retention.</w:t>
      </w:r>
    </w:p>
    <w:p>
      <w:pPr>
        <w:pStyle w:val="ListBullet"/>
        <w:spacing w:after="40"/>
        <w:ind w:left="317"/>
      </w:pPr>
      <w:r>
        <w:rPr>
          <w:sz w:val="18"/>
        </w:rPr>
        <w:t>Facilitate laboratory experiments and practical investigations, maintaining strict adherence to laboratory safety protocols, risk assessment procedures, and scientific documentation.</w:t>
      </w:r>
    </w:p>
    <w:p>
      <w:pPr>
        <w:pStyle w:val="ListBullet"/>
        <w:spacing w:after="40"/>
        <w:ind w:left="317"/>
      </w:pPr>
      <w:r>
        <w:rPr>
          <w:sz w:val="18"/>
        </w:rPr>
        <w:t>Implement continuous formative assessments, diagnostic quizzes, and exit tickets to identify individual learning hurdles, adapting instructional paces through personalized differentiated interventions.</w:t>
      </w:r>
    </w:p>
    <w:p>
      <w:pPr>
        <w:pStyle w:val="ListBullet"/>
        <w:spacing w:after="40"/>
        <w:ind w:left="317"/>
      </w:pPr>
      <w:r>
        <w:rPr>
          <w:sz w:val="18"/>
        </w:rPr>
        <w:t>Integrate interactive EdTech tools—including PhET simulations, digital 3D molecular models, and gamified assessments—resulting in an estimated 35% increase in student engagement and exam pass rates.</w:t>
      </w:r>
    </w:p>
    <w:p>
      <w:pPr>
        <w:pStyle w:val="ListBullet"/>
        <w:spacing w:after="40"/>
        <w:ind w:left="317"/>
      </w:pPr>
      <w:r>
        <w:rPr>
          <w:sz w:val="18"/>
        </w:rPr>
        <w:t>Maintain proactive communication with parents through constructive academic reporting, collaborative goal-setting, and supportive study strategies.</w:t>
      </w:r>
    </w:p>
    <w:p>
      <w:r>
        <w:br w:type="page"/>
      </w:r>
    </w:p>
    <w:p>
      <w:pPr>
        <w:spacing w:before="40" w:after="60"/>
        <w:pBdr>
          <w:bottom w:val="single" w:sz="8" w:space="4" w:color="CBD5E1"/>
        </w:pBdr>
      </w:pPr>
      <w:r>
        <w:rPr>
          <w:b/>
          <w:color w:val="1E3A8A"/>
          <w:sz w:val="22"/>
        </w:rPr>
        <w:t>TEACHING PHILOSOPHY &amp; INSTRUCTIONAL METHODOLOGY</w:t>
      </w:r>
    </w:p>
    <w:p>
      <w:pPr>
        <w:spacing w:after="60"/>
      </w:pPr>
      <w:r>
        <w:rPr>
          <w:sz w:val="19"/>
        </w:rPr>
        <w:t>I believe that science is not merely a body of memorized facts, but a dynamic method of exploring and understanding the world. My instructional approach centers on three core pillars:</w:t>
        <w:br/>
      </w:r>
    </w:p>
    <w:p>
      <w:pPr>
        <w:pStyle w:val="ListBullet"/>
        <w:spacing w:after="40"/>
        <w:ind w:left="317"/>
      </w:pPr>
      <w:r>
        <w:rPr>
          <w:b/>
          <w:color w:val="0F172A"/>
          <w:sz w:val="19"/>
        </w:rPr>
        <w:t xml:space="preserve">Inquiry &amp; Hands-on Discovery: </w:t>
      </w:r>
      <w:r>
        <w:rPr>
          <w:sz w:val="19"/>
        </w:rPr>
        <w:t>Empowering students to ask probing questions, formulate hypotheses, test assumptions through experimentation, and construct their own scientific conclusions.</w:t>
      </w:r>
    </w:p>
    <w:p>
      <w:pPr>
        <w:pStyle w:val="ListBullet"/>
        <w:spacing w:after="40"/>
        <w:ind w:left="317"/>
      </w:pPr>
      <w:r>
        <w:rPr>
          <w:b/>
          <w:color w:val="0F172A"/>
          <w:sz w:val="19"/>
        </w:rPr>
        <w:t xml:space="preserve">Differentiated &amp; Inclusive Learning: </w:t>
      </w:r>
      <w:r>
        <w:rPr>
          <w:sz w:val="19"/>
        </w:rPr>
        <w:t>Recognizing diverse student learning styles, linguistic backgrounds, and paces by offering tiered scaffolding, visual models, and varied pathways to mastery.</w:t>
      </w:r>
    </w:p>
    <w:p>
      <w:pPr>
        <w:pStyle w:val="ListBullet"/>
        <w:spacing w:after="40"/>
        <w:ind w:left="317"/>
      </w:pPr>
      <w:r>
        <w:rPr>
          <w:b/>
          <w:color w:val="0F172A"/>
          <w:sz w:val="19"/>
        </w:rPr>
        <w:t xml:space="preserve">EdTech-Enhanced Engagement: </w:t>
      </w:r>
      <w:r>
        <w:rPr>
          <w:sz w:val="19"/>
        </w:rPr>
        <w:t>Utilizing interactive digital simulations, virtual labs, and real-time formative feedback to make abstract microscopic and physical phenomena visible and engaging.</w:t>
      </w:r>
    </w:p>
    <w:p>
      <w:pPr>
        <w:spacing w:before="180" w:after="60"/>
        <w:pBdr>
          <w:bottom w:val="single" w:sz="8" w:space="4" w:color="CBD5E1"/>
        </w:pBdr>
      </w:pPr>
      <w:r>
        <w:rPr>
          <w:b/>
          <w:color w:val="1E3A8A"/>
          <w:sz w:val="22"/>
        </w:rPr>
        <w:t>PROFESSIONAL &amp; LEADERSHIP EXPERIENCE (TRANSFERABLE SKILLS)</w:t>
      </w:r>
    </w:p>
    <w:p>
      <w:pPr>
        <w:spacing w:before="40" w:after="40"/>
      </w:pPr>
      <w:r>
        <w:rPr>
          <w:b/>
          <w:color w:val="0F172A"/>
          <w:sz w:val="20"/>
        </w:rPr>
        <w:t>Strategic Planner, Team Mentor &amp; Digital Content Lead</w:t>
      </w:r>
      <w:r>
        <w:rPr>
          <w:i/>
          <w:sz w:val="19"/>
        </w:rPr>
        <w:t xml:space="preserve">  |  iCONSULT / Vitagenn / Total Care (Egypt, UAE, KSA) (2021 – 2024)</w:t>
      </w:r>
    </w:p>
    <w:p>
      <w:pPr>
        <w:pStyle w:val="ListBullet"/>
        <w:spacing w:after="40"/>
        <w:ind w:left="317"/>
      </w:pPr>
      <w:r>
        <w:rPr>
          <w:sz w:val="18"/>
        </w:rPr>
        <w:t>Mentorship &amp; Instructional Coaching: Mentored and onboarded junior team members, conducting structured workshops that cultivated strategic thinking, analytical problem-solving, and team collaboration.</w:t>
      </w:r>
    </w:p>
    <w:p>
      <w:pPr>
        <w:pStyle w:val="ListBullet"/>
        <w:spacing w:after="40"/>
        <w:ind w:left="317"/>
      </w:pPr>
      <w:r>
        <w:rPr>
          <w:sz w:val="18"/>
        </w:rPr>
        <w:t>Educational &amp; Scientific Communication: Designed structured, accessible informational content for scientific and healthcare initiatives, translating intricate technical data into clear, engaging visual presentations.</w:t>
      </w:r>
    </w:p>
    <w:p>
      <w:pPr>
        <w:pStyle w:val="ListBullet"/>
        <w:spacing w:after="40"/>
        <w:ind w:left="317"/>
      </w:pPr>
      <w:r>
        <w:rPr>
          <w:sz w:val="18"/>
        </w:rPr>
        <w:t>Data-Driven Evaluation: Evaluated audience metrics, retention indicators, and performance trends—leveraging quantitative analytical skills directly applicable to tracking student academic progress and data-informed instruction.</w:t>
      </w:r>
    </w:p>
    <w:p>
      <w:pPr>
        <w:pStyle w:val="ListBullet"/>
        <w:spacing w:after="40"/>
        <w:ind w:left="317"/>
      </w:pPr>
      <w:r>
        <w:rPr>
          <w:sz w:val="18"/>
        </w:rPr>
        <w:t>Project Management &amp; Technology Leadership: Administered digital collaboration tools, content workflows, and cross-functional communications across multicultural teams, demonstrating high-level organization and EdTech literacy.</w:t>
      </w:r>
    </w:p>
    <w:p>
      <w:pPr>
        <w:spacing w:before="180" w:after="60"/>
        <w:pBdr>
          <w:bottom w:val="single" w:sz="8" w:space="4" w:color="CBD5E1"/>
        </w:pBdr>
      </w:pPr>
      <w:r>
        <w:rPr>
          <w:b/>
          <w:color w:val="1E3A8A"/>
          <w:sz w:val="22"/>
        </w:rPr>
        <w:t>EDTECH &amp; SCIENTIFIC LABORATORY PROFICIENCY</w:t>
      </w:r>
    </w:p>
    <w:p>
      <w:pPr>
        <w:pStyle w:val="ListBullet"/>
        <w:spacing w:after="40"/>
        <w:ind w:left="317"/>
      </w:pPr>
      <w:r>
        <w:rPr>
          <w:b/>
          <w:color w:val="0F172A"/>
          <w:sz w:val="19"/>
        </w:rPr>
        <w:t xml:space="preserve">Digital Classrooms &amp; LMS: </w:t>
      </w:r>
      <w:r>
        <w:rPr>
          <w:sz w:val="19"/>
        </w:rPr>
        <w:t>Google Classroom, Microsoft Teams for Education, Canvas, Zoom / Meet for interactive learning.</w:t>
      </w:r>
    </w:p>
    <w:p>
      <w:pPr>
        <w:pStyle w:val="ListBullet"/>
        <w:spacing w:after="40"/>
        <w:ind w:left="317"/>
      </w:pPr>
      <w:r>
        <w:rPr>
          <w:b/>
          <w:color w:val="0F172A"/>
          <w:sz w:val="19"/>
        </w:rPr>
        <w:t xml:space="preserve">STEM Interactive Tools: </w:t>
      </w:r>
      <w:r>
        <w:rPr>
          <w:sz w:val="19"/>
        </w:rPr>
        <w:t>PhET Interactive Simulations (University of Colorado), ChemCollective, LabXchange, Molecular Workbench.</w:t>
      </w:r>
    </w:p>
    <w:p>
      <w:pPr>
        <w:pStyle w:val="ListBullet"/>
        <w:spacing w:after="40"/>
        <w:ind w:left="317"/>
      </w:pPr>
      <w:r>
        <w:rPr>
          <w:b/>
          <w:color w:val="0F172A"/>
          <w:sz w:val="19"/>
        </w:rPr>
        <w:t xml:space="preserve">Gamified &amp; Formative Assessment: </w:t>
      </w:r>
      <w:r>
        <w:rPr>
          <w:sz w:val="19"/>
        </w:rPr>
        <w:t>Kahoot!, Quizizz, Edpuzzle, Mentimeter, Google Forms for diagnostic exit tickets.</w:t>
      </w:r>
    </w:p>
    <w:p>
      <w:pPr>
        <w:pStyle w:val="ListBullet"/>
        <w:spacing w:after="40"/>
        <w:ind w:left="317"/>
      </w:pPr>
      <w:r>
        <w:rPr>
          <w:b/>
          <w:color w:val="0F172A"/>
          <w:sz w:val="19"/>
        </w:rPr>
        <w:t xml:space="preserve">Laboratory Safety &amp; Equipment: </w:t>
      </w:r>
      <w:r>
        <w:rPr>
          <w:sz w:val="19"/>
        </w:rPr>
        <w:t>Standard laboratory glassware, chemical reagent handling, PPE safety protocols, microscopy, spectrophotometry.</w:t>
      </w:r>
    </w:p>
    <w:p>
      <w:pPr>
        <w:spacing w:before="180" w:after="60"/>
        <w:pBdr>
          <w:bottom w:val="single" w:sz="8" w:space="4" w:color="CBD5E1"/>
        </w:pBdr>
      </w:pPr>
      <w:r>
        <w:rPr>
          <w:b/>
          <w:color w:val="1E3A8A"/>
          <w:sz w:val="22"/>
        </w:rPr>
        <w:t>PROFESSIONAL DEVELOPMENT &amp; CERTIFICATIONS</w:t>
      </w:r>
    </w:p>
    <w:p>
      <w:pPr>
        <w:pStyle w:val="ListBullet"/>
        <w:spacing w:after="40"/>
        <w:ind w:left="317"/>
      </w:pPr>
      <w:r>
        <w:rPr>
          <w:sz w:val="18"/>
        </w:rPr>
        <w:t>Modern Teaching Methodologies &amp; Active Learning Strategies (Faculty of Education)</w:t>
      </w:r>
    </w:p>
    <w:p>
      <w:pPr>
        <w:pStyle w:val="ListBullet"/>
        <w:spacing w:after="40"/>
        <w:ind w:left="317"/>
      </w:pPr>
      <w:r>
        <w:rPr>
          <w:sz w:val="18"/>
        </w:rPr>
        <w:t>Laboratory Safety Standards and Chemical Management in School Environments</w:t>
      </w:r>
    </w:p>
    <w:p>
      <w:pPr>
        <w:pStyle w:val="ListBullet"/>
        <w:spacing w:after="40"/>
        <w:ind w:left="317"/>
      </w:pPr>
      <w:r>
        <w:rPr>
          <w:sz w:val="18"/>
        </w:rPr>
        <w:t>Next Generation Science Standards (NGSS) &amp; STEM Curriculum Integration</w:t>
      </w:r>
    </w:p>
    <w:p>
      <w:pPr>
        <w:pStyle w:val="ListBullet"/>
        <w:spacing w:after="40"/>
        <w:ind w:left="317"/>
      </w:pPr>
      <w:r>
        <w:rPr>
          <w:sz w:val="18"/>
        </w:rPr>
        <w:t>Differentiated Instruction and Formative Assessment in Secondary Education</w:t>
      </w:r>
    </w:p>
    <w:p>
      <w:pPr>
        <w:pStyle w:val="ListBullet"/>
        <w:spacing w:after="40"/>
        <w:ind w:left="317"/>
      </w:pPr>
      <w:r>
        <w:rPr>
          <w:sz w:val="18"/>
        </w:rPr>
        <w:t>Digital Educational Technologies &amp; Blended Learning in International Classrooms</w:t>
      </w:r>
    </w:p>
    <w:p>
      <w:pPr>
        <w:spacing w:before="180" w:after="60"/>
        <w:pBdr>
          <w:bottom w:val="single" w:sz="8" w:space="4" w:color="CBD5E1"/>
        </w:pBdr>
      </w:pPr>
      <w:r>
        <w:rPr>
          <w:b/>
          <w:color w:val="1E3A8A"/>
          <w:sz w:val="22"/>
        </w:rPr>
        <w:t>LANGUAGES &amp; REFERENCES</w:t>
      </w:r>
    </w:p>
    <w:p>
      <w:pPr>
        <w:spacing w:before="40" w:after="40"/>
      </w:pPr>
      <w:r>
        <w:rPr>
          <w:b/>
          <w:color w:val="0F172A"/>
          <w:sz w:val="19"/>
        </w:rPr>
        <w:t xml:space="preserve">Languages: </w:t>
      </w:r>
      <w:r>
        <w:rPr>
          <w:sz w:val="19"/>
        </w:rPr>
        <w:t>English (Fluent / Full Professional Classroom Instruction)  •  Arabic (Native Language)</w:t>
        <w:br/>
      </w:r>
      <w:r>
        <w:rPr>
          <w:b/>
          <w:color w:val="0F172A"/>
          <w:sz w:val="19"/>
        </w:rPr>
        <w:t xml:space="preserve">References: </w:t>
      </w:r>
      <w:r>
        <w:rPr>
          <w:sz w:val="19"/>
        </w:rPr>
        <w:t>Professional and academic references, along with teaching portfolios and qualification transcripts, available upon request.</w:t>
      </w:r>
    </w:p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40" w:before="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