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Bdr>
          <w:bottom w:val="single" w:sz="16" w:space="4" w:color="1E3A8A"/>
        </w:pBdr>
      </w:pPr>
      <w:r>
        <w:rPr>
          <w:b/>
          <w:color w:val="1E3A8A"/>
          <w:sz w:val="42"/>
        </w:rPr>
        <w:t>AHMED YOUSEF RAMADAN</w:t>
        <w:br/>
      </w:r>
      <w:r>
        <w:rPr>
          <w:b/>
          <w:color w:val="475569"/>
          <w:sz w:val="21"/>
        </w:rPr>
        <w:t>CERTIFIED SCIENCE &amp; CHEMISTRY TEACHER | EDTECH &amp; LMS SPECIALIST</w:t>
        <w:br/>
      </w:r>
      <w:r>
        <w:rPr>
          <w:color w:val="475569"/>
          <w:sz w:val="19"/>
        </w:rPr>
        <w:t>Alexandria, Egypt  •  +20 155 390 0394  •  ahmedaboshady128@gmail.com  •  linkedin.com/in/ahmed-yousef-ramadan</w:t>
      </w:r>
    </w:p>
    <w:p>
      <w:pPr>
        <w:spacing w:before="160" w:after="60"/>
        <w:pBdr>
          <w:bottom w:val="single" w:sz="8" w:space="4" w:color="CBD5E1"/>
        </w:pBdr>
      </w:pPr>
      <w:r>
        <w:rPr>
          <w:b/>
          <w:color w:val="1E3A8A"/>
          <w:sz w:val="22"/>
        </w:rPr>
        <w:t>PROFESSIONAL PROFILE</w:t>
      </w:r>
    </w:p>
    <w:p>
      <w:pPr>
        <w:spacing w:after="60"/>
      </w:pPr>
      <w:r>
        <w:rPr>
          <w:sz w:val="19"/>
        </w:rPr>
        <w:t>Dynamic, certified Science &amp; Chemistry Educator and EdTech Developer combining strong academic foundations in Biophysics &amp; Chemistry (Faculty of Science) with a Postgraduate Diploma in Education (PGDE - Faculty of Education). Demonstrated track record at Mounir Academy delivering student-centered, inquiry-based instruction across international curricula (Cambridge IGCSE, American NGSS, and Middle School Science). Proven expertise in developing custom educational platforms (LMS), laboratory safety, differentiated instruction, and integrating PhET interactive simulations to cultivate scientific curiosity, critical inquiry, and academic excellence.</w:t>
      </w:r>
    </w:p>
    <w:p>
      <w:pPr>
        <w:spacing w:before="160" w:after="60"/>
        <w:pBdr>
          <w:bottom w:val="single" w:sz="8" w:space="4" w:color="CBD5E1"/>
        </w:pBdr>
      </w:pPr>
      <w:r>
        <w:rPr>
          <w:b/>
          <w:color w:val="1E3A8A"/>
          <w:sz w:val="22"/>
        </w:rPr>
        <w:t>EDUCATION &amp; PROFESSIONAL CREDENTIALS</w:t>
      </w:r>
    </w:p>
    <w:p>
      <w:pPr>
        <w:spacing w:before="40" w:after="20"/>
      </w:pPr>
      <w:r>
        <w:rPr>
          <w:b/>
          <w:color w:val="0F172A"/>
          <w:sz w:val="20"/>
        </w:rPr>
        <w:t>Postgraduate Diploma in Education (PGDE) | Professional Educator Qualification</w:t>
      </w:r>
      <w:r>
        <w:rPr>
          <w:i/>
          <w:sz w:val="19"/>
        </w:rPr>
        <w:t xml:space="preserve">  |  Alexandria University – Faculty of Education</w:t>
      </w:r>
    </w:p>
    <w:p>
      <w:pPr>
        <w:spacing w:after="60"/>
        <w:ind w:left="259"/>
      </w:pPr>
      <w:r>
        <w:rPr>
          <w:color w:val="475569"/>
          <w:sz w:val="18"/>
        </w:rPr>
        <w:t>Focus: Educational Psychology, Modern Teaching Methodologies, Curriculum Planning, Classroom Management &amp; Positive Discipline, Learning Assessment Strategies.</w:t>
      </w:r>
    </w:p>
    <w:p>
      <w:pPr>
        <w:spacing w:before="40" w:after="20"/>
      </w:pPr>
      <w:r>
        <w:rPr>
          <w:b/>
          <w:color w:val="0F172A"/>
          <w:sz w:val="20"/>
        </w:rPr>
        <w:t>Bachelor of Science (B.Sc.) in Biophysics &amp; Chemistry</w:t>
      </w:r>
      <w:r>
        <w:rPr>
          <w:i/>
          <w:sz w:val="19"/>
        </w:rPr>
        <w:t xml:space="preserve">  |  Alexandria University – Faculty of Science</w:t>
      </w:r>
    </w:p>
    <w:p>
      <w:pPr>
        <w:spacing w:after="60"/>
        <w:ind w:left="259"/>
      </w:pPr>
      <w:r>
        <w:rPr>
          <w:color w:val="475569"/>
          <w:sz w:val="18"/>
        </w:rPr>
        <w:t>Comprehensive curriculum covering Organic, Inorganic, and Physical Chemistry, Molecular Biophysics, Laboratory Techniques, Quantitative Analysis, and Research Methodologies.</w:t>
      </w:r>
    </w:p>
    <w:p>
      <w:pPr>
        <w:spacing w:before="160" w:after="60"/>
        <w:pBdr>
          <w:bottom w:val="single" w:sz="8" w:space="4" w:color="CBD5E1"/>
        </w:pBdr>
      </w:pPr>
      <w:r>
        <w:rPr>
          <w:b/>
          <w:color w:val="1E3A8A"/>
          <w:sz w:val="22"/>
        </w:rPr>
        <w:t>CORE TEACHING &amp; PEDAGOGICAL COMPETENCIES</w:t>
      </w:r>
    </w:p>
    <w:p>
      <w:pPr>
        <w:pStyle w:val="ListBullet"/>
        <w:spacing w:after="40"/>
        <w:ind w:left="317"/>
      </w:pPr>
      <w:r>
        <w:rPr>
          <w:b/>
          <w:color w:val="0F172A"/>
          <w:sz w:val="19"/>
        </w:rPr>
        <w:t xml:space="preserve">Curriculum &amp; Pedagogy: </w:t>
      </w:r>
      <w:r>
        <w:rPr>
          <w:sz w:val="19"/>
        </w:rPr>
        <w:t>Inquiry-Based Learning (IBL), STEM Education, 5E Instructional Model, Differentiated Instruction, Lesson &amp; Unit Design, Formative &amp; Summative Assessments, Student-Centered Learning.</w:t>
      </w:r>
    </w:p>
    <w:p>
      <w:pPr>
        <w:pStyle w:val="ListBullet"/>
        <w:spacing w:after="40"/>
        <w:ind w:left="317"/>
      </w:pPr>
      <w:r>
        <w:rPr>
          <w:b/>
          <w:color w:val="0F172A"/>
          <w:sz w:val="19"/>
        </w:rPr>
        <w:t xml:space="preserve">Subject Matter Expertise: </w:t>
      </w:r>
      <w:r>
        <w:rPr>
          <w:sz w:val="19"/>
        </w:rPr>
        <w:t>General Science (Middle School / Key Stage 3), Chemistry (High School / IGCSE / American Curriculum), Biophysics &amp; Integrated Physical Sciences, Laboratory Safety &amp; Risk Management.</w:t>
      </w:r>
    </w:p>
    <w:p>
      <w:pPr>
        <w:pStyle w:val="ListBullet"/>
        <w:spacing w:after="40"/>
        <w:ind w:left="317"/>
      </w:pPr>
      <w:r>
        <w:rPr>
          <w:b/>
          <w:color w:val="0F172A"/>
          <w:sz w:val="19"/>
        </w:rPr>
        <w:t xml:space="preserve">Educational Platforms &amp; EdTech: </w:t>
      </w:r>
      <w:r>
        <w:rPr>
          <w:sz w:val="19"/>
        </w:rPr>
        <w:t>LMS Architecture &amp; Deployment, Google Classroom, MS Teams for Education, PhET Interactive Simulations, Virtual Labs, Automated Grading Systems, Digital Assessment Platforms.</w:t>
      </w:r>
    </w:p>
    <w:p>
      <w:pPr>
        <w:pStyle w:val="ListBullet"/>
        <w:spacing w:after="40"/>
        <w:ind w:left="317"/>
      </w:pPr>
      <w:r>
        <w:rPr>
          <w:b/>
          <w:color w:val="0F172A"/>
          <w:sz w:val="19"/>
        </w:rPr>
        <w:t xml:space="preserve">Classroom Leadership: </w:t>
      </w:r>
      <w:r>
        <w:rPr>
          <w:sz w:val="19"/>
        </w:rPr>
        <w:t>Positive Behavioral Support, Student Mentorship &amp; Academic Guidance, Fostering Growth Mindset, Cultivating Inclusive Learning Environments, Transparent Parent-Teacher Partnership.</w:t>
      </w:r>
    </w:p>
    <w:p>
      <w:pPr>
        <w:spacing w:before="160" w:after="60"/>
        <w:pBdr>
          <w:bottom w:val="single" w:sz="8" w:space="4" w:color="CBD5E1"/>
        </w:pBdr>
      </w:pPr>
      <w:r>
        <w:rPr>
          <w:b/>
          <w:color w:val="1E3A8A"/>
          <w:sz w:val="22"/>
        </w:rPr>
        <w:t>TEACHING &amp; INSTRUCTIONAL EXPERIENCE</w:t>
      </w:r>
    </w:p>
    <w:p>
      <w:pPr>
        <w:spacing w:before="40" w:after="40"/>
      </w:pPr>
      <w:r>
        <w:rPr>
          <w:b/>
          <w:color w:val="0F172A"/>
          <w:sz w:val="20"/>
        </w:rPr>
        <w:t>Science &amp; Chemistry Teacher</w:t>
      </w:r>
      <w:r>
        <w:rPr>
          <w:i/>
          <w:sz w:val="19"/>
        </w:rPr>
        <w:t xml:space="preserve">  |  Mounir Educational Academy  •  Alexandria, Egypt (2022 – Present)</w:t>
      </w:r>
    </w:p>
    <w:p>
      <w:pPr>
        <w:pStyle w:val="ListBullet"/>
        <w:spacing w:after="36"/>
        <w:ind w:left="317"/>
      </w:pPr>
      <w:r>
        <w:rPr>
          <w:sz w:val="18"/>
        </w:rPr>
        <w:t>Deliver student-centered instruction in Middle School General Science and High School Chemistry aligned with international curriculum frameworks (Cambridge IGCSE and American NGSS).</w:t>
      </w:r>
    </w:p>
    <w:p>
      <w:pPr>
        <w:pStyle w:val="ListBullet"/>
        <w:spacing w:after="36"/>
        <w:ind w:left="317"/>
      </w:pPr>
      <w:r>
        <w:rPr>
          <w:sz w:val="18"/>
        </w:rPr>
        <w:t>Design inquiry-based lesson plans that connect abstract chemical and physical principles to everyday phenomena, fostering active curiosity and analytical problem-solving skills.</w:t>
      </w:r>
    </w:p>
    <w:p>
      <w:pPr>
        <w:pStyle w:val="ListBullet"/>
        <w:spacing w:after="36"/>
        <w:ind w:left="317"/>
      </w:pPr>
      <w:r>
        <w:rPr>
          <w:sz w:val="18"/>
        </w:rPr>
        <w:t>Facilitate practical laboratory experiments and demonstrations, rigorously enforcing school laboratory safety guidelines, personal protective equipment (PPE) standards, and experimental documentation.</w:t>
      </w:r>
    </w:p>
    <w:p>
      <w:pPr>
        <w:pStyle w:val="ListBullet"/>
        <w:spacing w:after="36"/>
        <w:ind w:left="317"/>
      </w:pPr>
      <w:r>
        <w:rPr>
          <w:sz w:val="18"/>
        </w:rPr>
        <w:t>Utilize continuous formative assessments, exit tickets, and diagnostic quizzes to identify individual learning hurdles, applying differentiated interventions to support varied learning paces.</w:t>
      </w:r>
    </w:p>
    <w:p>
      <w:pPr>
        <w:pStyle w:val="ListBullet"/>
        <w:spacing w:after="36"/>
        <w:ind w:left="317"/>
      </w:pPr>
      <w:r>
        <w:rPr>
          <w:sz w:val="18"/>
        </w:rPr>
        <w:t>Partner proactively with parents through structured academic progress reports, collaborative goal-setting, and supportive learning strategies, elevating student retention and pass rates by 35%.</w:t>
      </w:r>
    </w:p>
    <w:p>
      <w:r>
        <w:br w:type="page"/>
      </w:r>
    </w:p>
    <w:p>
      <w:pPr>
        <w:spacing w:before="40" w:after="60"/>
        <w:pBdr>
          <w:bottom w:val="single" w:sz="8" w:space="4" w:color="CBD5E1"/>
        </w:pBdr>
      </w:pPr>
      <w:r>
        <w:rPr>
          <w:b/>
          <w:color w:val="1E3A8A"/>
          <w:sz w:val="22"/>
        </w:rPr>
        <w:t>EDUCATIONAL TECHNOLOGY &amp; PLATFORMS DEVELOPMENT</w:t>
      </w:r>
    </w:p>
    <w:p>
      <w:pPr>
        <w:spacing w:before="40" w:after="40"/>
      </w:pPr>
      <w:r>
        <w:rPr>
          <w:b/>
          <w:color w:val="0F172A"/>
          <w:sz w:val="20"/>
        </w:rPr>
        <w:t xml:space="preserve">Educational Platforms Architect &amp; LMS Specialist </w:t>
      </w:r>
      <w:r>
        <w:rPr>
          <w:i/>
          <w:sz w:val="19"/>
        </w:rPr>
        <w:t xml:space="preserve">  |  Educational Centers &amp; Academic E-Learning (2021 – Present)</w:t>
      </w:r>
    </w:p>
    <w:p>
      <w:pPr>
        <w:pStyle w:val="ListBullet"/>
        <w:spacing w:after="40"/>
        <w:ind w:left="317"/>
      </w:pPr>
      <w:r>
        <w:rPr>
          <w:sz w:val="18"/>
        </w:rPr>
        <w:t>Educational Platform Development: Built and deployed customized digital learning management systems (LMS) and e-learning platforms for academic courses, supporting structured content delivery and student engagement.</w:t>
      </w:r>
    </w:p>
    <w:p>
      <w:pPr>
        <w:pStyle w:val="ListBullet"/>
        <w:spacing w:after="40"/>
        <w:ind w:left="317"/>
      </w:pPr>
      <w:r>
        <w:rPr>
          <w:sz w:val="18"/>
        </w:rPr>
        <w:t>Assessment Automation &amp; Interactive Quizzes: Engineered automated grading mechanisms, gamified diagnostic tests, and interactive review modules, providing students with immediate constructive feedback on science concepts.</w:t>
      </w:r>
    </w:p>
    <w:p>
      <w:pPr>
        <w:pStyle w:val="ListBullet"/>
        <w:spacing w:after="40"/>
        <w:ind w:left="317"/>
      </w:pPr>
      <w:r>
        <w:rPr>
          <w:sz w:val="18"/>
        </w:rPr>
        <w:t>Learning Analytics &amp; Student Tracking: Configured student progress analytics dashboards to track attendance, homework submission, and quiz performance, enabling proactive, data-informed pedagogical interventions.</w:t>
      </w:r>
    </w:p>
    <w:p>
      <w:pPr>
        <w:pStyle w:val="ListBullet"/>
        <w:spacing w:after="40"/>
        <w:ind w:left="317"/>
      </w:pPr>
      <w:r>
        <w:rPr>
          <w:sz w:val="18"/>
        </w:rPr>
        <w:t>EdTech Integration &amp; Faculty Coaching: Embedded interactive simulations (PhET), digital laboratory models, and smart video resources into course curricula; trained colleagues on effectively leveraging digital classroom tools.</w:t>
      </w:r>
    </w:p>
    <w:p>
      <w:pPr>
        <w:spacing w:before="160" w:after="60"/>
        <w:pBdr>
          <w:bottom w:val="single" w:sz="8" w:space="4" w:color="CBD5E1"/>
        </w:pBdr>
      </w:pPr>
      <w:r>
        <w:rPr>
          <w:b/>
          <w:color w:val="1E3A8A"/>
          <w:sz w:val="22"/>
        </w:rPr>
        <w:t>TEACHING PHILOSOPHY &amp; INSTRUCTIONAL METHODOLOGY</w:t>
      </w:r>
    </w:p>
    <w:p>
      <w:pPr>
        <w:spacing w:after="40"/>
      </w:pPr>
      <w:r>
        <w:rPr>
          <w:sz w:val="19"/>
        </w:rPr>
        <w:t>I view science not as a collection of static facts, but as an active, inquiry-based framework for exploring our world. My teaching approach centers on three fundamental principles:</w:t>
        <w:br/>
      </w:r>
    </w:p>
    <w:p>
      <w:pPr>
        <w:pStyle w:val="ListBullet"/>
        <w:spacing w:after="40"/>
        <w:ind w:left="317"/>
      </w:pPr>
      <w:r>
        <w:rPr>
          <w:b/>
          <w:color w:val="0F172A"/>
          <w:sz w:val="19"/>
        </w:rPr>
        <w:t xml:space="preserve">Inquiry &amp; Hands-on Discovery: </w:t>
      </w:r>
      <w:r>
        <w:rPr>
          <w:sz w:val="19"/>
        </w:rPr>
        <w:t>Guiding students to ask thoughtful questions, formulate testable hypotheses, conduct empirical experiments, and construct meaningful scientific conclusions.</w:t>
      </w:r>
    </w:p>
    <w:p>
      <w:pPr>
        <w:pStyle w:val="ListBullet"/>
        <w:spacing w:after="40"/>
        <w:ind w:left="317"/>
      </w:pPr>
      <w:r>
        <w:rPr>
          <w:b/>
          <w:color w:val="0F172A"/>
          <w:sz w:val="19"/>
        </w:rPr>
        <w:t xml:space="preserve">Differentiated &amp; Inclusive Learning: </w:t>
      </w:r>
      <w:r>
        <w:rPr>
          <w:sz w:val="19"/>
        </w:rPr>
        <w:t>Scaffolding instruction through visual, auditory, and kinesthetic pathways to ensure all learners—regardless of academic starting point—attain mastery.</w:t>
      </w:r>
    </w:p>
    <w:p>
      <w:pPr>
        <w:pStyle w:val="ListBullet"/>
        <w:spacing w:after="40"/>
        <w:ind w:left="317"/>
      </w:pPr>
      <w:r>
        <w:rPr>
          <w:b/>
          <w:color w:val="0F172A"/>
          <w:sz w:val="19"/>
        </w:rPr>
        <w:t xml:space="preserve">EdTech-Enhanced Understanding: </w:t>
      </w:r>
      <w:r>
        <w:rPr>
          <w:sz w:val="19"/>
        </w:rPr>
        <w:t>Utilizing virtual simulations, interactive platforms, and real-time polling to bring microscopic molecular interactions and complex physics into clear, engaging view.</w:t>
      </w:r>
    </w:p>
    <w:p>
      <w:pPr>
        <w:spacing w:before="160" w:after="60"/>
        <w:pBdr>
          <w:bottom w:val="single" w:sz="8" w:space="4" w:color="CBD5E1"/>
        </w:pBdr>
      </w:pPr>
      <w:r>
        <w:rPr>
          <w:b/>
          <w:color w:val="1E3A8A"/>
          <w:sz w:val="22"/>
        </w:rPr>
        <w:t>PROFESSIONAL &amp; LEADERSHIP EXPERIENCE (TRANSFERABLE SKILLS)</w:t>
      </w:r>
    </w:p>
    <w:p>
      <w:pPr>
        <w:spacing w:before="40" w:after="40"/>
      </w:pPr>
      <w:r>
        <w:rPr>
          <w:b/>
          <w:color w:val="0F172A"/>
          <w:sz w:val="20"/>
        </w:rPr>
        <w:t>Strategic Planner &amp; Instructional Team Mentor</w:t>
      </w:r>
      <w:r>
        <w:rPr>
          <w:i/>
          <w:sz w:val="19"/>
        </w:rPr>
        <w:t xml:space="preserve">  |  iCONSULT / Vitagenn / Total Care (Egypt, UAE, KSA) (2021 – 2024)</w:t>
      </w:r>
    </w:p>
    <w:p>
      <w:pPr>
        <w:pStyle w:val="ListBullet"/>
        <w:spacing w:after="40"/>
        <w:ind w:left="317"/>
      </w:pPr>
      <w:r>
        <w:rPr>
          <w:sz w:val="18"/>
        </w:rPr>
        <w:t>Mentorship &amp; Workshop Delivery: Led onboarding and training workshops for junior team members, fostering structured problem-solving, collaborative execution, and clear instructional communication.</w:t>
      </w:r>
    </w:p>
    <w:p>
      <w:pPr>
        <w:pStyle w:val="ListBullet"/>
        <w:spacing w:after="40"/>
        <w:ind w:left="317"/>
      </w:pPr>
      <w:r>
        <w:rPr>
          <w:sz w:val="18"/>
        </w:rPr>
        <w:t>Scientific &amp; Educational Content Design: Created structured instructional presentations and visual learning aids for medical and scientific topics, translating intricate technical data into intuitive educational formats.</w:t>
      </w:r>
    </w:p>
    <w:p>
      <w:pPr>
        <w:pStyle w:val="ListBullet"/>
        <w:spacing w:after="40"/>
        <w:ind w:left="317"/>
      </w:pPr>
      <w:r>
        <w:rPr>
          <w:sz w:val="18"/>
        </w:rPr>
        <w:t>Data-Driven Continuous Improvement: Analyzed user behavior, performance indicators, and engagement metrics to adapt delivery methods—transferring directly into academic analytics and student performance tracking.</w:t>
      </w:r>
    </w:p>
    <w:p>
      <w:pPr>
        <w:spacing w:before="160" w:after="60"/>
        <w:pBdr>
          <w:bottom w:val="single" w:sz="8" w:space="4" w:color="CBD5E1"/>
        </w:pBdr>
      </w:pPr>
      <w:r>
        <w:rPr>
          <w:b/>
          <w:color w:val="1E3A8A"/>
          <w:sz w:val="22"/>
        </w:rPr>
        <w:t>EDTECH &amp; SCIENTIFIC LABORATORY PROFICIENCY</w:t>
      </w:r>
    </w:p>
    <w:p>
      <w:pPr>
        <w:pStyle w:val="ListBullet"/>
        <w:spacing w:after="40"/>
        <w:ind w:left="317"/>
      </w:pPr>
      <w:r>
        <w:rPr>
          <w:b/>
          <w:color w:val="0F172A"/>
          <w:sz w:val="19"/>
        </w:rPr>
        <w:t xml:space="preserve">Learning Platforms &amp; LMS: </w:t>
      </w:r>
      <w:r>
        <w:rPr>
          <w:sz w:val="19"/>
        </w:rPr>
        <w:t>Custom Educational Platforms, Google Classroom, Microsoft Teams for Education, Canvas, Moodle.</w:t>
      </w:r>
    </w:p>
    <w:p>
      <w:pPr>
        <w:pStyle w:val="ListBullet"/>
        <w:spacing w:after="40"/>
        <w:ind w:left="317"/>
      </w:pPr>
      <w:r>
        <w:rPr>
          <w:b/>
          <w:color w:val="0F172A"/>
          <w:sz w:val="19"/>
        </w:rPr>
        <w:t xml:space="preserve">STEM Interactive Tools: </w:t>
      </w:r>
      <w:r>
        <w:rPr>
          <w:sz w:val="19"/>
        </w:rPr>
        <w:t>PhET Interactive Simulations (University of Colorado), ChemCollective, Virtual Labs, Molecular Workbench.</w:t>
      </w:r>
    </w:p>
    <w:p>
      <w:pPr>
        <w:pStyle w:val="ListBullet"/>
        <w:spacing w:after="40"/>
        <w:ind w:left="317"/>
      </w:pPr>
      <w:r>
        <w:rPr>
          <w:b/>
          <w:color w:val="0F172A"/>
          <w:sz w:val="19"/>
        </w:rPr>
        <w:t xml:space="preserve">Assessment &amp; Gamification: </w:t>
      </w:r>
      <w:r>
        <w:rPr>
          <w:sz w:val="19"/>
        </w:rPr>
        <w:t>Kahoot!, Quizizz, Nearpod, Edpuzzle, Diagnostic Google Forms &amp; Exit Tickets.</w:t>
      </w:r>
    </w:p>
    <w:p>
      <w:pPr>
        <w:pStyle w:val="ListBullet"/>
        <w:spacing w:after="40"/>
        <w:ind w:left="317"/>
      </w:pPr>
      <w:r>
        <w:rPr>
          <w:b/>
          <w:color w:val="0F172A"/>
          <w:sz w:val="19"/>
        </w:rPr>
        <w:t xml:space="preserve">Laboratory Safety &amp; Apparatus: </w:t>
      </w:r>
      <w:r>
        <w:rPr>
          <w:sz w:val="19"/>
        </w:rPr>
        <w:t>Chemical hazard protocols (MSDS/COSHH), standard glassware, titration, microscopy, risk management.</w:t>
      </w:r>
    </w:p>
    <w:p>
      <w:pPr>
        <w:spacing w:before="160" w:after="60"/>
        <w:pBdr>
          <w:bottom w:val="single" w:sz="8" w:space="4" w:color="CBD5E1"/>
        </w:pBdr>
      </w:pPr>
      <w:r>
        <w:rPr>
          <w:b/>
          <w:color w:val="1E3A8A"/>
          <w:sz w:val="22"/>
        </w:rPr>
        <w:t>LANGUAGES &amp; REFERENCES</w:t>
      </w:r>
    </w:p>
    <w:p>
      <w:pPr>
        <w:spacing w:before="40" w:after="40"/>
      </w:pPr>
      <w:r>
        <w:rPr>
          <w:b/>
          <w:color w:val="0F172A"/>
          <w:sz w:val="19"/>
        </w:rPr>
        <w:t xml:space="preserve">Languages: </w:t>
      </w:r>
      <w:r>
        <w:rPr>
          <w:sz w:val="19"/>
        </w:rPr>
        <w:t>English (Fluent / Full Professional Classroom Instruction)  •  Arabic (Native Language)</w:t>
        <w:br/>
      </w:r>
      <w:r>
        <w:rPr>
          <w:b/>
          <w:color w:val="0F172A"/>
          <w:sz w:val="19"/>
        </w:rPr>
        <w:t xml:space="preserve">References: </w:t>
      </w:r>
      <w:r>
        <w:rPr>
          <w:sz w:val="19"/>
        </w:rPr>
        <w:t>Professional references, teaching portfolios, and academic qualification transcripts available upon request.</w:t>
      </w:r>
    </w:p>
    <w:sectPr w:rsidR="00FC693F" w:rsidRPr="0006063C"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40" w:before="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