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Outfit" w:hAnsi="Outfit"/>
          <w:b/>
          <w:color w:val="1E293B"/>
          <w:sz w:val="40"/>
        </w:rPr>
        <w:t>Five Hills — Real Estate</w:t>
        <w:br/>
      </w:r>
      <w:r>
        <w:rPr>
          <w:rFonts w:ascii="Outfit" w:hAnsi="Outfit"/>
          <w:b w:val="0"/>
          <w:color w:val="64748B"/>
          <w:sz w:val="28"/>
        </w:rPr>
        <w:t>Paid Advertising Campaigns Performance Analysis Report</w:t>
        <w:br/>
        <w:t>&amp; Organic Facebook Page Content — UAE Market</w:t>
      </w:r>
    </w:p>
    <w:p>
      <w:pPr>
        <w:spacing w:after="400"/>
        <w:jc w:val="center"/>
      </w:pPr>
      <w:r>
        <w:rPr>
          <w:i/>
          <w:sz w:val="20"/>
        </w:rPr>
        <w:t>Report Coverage Period: June 1 — 21, 2026</w:t>
        <w:br/>
        <w:t>Total Ad Spend: 241.49 AED  |  Duration: 21 Days  |  2 Active Campaigns</w:t>
      </w:r>
    </w:p>
    <w:p>
      <w:pPr>
        <w:pStyle w:val="Heading1"/>
      </w:pPr>
      <w:r>
        <w:t>1. Executive Summary</w:t>
      </w:r>
    </w:p>
    <w:p>
      <w:r>
        <w:t>During the period from June 1 to 21, 2026, two paid advertising campaigns were run on Meta with a very modest total budget of 241.49 AED (with a daily rate not exceeding ~11.5 AED), along with significant organic activity on the Facebook page. The preliminary results are encouraging in terms of cost, but the current spending volume is too small to draw definitive statistical conclusions — a key point to keep in mind when reading all the numbers below.</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fill="B58D24"/>
            <w:tcMar>
              <w:top w:w="100" w:type="dxa"/>
              <w:bottom w:w="100" w:type="dxa"/>
              <w:left w:w="150" w:type="dxa"/>
              <w:right w:w="150" w:type="dxa"/>
            </w:tcMar>
          </w:tcPr>
          <w:p>
            <w:r>
              <w:rPr>
                <w:b/>
                <w:color w:val="FFFFFF"/>
              </w:rPr>
              <w:t>Campaign</w:t>
            </w:r>
          </w:p>
        </w:tc>
        <w:tc>
          <w:tcPr>
            <w:tcW w:type="dxa" w:w="1872"/>
            <w:shd w:fill="B58D24"/>
            <w:tcMar>
              <w:top w:w="100" w:type="dxa"/>
              <w:bottom w:w="100" w:type="dxa"/>
              <w:left w:w="150" w:type="dxa"/>
              <w:right w:w="150" w:type="dxa"/>
            </w:tcMar>
          </w:tcPr>
          <w:p>
            <w:r>
              <w:rPr>
                <w:b/>
                <w:color w:val="FFFFFF"/>
              </w:rPr>
              <w:t>Objective</w:t>
            </w:r>
          </w:p>
        </w:tc>
        <w:tc>
          <w:tcPr>
            <w:tcW w:type="dxa" w:w="1872"/>
            <w:shd w:fill="B58D24"/>
            <w:tcMar>
              <w:top w:w="100" w:type="dxa"/>
              <w:bottom w:w="100" w:type="dxa"/>
              <w:left w:w="150" w:type="dxa"/>
              <w:right w:w="150" w:type="dxa"/>
            </w:tcMar>
          </w:tcPr>
          <w:p>
            <w:r>
              <w:rPr>
                <w:b/>
                <w:color w:val="FFFFFF"/>
              </w:rPr>
              <w:t>Spend</w:t>
            </w:r>
          </w:p>
        </w:tc>
        <w:tc>
          <w:tcPr>
            <w:tcW w:type="dxa" w:w="1872"/>
            <w:shd w:fill="B58D24"/>
            <w:tcMar>
              <w:top w:w="100" w:type="dxa"/>
              <w:bottom w:w="100" w:type="dxa"/>
              <w:left w:w="150" w:type="dxa"/>
              <w:right w:w="150" w:type="dxa"/>
            </w:tcMar>
          </w:tcPr>
          <w:p>
            <w:r>
              <w:rPr>
                <w:b/>
                <w:color w:val="FFFFFF"/>
              </w:rPr>
              <w:t>Results</w:t>
            </w:r>
          </w:p>
        </w:tc>
        <w:tc>
          <w:tcPr>
            <w:tcW w:type="dxa" w:w="1872"/>
            <w:shd w:fill="B58D24"/>
            <w:tcMar>
              <w:top w:w="100" w:type="dxa"/>
              <w:bottom w:w="100" w:type="dxa"/>
              <w:left w:w="150" w:type="dxa"/>
              <w:right w:w="150" w:type="dxa"/>
            </w:tcMar>
          </w:tcPr>
          <w:p>
            <w:r>
              <w:rPr>
                <w:b/>
                <w:color w:val="FFFFFF"/>
              </w:rPr>
              <w:t>Cost per Result</w:t>
            </w:r>
          </w:p>
        </w:tc>
      </w:tr>
      <w:tr>
        <w:tc>
          <w:tcPr>
            <w:tcW w:type="dxa" w:w="1872"/>
            <w:tcMar>
              <w:top w:w="100" w:type="dxa"/>
              <w:bottom w:w="100" w:type="dxa"/>
              <w:left w:w="150" w:type="dxa"/>
              <w:right w:w="150" w:type="dxa"/>
            </w:tcMar>
          </w:tcPr>
          <w:p>
            <w:r>
              <w:t>First Ad Month 6</w:t>
            </w:r>
          </w:p>
        </w:tc>
        <w:tc>
          <w:tcPr>
            <w:tcW w:type="dxa" w:w="1872"/>
            <w:tcMar>
              <w:top w:w="100" w:type="dxa"/>
              <w:bottom w:w="100" w:type="dxa"/>
              <w:left w:w="150" w:type="dxa"/>
              <w:right w:w="150" w:type="dxa"/>
            </w:tcMar>
          </w:tcPr>
          <w:p>
            <w:r>
              <w:t>Conversations (Leads)</w:t>
            </w:r>
          </w:p>
        </w:tc>
        <w:tc>
          <w:tcPr>
            <w:tcW w:type="dxa" w:w="1872"/>
            <w:tcMar>
              <w:top w:w="100" w:type="dxa"/>
              <w:bottom w:w="100" w:type="dxa"/>
              <w:left w:w="150" w:type="dxa"/>
              <w:right w:w="150" w:type="dxa"/>
            </w:tcMar>
          </w:tcPr>
          <w:p>
            <w:r>
              <w:t>156.99 AED</w:t>
            </w:r>
          </w:p>
        </w:tc>
        <w:tc>
          <w:tcPr>
            <w:tcW w:type="dxa" w:w="1872"/>
            <w:tcMar>
              <w:top w:w="100" w:type="dxa"/>
              <w:bottom w:w="100" w:type="dxa"/>
              <w:left w:w="150" w:type="dxa"/>
              <w:right w:w="150" w:type="dxa"/>
            </w:tcMar>
          </w:tcPr>
          <w:p>
            <w:r>
              <w:t>30 conversations</w:t>
            </w:r>
          </w:p>
        </w:tc>
        <w:tc>
          <w:tcPr>
            <w:tcW w:type="dxa" w:w="1872"/>
            <w:tcMar>
              <w:top w:w="100" w:type="dxa"/>
              <w:bottom w:w="100" w:type="dxa"/>
              <w:left w:w="150" w:type="dxa"/>
              <w:right w:w="150" w:type="dxa"/>
            </w:tcMar>
          </w:tcPr>
          <w:p>
            <w:r>
              <w:t>5.23 AED</w:t>
            </w:r>
          </w:p>
        </w:tc>
      </w:tr>
      <w:tr>
        <w:tc>
          <w:tcPr>
            <w:tcW w:type="dxa" w:w="1872"/>
            <w:tcMar>
              <w:top w:w="100" w:type="dxa"/>
              <w:bottom w:w="100" w:type="dxa"/>
              <w:left w:w="150" w:type="dxa"/>
              <w:right w:w="150" w:type="dxa"/>
            </w:tcMar>
            <w:shd w:fill="F8FAFC"/>
          </w:tcPr>
          <w:p>
            <w:r>
              <w:t>Engagement Ad</w:t>
            </w:r>
          </w:p>
        </w:tc>
        <w:tc>
          <w:tcPr>
            <w:tcW w:type="dxa" w:w="1872"/>
            <w:tcMar>
              <w:top w:w="100" w:type="dxa"/>
              <w:bottom w:w="100" w:type="dxa"/>
              <w:left w:w="150" w:type="dxa"/>
              <w:right w:w="150" w:type="dxa"/>
            </w:tcMar>
            <w:shd w:fill="F8FAFC"/>
          </w:tcPr>
          <w:p>
            <w:r>
              <w:t>Engagement (Likes)</w:t>
            </w:r>
          </w:p>
        </w:tc>
        <w:tc>
          <w:tcPr>
            <w:tcW w:type="dxa" w:w="1872"/>
            <w:tcMar>
              <w:top w:w="100" w:type="dxa"/>
              <w:bottom w:w="100" w:type="dxa"/>
              <w:left w:w="150" w:type="dxa"/>
              <w:right w:w="150" w:type="dxa"/>
            </w:tcMar>
            <w:shd w:fill="F8FAFC"/>
          </w:tcPr>
          <w:p>
            <w:r>
              <w:t>84.50 AED</w:t>
            </w:r>
          </w:p>
        </w:tc>
        <w:tc>
          <w:tcPr>
            <w:tcW w:type="dxa" w:w="1872"/>
            <w:tcMar>
              <w:top w:w="100" w:type="dxa"/>
              <w:bottom w:w="100" w:type="dxa"/>
              <w:left w:w="150" w:type="dxa"/>
              <w:right w:w="150" w:type="dxa"/>
            </w:tcMar>
            <w:shd w:fill="F8FAFC"/>
          </w:tcPr>
          <w:p>
            <w:r>
              <w:t>177 likes</w:t>
            </w:r>
          </w:p>
        </w:tc>
        <w:tc>
          <w:tcPr>
            <w:tcW w:type="dxa" w:w="1872"/>
            <w:tcMar>
              <w:top w:w="100" w:type="dxa"/>
              <w:bottom w:w="100" w:type="dxa"/>
              <w:left w:w="150" w:type="dxa"/>
              <w:right w:w="150" w:type="dxa"/>
            </w:tcMar>
            <w:shd w:fill="F8FAFC"/>
          </w:tcPr>
          <w:p>
            <w:r>
              <w:t>0.48 AED</w:t>
            </w:r>
          </w:p>
        </w:tc>
      </w:tr>
    </w:tbl>
    <w:p>
      <w:pPr>
        <w:spacing w:before="200" w:after="400"/>
      </w:pPr>
      <w:r>
        <w:rPr>
          <w:b/>
        </w:rPr>
        <w:t>Key Conclusion: The 'First Ad Month 6' campaign is the only one producing activity close to real real estate leads (starting a conversation), while the 'Engagement Ad' campaign is very cheap in cost but optimizes for 'Facebook page likes' only — a metric that does not sell apartments or book viewings directly. Full details and recommendations are in the following sections.</w:t>
      </w:r>
    </w:p>
    <w:p>
      <w:pPr>
        <w:pStyle w:val="Heading1"/>
      </w:pPr>
      <w:r>
        <w:t>2. Account Overview</w:t>
      </w:r>
    </w:p>
    <w:p>
      <w:pPr>
        <w:pStyle w:val="Heading2"/>
      </w:pPr>
      <w:r>
        <w:t>2.1 Paid Performance — 21 Days Total</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1E293B"/>
            <w:tcMar>
              <w:top w:w="100" w:type="dxa"/>
              <w:bottom w:w="100" w:type="dxa"/>
              <w:left w:w="150" w:type="dxa"/>
              <w:right w:w="150" w:type="dxa"/>
            </w:tcMar>
          </w:tcPr>
          <w:p>
            <w:r>
              <w:rPr>
                <w:b/>
                <w:color w:val="FFFFFF"/>
              </w:rPr>
              <w:t>Metric</w:t>
            </w:r>
          </w:p>
        </w:tc>
        <w:tc>
          <w:tcPr>
            <w:tcW w:type="dxa" w:w="1560"/>
            <w:shd w:fill="1E293B"/>
            <w:tcMar>
              <w:top w:w="100" w:type="dxa"/>
              <w:bottom w:w="100" w:type="dxa"/>
              <w:left w:w="150" w:type="dxa"/>
              <w:right w:w="150" w:type="dxa"/>
            </w:tcMar>
          </w:tcPr>
          <w:p>
            <w:r>
              <w:rPr>
                <w:b/>
                <w:color w:val="FFFFFF"/>
              </w:rPr>
              <w:t>Reach</w:t>
            </w:r>
          </w:p>
        </w:tc>
        <w:tc>
          <w:tcPr>
            <w:tcW w:type="dxa" w:w="1560"/>
            <w:shd w:fill="1E293B"/>
            <w:tcMar>
              <w:top w:w="100" w:type="dxa"/>
              <w:bottom w:w="100" w:type="dxa"/>
              <w:left w:w="150" w:type="dxa"/>
              <w:right w:w="150" w:type="dxa"/>
            </w:tcMar>
          </w:tcPr>
          <w:p>
            <w:r>
              <w:rPr>
                <w:b/>
                <w:color w:val="FFFFFF"/>
              </w:rPr>
              <w:t>Impressions</w:t>
            </w:r>
          </w:p>
        </w:tc>
        <w:tc>
          <w:tcPr>
            <w:tcW w:type="dxa" w:w="1560"/>
            <w:shd w:fill="1E293B"/>
            <w:tcMar>
              <w:top w:w="100" w:type="dxa"/>
              <w:bottom w:w="100" w:type="dxa"/>
              <w:left w:w="150" w:type="dxa"/>
              <w:right w:w="150" w:type="dxa"/>
            </w:tcMar>
          </w:tcPr>
          <w:p>
            <w:r>
              <w:rPr>
                <w:b/>
                <w:color w:val="FFFFFF"/>
              </w:rPr>
              <w:t>Frequency</w:t>
            </w:r>
          </w:p>
        </w:tc>
        <w:tc>
          <w:tcPr>
            <w:tcW w:type="dxa" w:w="1560"/>
            <w:shd w:fill="1E293B"/>
            <w:tcMar>
              <w:top w:w="100" w:type="dxa"/>
              <w:bottom w:w="100" w:type="dxa"/>
              <w:left w:w="150" w:type="dxa"/>
              <w:right w:w="150" w:type="dxa"/>
            </w:tcMar>
          </w:tcPr>
          <w:p>
            <w:r>
              <w:rPr>
                <w:b/>
                <w:color w:val="FFFFFF"/>
              </w:rPr>
              <w:t>CPM</w:t>
            </w:r>
          </w:p>
        </w:tc>
        <w:tc>
          <w:tcPr>
            <w:tcW w:type="dxa" w:w="1560"/>
            <w:shd w:fill="1E293B"/>
            <w:tcMar>
              <w:top w:w="100" w:type="dxa"/>
              <w:bottom w:w="100" w:type="dxa"/>
              <w:left w:w="150" w:type="dxa"/>
              <w:right w:w="150" w:type="dxa"/>
            </w:tcMar>
          </w:tcPr>
          <w:p>
            <w:r>
              <w:rPr>
                <w:b/>
                <w:color w:val="FFFFFF"/>
              </w:rPr>
              <w:t>CPC</w:t>
            </w:r>
          </w:p>
        </w:tc>
      </w:tr>
      <w:tr>
        <w:tc>
          <w:tcPr>
            <w:tcW w:type="dxa" w:w="1560"/>
            <w:tcMar>
              <w:top w:w="100" w:type="dxa"/>
              <w:bottom w:w="100" w:type="dxa"/>
              <w:left w:w="150" w:type="dxa"/>
              <w:right w:w="150" w:type="dxa"/>
            </w:tcMar>
          </w:tcPr>
          <w:p>
            <w:r>
              <w:t>Grand Total</w:t>
            </w:r>
          </w:p>
        </w:tc>
        <w:tc>
          <w:tcPr>
            <w:tcW w:type="dxa" w:w="1560"/>
            <w:tcMar>
              <w:top w:w="100" w:type="dxa"/>
              <w:bottom w:w="100" w:type="dxa"/>
              <w:left w:w="150" w:type="dxa"/>
              <w:right w:w="150" w:type="dxa"/>
            </w:tcMar>
          </w:tcPr>
          <w:p>
            <w:r>
              <w:t>4,202</w:t>
            </w:r>
          </w:p>
        </w:tc>
        <w:tc>
          <w:tcPr>
            <w:tcW w:type="dxa" w:w="1560"/>
            <w:tcMar>
              <w:top w:w="100" w:type="dxa"/>
              <w:bottom w:w="100" w:type="dxa"/>
              <w:left w:w="150" w:type="dxa"/>
              <w:right w:w="150" w:type="dxa"/>
            </w:tcMar>
          </w:tcPr>
          <w:p>
            <w:r>
              <w:t>6,904</w:t>
            </w:r>
          </w:p>
        </w:tc>
        <w:tc>
          <w:tcPr>
            <w:tcW w:type="dxa" w:w="1560"/>
            <w:tcMar>
              <w:top w:w="100" w:type="dxa"/>
              <w:bottom w:w="100" w:type="dxa"/>
              <w:left w:w="150" w:type="dxa"/>
              <w:right w:w="150" w:type="dxa"/>
            </w:tcMar>
          </w:tcPr>
          <w:p>
            <w:r>
              <w:t>1.73</w:t>
            </w:r>
          </w:p>
        </w:tc>
        <w:tc>
          <w:tcPr>
            <w:tcW w:type="dxa" w:w="1560"/>
            <w:tcMar>
              <w:top w:w="100" w:type="dxa"/>
              <w:bottom w:w="100" w:type="dxa"/>
              <w:left w:w="150" w:type="dxa"/>
              <w:right w:w="150" w:type="dxa"/>
            </w:tcMar>
          </w:tcPr>
          <w:p>
            <w:r>
              <w:t>34.98 AED</w:t>
            </w:r>
          </w:p>
        </w:tc>
        <w:tc>
          <w:tcPr>
            <w:tcW w:type="dxa" w:w="1560"/>
            <w:tcMar>
              <w:top w:w="100" w:type="dxa"/>
              <w:bottom w:w="100" w:type="dxa"/>
              <w:left w:w="150" w:type="dxa"/>
              <w:right w:w="150" w:type="dxa"/>
            </w:tcMar>
          </w:tcPr>
          <w:p>
            <w:r>
              <w:t>9.66 AED</w:t>
            </w:r>
          </w:p>
        </w:tc>
      </w:tr>
    </w:tbl>
    <w:p>
      <w:pPr>
        <w:spacing w:after="400"/>
      </w:pPr>
      <w:r>
        <w:rPr>
          <w:i/>
          <w:sz w:val="18"/>
        </w:rPr>
        <w:t>CPM = Cost per thousand impressions  |  CPC = Cost per external outbound click</w:t>
      </w:r>
    </w:p>
    <w:p>
      <w:pPr>
        <w:pStyle w:val="Heading2"/>
      </w:pPr>
      <w:r>
        <w:t>2.2 Organic Facebook Page Performance — Last 28 Days (May 24 – June 20)</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E293B"/>
            <w:tcMar>
              <w:top w:w="100" w:type="dxa"/>
              <w:bottom w:w="100" w:type="dxa"/>
              <w:left w:w="150" w:type="dxa"/>
              <w:right w:w="150" w:type="dxa"/>
            </w:tcMar>
          </w:tcPr>
          <w:p>
            <w:r>
              <w:rPr>
                <w:b/>
                <w:color w:val="FFFFFF"/>
              </w:rPr>
              <w:t>Metric</w:t>
            </w:r>
          </w:p>
        </w:tc>
        <w:tc>
          <w:tcPr>
            <w:tcW w:type="dxa" w:w="3120"/>
            <w:shd w:fill="1E293B"/>
            <w:tcMar>
              <w:top w:w="100" w:type="dxa"/>
              <w:bottom w:w="100" w:type="dxa"/>
              <w:left w:w="150" w:type="dxa"/>
              <w:right w:w="150" w:type="dxa"/>
            </w:tcMar>
          </w:tcPr>
          <w:p>
            <w:r>
              <w:rPr>
                <w:b/>
                <w:color w:val="FFFFFF"/>
              </w:rPr>
              <w:t>Value</w:t>
            </w:r>
          </w:p>
        </w:tc>
        <w:tc>
          <w:tcPr>
            <w:tcW w:type="dxa" w:w="3120"/>
            <w:shd w:fill="1E293B"/>
            <w:tcMar>
              <w:top w:w="100" w:type="dxa"/>
              <w:bottom w:w="100" w:type="dxa"/>
              <w:left w:w="150" w:type="dxa"/>
              <w:right w:w="150" w:type="dxa"/>
            </w:tcMar>
          </w:tcPr>
          <w:p>
            <w:r>
              <w:rPr>
                <w:b/>
                <w:color w:val="FFFFFF"/>
              </w:rPr>
              <w:t>Growth Rate</w:t>
            </w:r>
          </w:p>
        </w:tc>
      </w:tr>
      <w:tr>
        <w:tc>
          <w:tcPr>
            <w:tcW w:type="dxa" w:w="3120"/>
            <w:tcMar>
              <w:top w:w="100" w:type="dxa"/>
              <w:bottom w:w="100" w:type="dxa"/>
              <w:left w:w="150" w:type="dxa"/>
              <w:right w:w="150" w:type="dxa"/>
            </w:tcMar>
          </w:tcPr>
          <w:p>
            <w:r>
              <w:t>Views</w:t>
            </w:r>
          </w:p>
        </w:tc>
        <w:tc>
          <w:tcPr>
            <w:tcW w:type="dxa" w:w="3120"/>
            <w:tcMar>
              <w:top w:w="100" w:type="dxa"/>
              <w:bottom w:w="100" w:type="dxa"/>
              <w:left w:w="150" w:type="dxa"/>
              <w:right w:w="150" w:type="dxa"/>
            </w:tcMar>
          </w:tcPr>
          <w:p>
            <w:r>
              <w:t>10,056</w:t>
            </w:r>
          </w:p>
        </w:tc>
        <w:tc>
          <w:tcPr>
            <w:tcW w:type="dxa" w:w="3120"/>
            <w:tcMar>
              <w:top w:w="100" w:type="dxa"/>
              <w:bottom w:w="100" w:type="dxa"/>
              <w:left w:w="150" w:type="dxa"/>
              <w:right w:w="150" w:type="dxa"/>
            </w:tcMar>
          </w:tcPr>
          <w:p>
            <w:r>
              <w:t>+1,543%</w:t>
            </w:r>
          </w:p>
        </w:tc>
      </w:tr>
      <w:tr>
        <w:tc>
          <w:tcPr>
            <w:tcW w:type="dxa" w:w="3120"/>
            <w:tcMar>
              <w:top w:w="100" w:type="dxa"/>
              <w:bottom w:w="100" w:type="dxa"/>
              <w:left w:w="150" w:type="dxa"/>
              <w:right w:w="150" w:type="dxa"/>
            </w:tcMar>
            <w:shd w:fill="F8FAFC"/>
          </w:tcPr>
          <w:p>
            <w:r>
              <w:t>Engagement</w:t>
            </w:r>
          </w:p>
        </w:tc>
        <w:tc>
          <w:tcPr>
            <w:tcW w:type="dxa" w:w="3120"/>
            <w:tcMar>
              <w:top w:w="100" w:type="dxa"/>
              <w:bottom w:w="100" w:type="dxa"/>
              <w:left w:w="150" w:type="dxa"/>
              <w:right w:w="150" w:type="dxa"/>
            </w:tcMar>
            <w:shd w:fill="F8FAFC"/>
          </w:tcPr>
          <w:p>
            <w:r>
              <w:t>432</w:t>
            </w:r>
          </w:p>
        </w:tc>
        <w:tc>
          <w:tcPr>
            <w:tcW w:type="dxa" w:w="3120"/>
            <w:tcMar>
              <w:top w:w="100" w:type="dxa"/>
              <w:bottom w:w="100" w:type="dxa"/>
              <w:left w:w="150" w:type="dxa"/>
              <w:right w:w="150" w:type="dxa"/>
            </w:tcMar>
            <w:shd w:fill="F8FAFC"/>
          </w:tcPr>
          <w:p>
            <w:r>
              <w:t>+222.4%</w:t>
            </w:r>
          </w:p>
        </w:tc>
      </w:tr>
      <w:tr>
        <w:tc>
          <w:tcPr>
            <w:tcW w:type="dxa" w:w="3120"/>
            <w:tcMar>
              <w:top w:w="100" w:type="dxa"/>
              <w:bottom w:w="100" w:type="dxa"/>
              <w:left w:w="150" w:type="dxa"/>
              <w:right w:w="150" w:type="dxa"/>
            </w:tcMar>
          </w:tcPr>
          <w:p>
            <w:r>
              <w:t>Followers</w:t>
            </w:r>
          </w:p>
        </w:tc>
        <w:tc>
          <w:tcPr>
            <w:tcW w:type="dxa" w:w="3120"/>
            <w:tcMar>
              <w:top w:w="100" w:type="dxa"/>
              <w:bottom w:w="100" w:type="dxa"/>
              <w:left w:w="150" w:type="dxa"/>
              <w:right w:w="150" w:type="dxa"/>
            </w:tcMar>
          </w:tcPr>
          <w:p>
            <w:r>
              <w:t>189</w:t>
            </w:r>
          </w:p>
        </w:tc>
        <w:tc>
          <w:tcPr>
            <w:tcW w:type="dxa" w:w="3120"/>
            <w:tcMar>
              <w:top w:w="100" w:type="dxa"/>
              <w:bottom w:w="100" w:type="dxa"/>
              <w:left w:w="150" w:type="dxa"/>
              <w:right w:w="150" w:type="dxa"/>
            </w:tcMar>
          </w:tcPr>
          <w:p>
            <w:r>
              <w:t>+2,600%</w:t>
            </w:r>
          </w:p>
        </w:tc>
      </w:tr>
    </w:tbl>
    <w:p>
      <w:pPr>
        <w:spacing w:after="200"/>
      </w:pPr>
      <w:r>
        <w:rPr>
          <w:i/>
          <w:sz w:val="18"/>
        </w:rPr>
        <w:t>The percentage growth is huge, but it is calculated from a very low base (the page is in its early stages). These percentages should be read as a sign of positive direction, not actual volume.</w:t>
      </w:r>
    </w:p>
    <w:p>
      <w:pPr>
        <w:spacing w:after="400"/>
      </w:pPr>
      <w:r>
        <w:rPr>
          <w:i/>
          <w:sz w:val="20"/>
        </w:rPr>
        <w:t>Follower growth over the last 28 days — most of the growth started after mid-June</w:t>
      </w:r>
    </w:p>
    <w:p>
      <w:pPr>
        <w:pStyle w:val="Heading1"/>
      </w:pPr>
      <w:r>
        <w:t>3. Detailed Performance Analysis</w:t>
      </w:r>
    </w:p>
    <w:p>
      <w:pPr>
        <w:pStyle w:val="Heading2"/>
      </w:pPr>
      <w:r>
        <w:t>3.1 'First Ad Month 6' Campaign (Objective: Start Conversations)</w:t>
      </w:r>
    </w:p>
    <w:p>
      <w:r>
        <w:t>This campaign is closest to generating actual real estate leads, as its ads are optimized for 'Starting a Messenger conversation'. It spent 156.99 AED on 4,288 impressions, and achieved 30 conversations at an average cost of 5.23 AED per conversation — a very competitive figure for the UAE real estate market.</w:t>
      </w:r>
    </w:p>
    <w:p>
      <w:r>
        <w:rPr>
          <w:b/>
        </w:rPr>
        <w:t>Creative Design Comparison</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fill="1D293B"/>
            <w:tcMar>
              <w:top w:w="100" w:type="dxa"/>
              <w:bottom w:w="100" w:type="dxa"/>
              <w:left w:w="150" w:type="dxa"/>
              <w:right w:w="150" w:type="dxa"/>
            </w:tcMar>
          </w:tcPr>
          <w:p>
            <w:r>
              <w:rPr>
                <w:b/>
                <w:color w:val="FFFFFF"/>
              </w:rPr>
              <w:t>Creative</w:t>
            </w:r>
          </w:p>
        </w:tc>
        <w:tc>
          <w:tcPr>
            <w:tcW w:type="dxa" w:w="1872"/>
            <w:shd w:fill="1D293B"/>
            <w:tcMar>
              <w:top w:w="100" w:type="dxa"/>
              <w:bottom w:w="100" w:type="dxa"/>
              <w:left w:w="150" w:type="dxa"/>
              <w:right w:w="150" w:type="dxa"/>
            </w:tcMar>
          </w:tcPr>
          <w:p>
            <w:r>
              <w:rPr>
                <w:b/>
                <w:color w:val="FFFFFF"/>
              </w:rPr>
              <w:t>Spend</w:t>
            </w:r>
          </w:p>
        </w:tc>
        <w:tc>
          <w:tcPr>
            <w:tcW w:type="dxa" w:w="1872"/>
            <w:shd w:fill="1D293B"/>
            <w:tcMar>
              <w:top w:w="100" w:type="dxa"/>
              <w:bottom w:w="100" w:type="dxa"/>
              <w:left w:w="150" w:type="dxa"/>
              <w:right w:w="150" w:type="dxa"/>
            </w:tcMar>
          </w:tcPr>
          <w:p>
            <w:r>
              <w:rPr>
                <w:b/>
                <w:color w:val="FFFFFF"/>
              </w:rPr>
              <w:t>Conversations</w:t>
            </w:r>
          </w:p>
        </w:tc>
        <w:tc>
          <w:tcPr>
            <w:tcW w:type="dxa" w:w="1872"/>
            <w:shd w:fill="1D293B"/>
            <w:tcMar>
              <w:top w:w="100" w:type="dxa"/>
              <w:bottom w:w="100" w:type="dxa"/>
              <w:left w:w="150" w:type="dxa"/>
              <w:right w:w="150" w:type="dxa"/>
            </w:tcMar>
          </w:tcPr>
          <w:p>
            <w:r>
              <w:rPr>
                <w:b/>
                <w:color w:val="FFFFFF"/>
              </w:rPr>
              <w:t>Cost per Conversation</w:t>
            </w:r>
          </w:p>
        </w:tc>
        <w:tc>
          <w:tcPr>
            <w:tcW w:type="dxa" w:w="1872"/>
            <w:shd w:fill="1D293B"/>
            <w:tcMar>
              <w:top w:w="100" w:type="dxa"/>
              <w:bottom w:w="100" w:type="dxa"/>
              <w:left w:w="150" w:type="dxa"/>
              <w:right w:w="150" w:type="dxa"/>
            </w:tcMar>
          </w:tcPr>
          <w:p>
            <w:r>
              <w:rPr>
                <w:b/>
                <w:color w:val="FFFFFF"/>
              </w:rPr>
              <w:t>CTR</w:t>
            </w:r>
          </w:p>
        </w:tc>
      </w:tr>
      <w:tr>
        <w:tc>
          <w:tcPr>
            <w:tcW w:type="dxa" w:w="1872"/>
            <w:tcMar>
              <w:top w:w="100" w:type="dxa"/>
              <w:bottom w:w="100" w:type="dxa"/>
              <w:left w:w="150" w:type="dxa"/>
              <w:right w:w="150" w:type="dxa"/>
            </w:tcMar>
          </w:tcPr>
          <w:p>
            <w:r>
              <w:t>Carousel</w:t>
            </w:r>
          </w:p>
        </w:tc>
        <w:tc>
          <w:tcPr>
            <w:tcW w:type="dxa" w:w="1872"/>
            <w:tcMar>
              <w:top w:w="100" w:type="dxa"/>
              <w:bottom w:w="100" w:type="dxa"/>
              <w:left w:w="150" w:type="dxa"/>
              <w:right w:w="150" w:type="dxa"/>
            </w:tcMar>
          </w:tcPr>
          <w:p>
            <w:r>
              <w:t>107.63 AED</w:t>
            </w:r>
          </w:p>
        </w:tc>
        <w:tc>
          <w:tcPr>
            <w:tcW w:type="dxa" w:w="1872"/>
            <w:tcMar>
              <w:top w:w="100" w:type="dxa"/>
              <w:bottom w:w="100" w:type="dxa"/>
              <w:left w:w="150" w:type="dxa"/>
              <w:right w:w="150" w:type="dxa"/>
            </w:tcMar>
          </w:tcPr>
          <w:p>
            <w:r>
              <w:t>23</w:t>
            </w:r>
          </w:p>
        </w:tc>
        <w:tc>
          <w:tcPr>
            <w:tcW w:type="dxa" w:w="1872"/>
            <w:tcMar>
              <w:top w:w="100" w:type="dxa"/>
              <w:bottom w:w="100" w:type="dxa"/>
              <w:left w:w="150" w:type="dxa"/>
              <w:right w:w="150" w:type="dxa"/>
            </w:tcMar>
          </w:tcPr>
          <w:p>
            <w:r>
              <w:t>4.68 AED</w:t>
            </w:r>
          </w:p>
        </w:tc>
        <w:tc>
          <w:tcPr>
            <w:tcW w:type="dxa" w:w="1872"/>
            <w:tcMar>
              <w:top w:w="100" w:type="dxa"/>
              <w:bottom w:w="100" w:type="dxa"/>
              <w:left w:w="150" w:type="dxa"/>
              <w:right w:w="150" w:type="dxa"/>
            </w:tcMar>
          </w:tcPr>
          <w:p>
            <w:r>
              <w:t>0.90%</w:t>
            </w:r>
          </w:p>
        </w:tc>
      </w:tr>
      <w:tr>
        <w:tc>
          <w:tcPr>
            <w:tcW w:type="dxa" w:w="1872"/>
            <w:tcMar>
              <w:top w:w="100" w:type="dxa"/>
              <w:bottom w:w="100" w:type="dxa"/>
              <w:left w:w="150" w:type="dxa"/>
              <w:right w:w="150" w:type="dxa"/>
            </w:tcMar>
            <w:shd w:fill="F8FAFC"/>
          </w:tcPr>
          <w:p>
            <w:r>
              <w:t>Single Image</w:t>
            </w:r>
          </w:p>
        </w:tc>
        <w:tc>
          <w:tcPr>
            <w:tcW w:type="dxa" w:w="1872"/>
            <w:tcMar>
              <w:top w:w="100" w:type="dxa"/>
              <w:bottom w:w="100" w:type="dxa"/>
              <w:left w:w="150" w:type="dxa"/>
              <w:right w:w="150" w:type="dxa"/>
            </w:tcMar>
            <w:shd w:fill="F8FAFC"/>
          </w:tcPr>
          <w:p>
            <w:r>
              <w:t>49.36 AED</w:t>
            </w:r>
          </w:p>
        </w:tc>
        <w:tc>
          <w:tcPr>
            <w:tcW w:type="dxa" w:w="1872"/>
            <w:tcMar>
              <w:top w:w="100" w:type="dxa"/>
              <w:bottom w:w="100" w:type="dxa"/>
              <w:left w:w="150" w:type="dxa"/>
              <w:right w:w="150" w:type="dxa"/>
            </w:tcMar>
            <w:shd w:fill="F8FAFC"/>
          </w:tcPr>
          <w:p>
            <w:r>
              <w:t>7</w:t>
            </w:r>
          </w:p>
        </w:tc>
        <w:tc>
          <w:tcPr>
            <w:tcW w:type="dxa" w:w="1872"/>
            <w:tcMar>
              <w:top w:w="100" w:type="dxa"/>
              <w:bottom w:w="100" w:type="dxa"/>
              <w:left w:w="150" w:type="dxa"/>
              <w:right w:w="150" w:type="dxa"/>
            </w:tcMar>
            <w:shd w:fill="F8FAFC"/>
          </w:tcPr>
          <w:p>
            <w:r>
              <w:t>7.05 AED</w:t>
            </w:r>
          </w:p>
        </w:tc>
        <w:tc>
          <w:tcPr>
            <w:tcW w:type="dxa" w:w="1872"/>
            <w:tcMar>
              <w:top w:w="100" w:type="dxa"/>
              <w:bottom w:w="100" w:type="dxa"/>
              <w:left w:w="150" w:type="dxa"/>
              <w:right w:w="150" w:type="dxa"/>
            </w:tcMar>
            <w:shd w:fill="F8FAFC"/>
          </w:tcPr>
          <w:p>
            <w:r>
              <w:t>0.16%</w:t>
            </w:r>
          </w:p>
        </w:tc>
      </w:tr>
    </w:tbl>
    <w:p>
      <w:pPr>
        <w:spacing w:after="200"/>
      </w:pPr>
      <w:r>
        <w:rPr>
          <w:i/>
          <w:sz w:val="18"/>
        </w:rPr>
        <w:t>Note: The Carousel design is about 34% cheaper in cost per conversation, and its click-through rate (CTR) is 5.6 times higher than the single image. This is a clear and strong signal despite the small sample size.</w:t>
      </w:r>
    </w:p>
    <w:p>
      <w:r>
        <w:rPr>
          <w:b/>
        </w:rPr>
        <w:t>Performance by Age Group</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fill="1D293B"/>
            <w:tcMar>
              <w:top w:w="100" w:type="dxa"/>
              <w:bottom w:w="100" w:type="dxa"/>
              <w:left w:w="150" w:type="dxa"/>
              <w:right w:w="150" w:type="dxa"/>
            </w:tcMar>
          </w:tcPr>
          <w:p>
            <w:r>
              <w:rPr>
                <w:b/>
                <w:color w:val="FFFFFF"/>
              </w:rPr>
              <w:t>Age</w:t>
            </w:r>
          </w:p>
        </w:tc>
        <w:tc>
          <w:tcPr>
            <w:tcW w:type="dxa" w:w="1872"/>
            <w:shd w:fill="1D293B"/>
            <w:tcMar>
              <w:top w:w="100" w:type="dxa"/>
              <w:bottom w:w="100" w:type="dxa"/>
              <w:left w:w="150" w:type="dxa"/>
              <w:right w:w="150" w:type="dxa"/>
            </w:tcMar>
          </w:tcPr>
          <w:p>
            <w:r>
              <w:rPr>
                <w:b/>
                <w:color w:val="FFFFFF"/>
              </w:rPr>
              <w:t>Spend</w:t>
            </w:r>
          </w:p>
        </w:tc>
        <w:tc>
          <w:tcPr>
            <w:tcW w:type="dxa" w:w="1872"/>
            <w:shd w:fill="1D293B"/>
            <w:tcMar>
              <w:top w:w="100" w:type="dxa"/>
              <w:bottom w:w="100" w:type="dxa"/>
              <w:left w:w="150" w:type="dxa"/>
              <w:right w:w="150" w:type="dxa"/>
            </w:tcMar>
          </w:tcPr>
          <w:p>
            <w:r>
              <w:rPr>
                <w:b/>
                <w:color w:val="FFFFFF"/>
              </w:rPr>
              <w:t>Conversations</w:t>
            </w:r>
          </w:p>
        </w:tc>
        <w:tc>
          <w:tcPr>
            <w:tcW w:type="dxa" w:w="1872"/>
            <w:shd w:fill="1D293B"/>
            <w:tcMar>
              <w:top w:w="100" w:type="dxa"/>
              <w:bottom w:w="100" w:type="dxa"/>
              <w:left w:w="150" w:type="dxa"/>
              <w:right w:w="150" w:type="dxa"/>
            </w:tcMar>
          </w:tcPr>
          <w:p>
            <w:r>
              <w:rPr>
                <w:b/>
                <w:color w:val="FFFFFF"/>
              </w:rPr>
              <w:t>Cost per Conversation</w:t>
            </w:r>
          </w:p>
        </w:tc>
        <w:tc>
          <w:tcPr>
            <w:tcW w:type="dxa" w:w="1872"/>
            <w:shd w:fill="1D293B"/>
            <w:tcMar>
              <w:top w:w="100" w:type="dxa"/>
              <w:bottom w:w="100" w:type="dxa"/>
              <w:left w:w="150" w:type="dxa"/>
              <w:right w:w="150" w:type="dxa"/>
            </w:tcMar>
          </w:tcPr>
          <w:p>
            <w:r>
              <w:rPr>
                <w:b/>
                <w:color w:val="FFFFFF"/>
              </w:rPr>
              <w:t>Evaluation</w:t>
            </w:r>
          </w:p>
        </w:tc>
      </w:tr>
      <w:tr>
        <w:tc>
          <w:tcPr>
            <w:tcW w:type="dxa" w:w="1872"/>
            <w:tcMar>
              <w:top w:w="100" w:type="dxa"/>
              <w:bottom w:w="100" w:type="dxa"/>
              <w:left w:w="150" w:type="dxa"/>
              <w:right w:w="150" w:type="dxa"/>
            </w:tcMar>
          </w:tcPr>
          <w:p>
            <w:r>
              <w:t>65+</w:t>
            </w:r>
          </w:p>
        </w:tc>
        <w:tc>
          <w:tcPr>
            <w:tcW w:type="dxa" w:w="1872"/>
            <w:tcMar>
              <w:top w:w="100" w:type="dxa"/>
              <w:bottom w:w="100" w:type="dxa"/>
              <w:left w:w="150" w:type="dxa"/>
              <w:right w:w="150" w:type="dxa"/>
            </w:tcMar>
          </w:tcPr>
          <w:p>
            <w:r>
              <w:t>1.99 AED</w:t>
            </w:r>
          </w:p>
        </w:tc>
        <w:tc>
          <w:tcPr>
            <w:tcW w:type="dxa" w:w="1872"/>
            <w:tcMar>
              <w:top w:w="100" w:type="dxa"/>
              <w:bottom w:w="100" w:type="dxa"/>
              <w:left w:w="150" w:type="dxa"/>
              <w:right w:w="150" w:type="dxa"/>
            </w:tcMar>
          </w:tcPr>
          <w:p>
            <w:r>
              <w:t>2</w:t>
            </w:r>
          </w:p>
        </w:tc>
        <w:tc>
          <w:tcPr>
            <w:tcW w:type="dxa" w:w="1872"/>
            <w:tcMar>
              <w:top w:w="100" w:type="dxa"/>
              <w:bottom w:w="100" w:type="dxa"/>
              <w:left w:w="150" w:type="dxa"/>
              <w:right w:w="150" w:type="dxa"/>
            </w:tcMar>
          </w:tcPr>
          <w:p>
            <w:r>
              <w:t>1.00 AED</w:t>
            </w:r>
          </w:p>
        </w:tc>
        <w:tc>
          <w:tcPr>
            <w:tcW w:type="dxa" w:w="1872"/>
            <w:tcMar>
              <w:top w:w="100" w:type="dxa"/>
              <w:bottom w:w="100" w:type="dxa"/>
              <w:left w:w="150" w:type="dxa"/>
              <w:right w:w="150" w:type="dxa"/>
            </w:tcMar>
            <w:shd w:fill="DCFCE7"/>
          </w:tcPr>
          <w:p>
            <w:r>
              <w:rPr>
                <w:color w:val="15803D"/>
              </w:rPr>
              <w:t>Excellent*</w:t>
            </w:r>
          </w:p>
        </w:tc>
      </w:tr>
      <w:tr>
        <w:tc>
          <w:tcPr>
            <w:tcW w:type="dxa" w:w="1872"/>
            <w:tcMar>
              <w:top w:w="100" w:type="dxa"/>
              <w:bottom w:w="100" w:type="dxa"/>
              <w:left w:w="150" w:type="dxa"/>
              <w:right w:w="150" w:type="dxa"/>
            </w:tcMar>
            <w:shd w:fill="F8FAFC"/>
          </w:tcPr>
          <w:p>
            <w:r>
              <w:t>55-64</w:t>
            </w:r>
          </w:p>
        </w:tc>
        <w:tc>
          <w:tcPr>
            <w:tcW w:type="dxa" w:w="1872"/>
            <w:tcMar>
              <w:top w:w="100" w:type="dxa"/>
              <w:bottom w:w="100" w:type="dxa"/>
              <w:left w:w="150" w:type="dxa"/>
              <w:right w:w="150" w:type="dxa"/>
            </w:tcMar>
            <w:shd w:fill="F8FAFC"/>
          </w:tcPr>
          <w:p>
            <w:r>
              <w:t>9.03 AED</w:t>
            </w:r>
          </w:p>
        </w:tc>
        <w:tc>
          <w:tcPr>
            <w:tcW w:type="dxa" w:w="1872"/>
            <w:tcMar>
              <w:top w:w="100" w:type="dxa"/>
              <w:bottom w:w="100" w:type="dxa"/>
              <w:left w:w="150" w:type="dxa"/>
              <w:right w:w="150" w:type="dxa"/>
            </w:tcMar>
            <w:shd w:fill="F8FAFC"/>
          </w:tcPr>
          <w:p>
            <w:r>
              <w:t>4</w:t>
            </w:r>
          </w:p>
        </w:tc>
        <w:tc>
          <w:tcPr>
            <w:tcW w:type="dxa" w:w="1872"/>
            <w:tcMar>
              <w:top w:w="100" w:type="dxa"/>
              <w:bottom w:w="100" w:type="dxa"/>
              <w:left w:w="150" w:type="dxa"/>
              <w:right w:w="150" w:type="dxa"/>
            </w:tcMar>
            <w:shd w:fill="F8FAFC"/>
          </w:tcPr>
          <w:p>
            <w:r>
              <w:t>2.26 AED</w:t>
            </w:r>
          </w:p>
        </w:tc>
        <w:tc>
          <w:tcPr>
            <w:tcW w:type="dxa" w:w="1872"/>
            <w:tcMar>
              <w:top w:w="100" w:type="dxa"/>
              <w:bottom w:w="100" w:type="dxa"/>
              <w:left w:w="150" w:type="dxa"/>
              <w:right w:w="150" w:type="dxa"/>
            </w:tcMar>
            <w:shd w:fill="F8FAFC"/>
            <w:shd w:fill="DCFCE7"/>
          </w:tcPr>
          <w:p>
            <w:r>
              <w:rPr>
                <w:color w:val="15803D"/>
              </w:rPr>
              <w:t>Very Good*</w:t>
            </w:r>
          </w:p>
        </w:tc>
      </w:tr>
      <w:tr>
        <w:tc>
          <w:tcPr>
            <w:tcW w:type="dxa" w:w="1872"/>
            <w:tcMar>
              <w:top w:w="100" w:type="dxa"/>
              <w:bottom w:w="100" w:type="dxa"/>
              <w:left w:w="150" w:type="dxa"/>
              <w:right w:w="150" w:type="dxa"/>
            </w:tcMar>
          </w:tcPr>
          <w:p>
            <w:r>
              <w:t>35-44</w:t>
            </w:r>
          </w:p>
        </w:tc>
        <w:tc>
          <w:tcPr>
            <w:tcW w:type="dxa" w:w="1872"/>
            <w:tcMar>
              <w:top w:w="100" w:type="dxa"/>
              <w:bottom w:w="100" w:type="dxa"/>
              <w:left w:w="150" w:type="dxa"/>
              <w:right w:w="150" w:type="dxa"/>
            </w:tcMar>
          </w:tcPr>
          <w:p>
            <w:r>
              <w:t>60.20 AED</w:t>
            </w:r>
          </w:p>
        </w:tc>
        <w:tc>
          <w:tcPr>
            <w:tcW w:type="dxa" w:w="1872"/>
            <w:tcMar>
              <w:top w:w="100" w:type="dxa"/>
              <w:bottom w:w="100" w:type="dxa"/>
              <w:left w:w="150" w:type="dxa"/>
              <w:right w:w="150" w:type="dxa"/>
            </w:tcMar>
          </w:tcPr>
          <w:p>
            <w:r>
              <w:t>13</w:t>
            </w:r>
          </w:p>
        </w:tc>
        <w:tc>
          <w:tcPr>
            <w:tcW w:type="dxa" w:w="1872"/>
            <w:tcMar>
              <w:top w:w="100" w:type="dxa"/>
              <w:bottom w:w="100" w:type="dxa"/>
              <w:left w:w="150" w:type="dxa"/>
              <w:right w:w="150" w:type="dxa"/>
            </w:tcMar>
          </w:tcPr>
          <w:p>
            <w:r>
              <w:t>4.63 AED</w:t>
            </w:r>
          </w:p>
        </w:tc>
        <w:tc>
          <w:tcPr>
            <w:tcW w:type="dxa" w:w="1872"/>
            <w:tcMar>
              <w:top w:w="100" w:type="dxa"/>
              <w:bottom w:w="100" w:type="dxa"/>
              <w:left w:w="150" w:type="dxa"/>
              <w:right w:w="150" w:type="dxa"/>
            </w:tcMar>
            <w:shd w:fill="DCFCE7"/>
          </w:tcPr>
          <w:p>
            <w:r>
              <w:rPr>
                <w:color w:val="15803D"/>
              </w:rPr>
              <w:t>Best by Volume</w:t>
            </w:r>
          </w:p>
        </w:tc>
      </w:tr>
      <w:tr>
        <w:tc>
          <w:tcPr>
            <w:tcW w:type="dxa" w:w="1872"/>
            <w:tcMar>
              <w:top w:w="100" w:type="dxa"/>
              <w:bottom w:w="100" w:type="dxa"/>
              <w:left w:w="150" w:type="dxa"/>
              <w:right w:w="150" w:type="dxa"/>
            </w:tcMar>
            <w:shd w:fill="F8FAFC"/>
          </w:tcPr>
          <w:p>
            <w:r>
              <w:t>25-34</w:t>
            </w:r>
          </w:p>
        </w:tc>
        <w:tc>
          <w:tcPr>
            <w:tcW w:type="dxa" w:w="1872"/>
            <w:tcMar>
              <w:top w:w="100" w:type="dxa"/>
              <w:bottom w:w="100" w:type="dxa"/>
              <w:left w:w="150" w:type="dxa"/>
              <w:right w:w="150" w:type="dxa"/>
            </w:tcMar>
            <w:shd w:fill="F8FAFC"/>
          </w:tcPr>
          <w:p>
            <w:r>
              <w:t>58.04 AED</w:t>
            </w:r>
          </w:p>
        </w:tc>
        <w:tc>
          <w:tcPr>
            <w:tcW w:type="dxa" w:w="1872"/>
            <w:tcMar>
              <w:top w:w="100" w:type="dxa"/>
              <w:bottom w:w="100" w:type="dxa"/>
              <w:left w:w="150" w:type="dxa"/>
              <w:right w:w="150" w:type="dxa"/>
            </w:tcMar>
            <w:shd w:fill="F8FAFC"/>
          </w:tcPr>
          <w:p>
            <w:r>
              <w:t>9</w:t>
            </w:r>
          </w:p>
        </w:tc>
        <w:tc>
          <w:tcPr>
            <w:tcW w:type="dxa" w:w="1872"/>
            <w:tcMar>
              <w:top w:w="100" w:type="dxa"/>
              <w:bottom w:w="100" w:type="dxa"/>
              <w:left w:w="150" w:type="dxa"/>
              <w:right w:w="150" w:type="dxa"/>
            </w:tcMar>
            <w:shd w:fill="F8FAFC"/>
          </w:tcPr>
          <w:p>
            <w:r>
              <w:t>6.45 AED</w:t>
            </w:r>
          </w:p>
        </w:tc>
        <w:tc>
          <w:tcPr>
            <w:tcW w:type="dxa" w:w="1872"/>
            <w:tcMar>
              <w:top w:w="100" w:type="dxa"/>
              <w:bottom w:w="100" w:type="dxa"/>
              <w:left w:w="150" w:type="dxa"/>
              <w:right w:w="150" w:type="dxa"/>
            </w:tcMar>
            <w:shd w:fill="F8FAFC"/>
          </w:tcPr>
          <w:p>
            <w:r>
              <w:t>Average</w:t>
            </w:r>
          </w:p>
        </w:tc>
      </w:tr>
      <w:tr>
        <w:tc>
          <w:tcPr>
            <w:tcW w:type="dxa" w:w="1872"/>
            <w:tcMar>
              <w:top w:w="100" w:type="dxa"/>
              <w:bottom w:w="100" w:type="dxa"/>
              <w:left w:w="150" w:type="dxa"/>
              <w:right w:w="150" w:type="dxa"/>
            </w:tcMar>
          </w:tcPr>
          <w:p>
            <w:r>
              <w:t>45-54</w:t>
            </w:r>
          </w:p>
        </w:tc>
        <w:tc>
          <w:tcPr>
            <w:tcW w:type="dxa" w:w="1872"/>
            <w:tcMar>
              <w:top w:w="100" w:type="dxa"/>
              <w:bottom w:w="100" w:type="dxa"/>
              <w:left w:w="150" w:type="dxa"/>
              <w:right w:w="150" w:type="dxa"/>
            </w:tcMar>
          </w:tcPr>
          <w:p>
            <w:r>
              <w:t>25.24 AED</w:t>
            </w:r>
          </w:p>
        </w:tc>
        <w:tc>
          <w:tcPr>
            <w:tcW w:type="dxa" w:w="1872"/>
            <w:tcMar>
              <w:top w:w="100" w:type="dxa"/>
              <w:bottom w:w="100" w:type="dxa"/>
              <w:left w:w="150" w:type="dxa"/>
              <w:right w:w="150" w:type="dxa"/>
            </w:tcMar>
          </w:tcPr>
          <w:p>
            <w:r>
              <w:t>2</w:t>
            </w:r>
          </w:p>
        </w:tc>
        <w:tc>
          <w:tcPr>
            <w:tcW w:type="dxa" w:w="1872"/>
            <w:tcMar>
              <w:top w:w="100" w:type="dxa"/>
              <w:bottom w:w="100" w:type="dxa"/>
              <w:left w:w="150" w:type="dxa"/>
              <w:right w:w="150" w:type="dxa"/>
            </w:tcMar>
          </w:tcPr>
          <w:p>
            <w:r>
              <w:t>12.62 AED</w:t>
            </w:r>
          </w:p>
        </w:tc>
        <w:tc>
          <w:tcPr>
            <w:tcW w:type="dxa" w:w="1872"/>
            <w:tcMar>
              <w:top w:w="100" w:type="dxa"/>
              <w:bottom w:w="100" w:type="dxa"/>
              <w:left w:w="150" w:type="dxa"/>
              <w:right w:w="150" w:type="dxa"/>
            </w:tcMar>
            <w:shd w:fill="FEE2E2"/>
          </w:tcPr>
          <w:p>
            <w:r>
              <w:rPr>
                <w:color w:val="B91C1C"/>
              </w:rPr>
              <w:t>Weak</w:t>
            </w:r>
          </w:p>
        </w:tc>
      </w:tr>
      <w:tr>
        <w:tc>
          <w:tcPr>
            <w:tcW w:type="dxa" w:w="1872"/>
            <w:tcMar>
              <w:top w:w="100" w:type="dxa"/>
              <w:bottom w:w="100" w:type="dxa"/>
              <w:left w:w="150" w:type="dxa"/>
              <w:right w:w="150" w:type="dxa"/>
            </w:tcMar>
            <w:shd w:fill="F8FAFC"/>
          </w:tcPr>
          <w:p>
            <w:r>
              <w:t>Unknown</w:t>
            </w:r>
          </w:p>
        </w:tc>
        <w:tc>
          <w:tcPr>
            <w:tcW w:type="dxa" w:w="1872"/>
            <w:tcMar>
              <w:top w:w="100" w:type="dxa"/>
              <w:bottom w:w="100" w:type="dxa"/>
              <w:left w:w="150" w:type="dxa"/>
              <w:right w:w="150" w:type="dxa"/>
            </w:tcMar>
            <w:shd w:fill="F8FAFC"/>
          </w:tcPr>
          <w:p>
            <w:r>
              <w:t>2.49 AED</w:t>
            </w:r>
          </w:p>
        </w:tc>
        <w:tc>
          <w:tcPr>
            <w:tcW w:type="dxa" w:w="1872"/>
            <w:tcMar>
              <w:top w:w="100" w:type="dxa"/>
              <w:bottom w:w="100" w:type="dxa"/>
              <w:left w:w="150" w:type="dxa"/>
              <w:right w:w="150" w:type="dxa"/>
            </w:tcMar>
            <w:shd w:fill="F8FAFC"/>
          </w:tcPr>
          <w:p>
            <w:r>
              <w:t>0</w:t>
            </w:r>
          </w:p>
        </w:tc>
        <w:tc>
          <w:tcPr>
            <w:tcW w:type="dxa" w:w="1872"/>
            <w:tcMar>
              <w:top w:w="100" w:type="dxa"/>
              <w:bottom w:w="100" w:type="dxa"/>
              <w:left w:w="150" w:type="dxa"/>
              <w:right w:w="150" w:type="dxa"/>
            </w:tcMar>
            <w:shd w:fill="F8FAFC"/>
          </w:tcPr>
          <w:p>
            <w:r>
              <w:t>—</w:t>
            </w:r>
          </w:p>
        </w:tc>
        <w:tc>
          <w:tcPr>
            <w:tcW w:type="dxa" w:w="1872"/>
            <w:tcMar>
              <w:top w:w="100" w:type="dxa"/>
              <w:bottom w:w="100" w:type="dxa"/>
              <w:left w:w="150" w:type="dxa"/>
              <w:right w:w="150" w:type="dxa"/>
            </w:tcMar>
            <w:shd w:fill="F8FAFC"/>
            <w:shd w:fill="FEE2E2"/>
          </w:tcPr>
          <w:p>
            <w:r>
              <w:rPr>
                <w:color w:val="B91C1C"/>
              </w:rPr>
              <w:t>Waste</w:t>
            </w:r>
          </w:p>
        </w:tc>
      </w:tr>
    </w:tbl>
    <w:p>
      <w:pPr>
        <w:spacing w:after="400"/>
      </w:pPr>
      <w:r>
        <w:rPr>
          <w:i/>
          <w:sz w:val="18"/>
        </w:rPr>
        <w:t>* Very small sample (spend less than 10 AED) — a promising trend that needs confirmation with a larger budget, not a final decision yet.</w:t>
        <w:br/>
        <w:t>Cost per conversation by age group — Green is good, Red is weak</w:t>
      </w:r>
    </w:p>
    <w:p>
      <w:pPr>
        <w:pStyle w:val="Heading2"/>
      </w:pPr>
      <w:r>
        <w:t>3.2 'Engagement Ad' Campaign (Objective: Engagement / Facebook Page Likes)</w:t>
      </w:r>
    </w:p>
    <w:p>
      <w:r>
        <w:t>This campaign spent 84.50 AED on 2,616 impressions and achieved 177 page likes at an average cost of only 0.48 AED — very cheap, but a Facebook 'page like' is a vanity metric that does not correlate directly with purchasing or viewing a property.</w:t>
      </w:r>
    </w:p>
    <w:p>
      <w:r>
        <w:rPr>
          <w:b/>
        </w:rPr>
        <w:t>Creative Dispersion — A Structural Problem</w:t>
      </w:r>
    </w:p>
    <w:p>
      <w:r>
        <w:rPr>
          <w:b/>
          <w:color w:val="B91C1C"/>
        </w:rPr>
        <w:t>Warning: The budget is distributed across 7 different creative versions, some of which spent less than 1 AED — this is not enough for the Meta algorithm to learn or to draw any conclusion, and wastes part of the budget on versions that will never be used to make a decision.</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D293B"/>
            <w:tcMar>
              <w:top w:w="100" w:type="dxa"/>
              <w:bottom w:w="100" w:type="dxa"/>
              <w:left w:w="150" w:type="dxa"/>
              <w:right w:w="150" w:type="dxa"/>
            </w:tcMar>
          </w:tcPr>
          <w:p>
            <w:r>
              <w:rPr>
                <w:b/>
                <w:color w:val="FFFFFF"/>
              </w:rPr>
            </w:r>
          </w:p>
        </w:tc>
        <w:tc>
          <w:tcPr>
            <w:tcW w:type="dxa" w:w="3120"/>
            <w:shd w:fill="1D293B"/>
            <w:tcMar>
              <w:top w:w="100" w:type="dxa"/>
              <w:bottom w:w="100" w:type="dxa"/>
              <w:left w:w="150" w:type="dxa"/>
              <w:right w:w="150" w:type="dxa"/>
            </w:tcMar>
          </w:tcPr>
          <w:p>
            <w:r>
              <w:rPr>
                <w:b/>
                <w:color w:val="FFFFFF"/>
              </w:rPr>
              <w:t>Engagement Ad 7 (Main Creative)</w:t>
            </w:r>
          </w:p>
        </w:tc>
        <w:tc>
          <w:tcPr>
            <w:tcW w:type="dxa" w:w="3120"/>
            <w:shd w:fill="1D293B"/>
            <w:tcMar>
              <w:top w:w="100" w:type="dxa"/>
              <w:bottom w:w="100" w:type="dxa"/>
              <w:left w:w="150" w:type="dxa"/>
              <w:right w:w="150" w:type="dxa"/>
            </w:tcMar>
          </w:tcPr>
          <w:p>
            <w:r>
              <w:rPr>
                <w:b/>
                <w:color w:val="FFFFFF"/>
              </w:rPr>
              <w:t>Remaining 6 Versions Combined</w:t>
            </w:r>
          </w:p>
        </w:tc>
      </w:tr>
      <w:tr>
        <w:tc>
          <w:tcPr>
            <w:tcW w:type="dxa" w:w="3120"/>
            <w:tcMar>
              <w:top w:w="100" w:type="dxa"/>
              <w:bottom w:w="100" w:type="dxa"/>
              <w:left w:w="150" w:type="dxa"/>
              <w:right w:w="150" w:type="dxa"/>
            </w:tcMar>
          </w:tcPr>
          <w:p>
            <w:r>
              <w:t>Spend</w:t>
            </w:r>
          </w:p>
        </w:tc>
        <w:tc>
          <w:tcPr>
            <w:tcW w:type="dxa" w:w="3120"/>
            <w:tcMar>
              <w:top w:w="100" w:type="dxa"/>
              <w:bottom w:w="100" w:type="dxa"/>
              <w:left w:w="150" w:type="dxa"/>
              <w:right w:w="150" w:type="dxa"/>
            </w:tcMar>
          </w:tcPr>
          <w:p>
            <w:r>
              <w:t>59.70 AED (70.6%)</w:t>
            </w:r>
          </w:p>
        </w:tc>
        <w:tc>
          <w:tcPr>
            <w:tcW w:type="dxa" w:w="3120"/>
            <w:tcMar>
              <w:top w:w="100" w:type="dxa"/>
              <w:bottom w:w="100" w:type="dxa"/>
              <w:left w:w="150" w:type="dxa"/>
              <w:right w:w="150" w:type="dxa"/>
            </w:tcMar>
          </w:tcPr>
          <w:p>
            <w:r>
              <w:t>24.80 AED (29.4%)</w:t>
            </w:r>
          </w:p>
        </w:tc>
      </w:tr>
      <w:tr>
        <w:tc>
          <w:tcPr>
            <w:tcW w:type="dxa" w:w="3120"/>
            <w:tcMar>
              <w:top w:w="100" w:type="dxa"/>
              <w:bottom w:w="100" w:type="dxa"/>
              <w:left w:w="150" w:type="dxa"/>
              <w:right w:w="150" w:type="dxa"/>
            </w:tcMar>
            <w:shd w:fill="F8FAFC"/>
          </w:tcPr>
          <w:p>
            <w:r>
              <w:t>Results (Likes)</w:t>
            </w:r>
          </w:p>
        </w:tc>
        <w:tc>
          <w:tcPr>
            <w:tcW w:type="dxa" w:w="3120"/>
            <w:tcMar>
              <w:top w:w="100" w:type="dxa"/>
              <w:bottom w:w="100" w:type="dxa"/>
              <w:left w:w="150" w:type="dxa"/>
              <w:right w:w="150" w:type="dxa"/>
            </w:tcMar>
            <w:shd w:fill="F8FAFC"/>
          </w:tcPr>
          <w:p>
            <w:r>
              <w:t>114 (64.4%)</w:t>
            </w:r>
          </w:p>
        </w:tc>
        <w:tc>
          <w:tcPr>
            <w:tcW w:type="dxa" w:w="3120"/>
            <w:tcMar>
              <w:top w:w="100" w:type="dxa"/>
              <w:bottom w:w="100" w:type="dxa"/>
              <w:left w:w="150" w:type="dxa"/>
              <w:right w:w="150" w:type="dxa"/>
            </w:tcMar>
            <w:shd w:fill="F8FAFC"/>
          </w:tcPr>
          <w:p>
            <w:r>
              <w:t>63 (35.6%)</w:t>
            </w:r>
          </w:p>
        </w:tc>
      </w:tr>
      <w:tr>
        <w:tc>
          <w:tcPr>
            <w:tcW w:type="dxa" w:w="3120"/>
            <w:tcMar>
              <w:top w:w="100" w:type="dxa"/>
              <w:bottom w:w="100" w:type="dxa"/>
              <w:left w:w="150" w:type="dxa"/>
              <w:right w:w="150" w:type="dxa"/>
            </w:tcMar>
          </w:tcPr>
          <w:p>
            <w:r>
              <w:t>Cost per Like</w:t>
            </w:r>
          </w:p>
        </w:tc>
        <w:tc>
          <w:tcPr>
            <w:tcW w:type="dxa" w:w="3120"/>
            <w:tcMar>
              <w:top w:w="100" w:type="dxa"/>
              <w:bottom w:w="100" w:type="dxa"/>
              <w:left w:w="150" w:type="dxa"/>
              <w:right w:w="150" w:type="dxa"/>
            </w:tcMar>
          </w:tcPr>
          <w:p>
            <w:r>
              <w:t>0.52 AED</w:t>
            </w:r>
          </w:p>
        </w:tc>
        <w:tc>
          <w:tcPr>
            <w:tcW w:type="dxa" w:w="3120"/>
            <w:tcMar>
              <w:top w:w="100" w:type="dxa"/>
              <w:bottom w:w="100" w:type="dxa"/>
              <w:left w:w="150" w:type="dxa"/>
              <w:right w:w="150" w:type="dxa"/>
            </w:tcMar>
          </w:tcPr>
          <w:p>
            <w:r>
              <w:t>0.11 — 5.67 AED (highly variable)</w:t>
            </w:r>
          </w:p>
        </w:tc>
      </w:tr>
    </w:tbl>
    <w:p>
      <w:pPr>
        <w:spacing w:before="200"/>
      </w:pPr>
      <w:r>
        <w:rPr>
          <w:b/>
        </w:rPr>
        <w:t>Performance by Age Group</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fill="1D293B"/>
            <w:tcMar>
              <w:top w:w="100" w:type="dxa"/>
              <w:bottom w:w="100" w:type="dxa"/>
              <w:left w:w="150" w:type="dxa"/>
              <w:right w:w="150" w:type="dxa"/>
            </w:tcMar>
          </w:tcPr>
          <w:p>
            <w:r>
              <w:rPr>
                <w:b/>
                <w:color w:val="FFFFFF"/>
              </w:rPr>
              <w:t>Age</w:t>
            </w:r>
          </w:p>
        </w:tc>
        <w:tc>
          <w:tcPr>
            <w:tcW w:type="dxa" w:w="1872"/>
            <w:shd w:fill="1D293B"/>
            <w:tcMar>
              <w:top w:w="100" w:type="dxa"/>
              <w:bottom w:w="100" w:type="dxa"/>
              <w:left w:w="150" w:type="dxa"/>
              <w:right w:w="150" w:type="dxa"/>
            </w:tcMar>
          </w:tcPr>
          <w:p>
            <w:r>
              <w:rPr>
                <w:b/>
                <w:color w:val="FFFFFF"/>
              </w:rPr>
              <w:t>Spend</w:t>
            </w:r>
          </w:p>
        </w:tc>
        <w:tc>
          <w:tcPr>
            <w:tcW w:type="dxa" w:w="1872"/>
            <w:shd w:fill="1D293B"/>
            <w:tcMar>
              <w:top w:w="100" w:type="dxa"/>
              <w:bottom w:w="100" w:type="dxa"/>
              <w:left w:w="150" w:type="dxa"/>
              <w:right w:w="150" w:type="dxa"/>
            </w:tcMar>
          </w:tcPr>
          <w:p>
            <w:r>
              <w:rPr>
                <w:b/>
                <w:color w:val="FFFFFF"/>
              </w:rPr>
              <w:t>Likes</w:t>
            </w:r>
          </w:p>
        </w:tc>
        <w:tc>
          <w:tcPr>
            <w:tcW w:type="dxa" w:w="1872"/>
            <w:shd w:fill="1D293B"/>
            <w:tcMar>
              <w:top w:w="100" w:type="dxa"/>
              <w:bottom w:w="100" w:type="dxa"/>
              <w:left w:w="150" w:type="dxa"/>
              <w:right w:w="150" w:type="dxa"/>
            </w:tcMar>
          </w:tcPr>
          <w:p>
            <w:r>
              <w:rPr>
                <w:b/>
                <w:color w:val="FFFFFF"/>
              </w:rPr>
              <w:t>Cost per Like</w:t>
            </w:r>
          </w:p>
        </w:tc>
        <w:tc>
          <w:tcPr>
            <w:tcW w:type="dxa" w:w="1872"/>
            <w:shd w:fill="1D293B"/>
            <w:tcMar>
              <w:top w:w="100" w:type="dxa"/>
              <w:bottom w:w="100" w:type="dxa"/>
              <w:left w:w="150" w:type="dxa"/>
              <w:right w:w="150" w:type="dxa"/>
            </w:tcMar>
          </w:tcPr>
          <w:p>
            <w:r>
              <w:rPr>
                <w:b/>
                <w:color w:val="FFFFFF"/>
              </w:rPr>
              <w:t>Evaluation</w:t>
            </w:r>
          </w:p>
        </w:tc>
      </w:tr>
      <w:tr>
        <w:tc>
          <w:tcPr>
            <w:tcW w:type="dxa" w:w="1872"/>
            <w:tcMar>
              <w:top w:w="100" w:type="dxa"/>
              <w:bottom w:w="100" w:type="dxa"/>
              <w:left w:w="150" w:type="dxa"/>
              <w:right w:w="150" w:type="dxa"/>
            </w:tcMar>
          </w:tcPr>
          <w:p>
            <w:r>
              <w:t>55-64</w:t>
            </w:r>
          </w:p>
        </w:tc>
        <w:tc>
          <w:tcPr>
            <w:tcW w:type="dxa" w:w="1872"/>
            <w:tcMar>
              <w:top w:w="100" w:type="dxa"/>
              <w:bottom w:w="100" w:type="dxa"/>
              <w:left w:w="150" w:type="dxa"/>
              <w:right w:w="150" w:type="dxa"/>
            </w:tcMar>
          </w:tcPr>
          <w:p>
            <w:r>
              <w:t>4.15 AED</w:t>
            </w:r>
          </w:p>
        </w:tc>
        <w:tc>
          <w:tcPr>
            <w:tcW w:type="dxa" w:w="1872"/>
            <w:tcMar>
              <w:top w:w="100" w:type="dxa"/>
              <w:bottom w:w="100" w:type="dxa"/>
              <w:left w:w="150" w:type="dxa"/>
              <w:right w:w="150" w:type="dxa"/>
            </w:tcMar>
          </w:tcPr>
          <w:p>
            <w:r>
              <w:t>14</w:t>
            </w:r>
          </w:p>
        </w:tc>
        <w:tc>
          <w:tcPr>
            <w:tcW w:type="dxa" w:w="1872"/>
            <w:tcMar>
              <w:top w:w="100" w:type="dxa"/>
              <w:bottom w:w="100" w:type="dxa"/>
              <w:left w:w="150" w:type="dxa"/>
              <w:right w:w="150" w:type="dxa"/>
            </w:tcMar>
          </w:tcPr>
          <w:p>
            <w:r>
              <w:t>0.30 AED</w:t>
            </w:r>
          </w:p>
        </w:tc>
        <w:tc>
          <w:tcPr>
            <w:tcW w:type="dxa" w:w="1872"/>
            <w:tcMar>
              <w:top w:w="100" w:type="dxa"/>
              <w:bottom w:w="100" w:type="dxa"/>
              <w:left w:w="150" w:type="dxa"/>
              <w:right w:w="150" w:type="dxa"/>
            </w:tcMar>
            <w:shd w:fill="DCFCE7"/>
          </w:tcPr>
          <w:p>
            <w:r>
              <w:rPr>
                <w:color w:val="15803D"/>
              </w:rPr>
              <w:t>Best</w:t>
            </w:r>
          </w:p>
        </w:tc>
      </w:tr>
      <w:tr>
        <w:tc>
          <w:tcPr>
            <w:tcW w:type="dxa" w:w="1872"/>
            <w:tcMar>
              <w:top w:w="100" w:type="dxa"/>
              <w:bottom w:w="100" w:type="dxa"/>
              <w:left w:w="150" w:type="dxa"/>
              <w:right w:w="150" w:type="dxa"/>
            </w:tcMar>
            <w:shd w:fill="F8FAFC"/>
          </w:tcPr>
          <w:p>
            <w:r>
              <w:t>35-44</w:t>
            </w:r>
          </w:p>
        </w:tc>
        <w:tc>
          <w:tcPr>
            <w:tcW w:type="dxa" w:w="1872"/>
            <w:tcMar>
              <w:top w:w="100" w:type="dxa"/>
              <w:bottom w:w="100" w:type="dxa"/>
              <w:left w:w="150" w:type="dxa"/>
              <w:right w:w="150" w:type="dxa"/>
            </w:tcMar>
            <w:shd w:fill="F8FAFC"/>
          </w:tcPr>
          <w:p>
            <w:r>
              <w:t>30.28 AED</w:t>
            </w:r>
          </w:p>
        </w:tc>
        <w:tc>
          <w:tcPr>
            <w:tcW w:type="dxa" w:w="1872"/>
            <w:tcMar>
              <w:top w:w="100" w:type="dxa"/>
              <w:bottom w:w="100" w:type="dxa"/>
              <w:left w:w="150" w:type="dxa"/>
              <w:right w:w="150" w:type="dxa"/>
            </w:tcMar>
            <w:shd w:fill="F8FAFC"/>
          </w:tcPr>
          <w:p>
            <w:r>
              <w:t>65</w:t>
            </w:r>
          </w:p>
        </w:tc>
        <w:tc>
          <w:tcPr>
            <w:tcW w:type="dxa" w:w="1872"/>
            <w:tcMar>
              <w:top w:w="100" w:type="dxa"/>
              <w:bottom w:w="100" w:type="dxa"/>
              <w:left w:w="150" w:type="dxa"/>
              <w:right w:w="150" w:type="dxa"/>
            </w:tcMar>
            <w:shd w:fill="F8FAFC"/>
          </w:tcPr>
          <w:p>
            <w:r>
              <w:t>0.47 AED</w:t>
            </w:r>
          </w:p>
        </w:tc>
        <w:tc>
          <w:tcPr>
            <w:tcW w:type="dxa" w:w="1872"/>
            <w:tcMar>
              <w:top w:w="100" w:type="dxa"/>
              <w:bottom w:w="100" w:type="dxa"/>
              <w:left w:w="150" w:type="dxa"/>
              <w:right w:w="150" w:type="dxa"/>
            </w:tcMar>
            <w:shd w:fill="F8FAFC"/>
            <w:shd w:fill="DCFCE7"/>
          </w:tcPr>
          <w:p>
            <w:r>
              <w:rPr>
                <w:color w:val="15803D"/>
              </w:rPr>
              <w:t>Highest by Volume</w:t>
            </w:r>
          </w:p>
        </w:tc>
      </w:tr>
      <w:tr>
        <w:tc>
          <w:tcPr>
            <w:tcW w:type="dxa" w:w="1872"/>
            <w:tcMar>
              <w:top w:w="100" w:type="dxa"/>
              <w:bottom w:w="100" w:type="dxa"/>
              <w:left w:w="150" w:type="dxa"/>
              <w:right w:w="150" w:type="dxa"/>
            </w:tcMar>
          </w:tcPr>
          <w:p>
            <w:r>
              <w:t>45-54</w:t>
            </w:r>
          </w:p>
        </w:tc>
        <w:tc>
          <w:tcPr>
            <w:tcW w:type="dxa" w:w="1872"/>
            <w:tcMar>
              <w:top w:w="100" w:type="dxa"/>
              <w:bottom w:w="100" w:type="dxa"/>
              <w:left w:w="150" w:type="dxa"/>
              <w:right w:w="150" w:type="dxa"/>
            </w:tcMar>
          </w:tcPr>
          <w:p>
            <w:r>
              <w:t>13.98 AED</w:t>
            </w:r>
          </w:p>
        </w:tc>
        <w:tc>
          <w:tcPr>
            <w:tcW w:type="dxa" w:w="1872"/>
            <w:tcMar>
              <w:top w:w="100" w:type="dxa"/>
              <w:bottom w:w="100" w:type="dxa"/>
              <w:left w:w="150" w:type="dxa"/>
              <w:right w:w="150" w:type="dxa"/>
            </w:tcMar>
          </w:tcPr>
          <w:p>
            <w:r>
              <w:t>30</w:t>
            </w:r>
          </w:p>
        </w:tc>
        <w:tc>
          <w:tcPr>
            <w:tcW w:type="dxa" w:w="1872"/>
            <w:tcMar>
              <w:top w:w="100" w:type="dxa"/>
              <w:bottom w:w="100" w:type="dxa"/>
              <w:left w:w="150" w:type="dxa"/>
              <w:right w:w="150" w:type="dxa"/>
            </w:tcMar>
          </w:tcPr>
          <w:p>
            <w:r>
              <w:t>0.47 AED</w:t>
            </w:r>
          </w:p>
        </w:tc>
        <w:tc>
          <w:tcPr>
            <w:tcW w:type="dxa" w:w="1872"/>
            <w:tcMar>
              <w:top w:w="100" w:type="dxa"/>
              <w:bottom w:w="100" w:type="dxa"/>
              <w:left w:w="150" w:type="dxa"/>
              <w:right w:w="150" w:type="dxa"/>
            </w:tcMar>
            <w:shd w:fill="DCFCE7"/>
          </w:tcPr>
          <w:p>
            <w:r>
              <w:rPr>
                <w:color w:val="15803D"/>
              </w:rPr>
              <w:t>Good</w:t>
            </w:r>
          </w:p>
        </w:tc>
      </w:tr>
      <w:tr>
        <w:tc>
          <w:tcPr>
            <w:tcW w:type="dxa" w:w="1872"/>
            <w:tcMar>
              <w:top w:w="100" w:type="dxa"/>
              <w:bottom w:w="100" w:type="dxa"/>
              <w:left w:w="150" w:type="dxa"/>
              <w:right w:w="150" w:type="dxa"/>
            </w:tcMar>
            <w:shd w:fill="F8FAFC"/>
          </w:tcPr>
          <w:p>
            <w:r>
              <w:t>18-24</w:t>
            </w:r>
          </w:p>
        </w:tc>
        <w:tc>
          <w:tcPr>
            <w:tcW w:type="dxa" w:w="1872"/>
            <w:tcMar>
              <w:top w:w="100" w:type="dxa"/>
              <w:bottom w:w="100" w:type="dxa"/>
              <w:left w:w="150" w:type="dxa"/>
              <w:right w:w="150" w:type="dxa"/>
            </w:tcMar>
            <w:shd w:fill="F8FAFC"/>
          </w:tcPr>
          <w:p>
            <w:r>
              <w:t>7.02 AED</w:t>
            </w:r>
          </w:p>
        </w:tc>
        <w:tc>
          <w:tcPr>
            <w:tcW w:type="dxa" w:w="1872"/>
            <w:tcMar>
              <w:top w:w="100" w:type="dxa"/>
              <w:bottom w:w="100" w:type="dxa"/>
              <w:left w:w="150" w:type="dxa"/>
              <w:right w:w="150" w:type="dxa"/>
            </w:tcMar>
            <w:shd w:fill="F8FAFC"/>
          </w:tcPr>
          <w:p>
            <w:r>
              <w:t>14</w:t>
            </w:r>
          </w:p>
        </w:tc>
        <w:tc>
          <w:tcPr>
            <w:tcW w:type="dxa" w:w="1872"/>
            <w:tcMar>
              <w:top w:w="100" w:type="dxa"/>
              <w:bottom w:w="100" w:type="dxa"/>
              <w:left w:w="150" w:type="dxa"/>
              <w:right w:w="150" w:type="dxa"/>
            </w:tcMar>
            <w:shd w:fill="F8FAFC"/>
          </w:tcPr>
          <w:p>
            <w:r>
              <w:t>0.50 AED</w:t>
            </w:r>
          </w:p>
        </w:tc>
        <w:tc>
          <w:tcPr>
            <w:tcW w:type="dxa" w:w="1872"/>
            <w:tcMar>
              <w:top w:w="100" w:type="dxa"/>
              <w:bottom w:w="100" w:type="dxa"/>
              <w:left w:w="150" w:type="dxa"/>
              <w:right w:w="150" w:type="dxa"/>
            </w:tcMar>
            <w:shd w:fill="F8FAFC"/>
          </w:tcPr>
          <w:p>
            <w:r>
              <w:t>Acceptable</w:t>
            </w:r>
          </w:p>
        </w:tc>
      </w:tr>
      <w:tr>
        <w:tc>
          <w:tcPr>
            <w:tcW w:type="dxa" w:w="1872"/>
            <w:tcMar>
              <w:top w:w="100" w:type="dxa"/>
              <w:bottom w:w="100" w:type="dxa"/>
              <w:left w:w="150" w:type="dxa"/>
              <w:right w:w="150" w:type="dxa"/>
            </w:tcMar>
          </w:tcPr>
          <w:p>
            <w:r>
              <w:t>25-34</w:t>
            </w:r>
          </w:p>
        </w:tc>
        <w:tc>
          <w:tcPr>
            <w:tcW w:type="dxa" w:w="1872"/>
            <w:tcMar>
              <w:top w:w="100" w:type="dxa"/>
              <w:bottom w:w="100" w:type="dxa"/>
              <w:left w:w="150" w:type="dxa"/>
              <w:right w:w="150" w:type="dxa"/>
            </w:tcMar>
          </w:tcPr>
          <w:p>
            <w:r>
              <w:t>25.93 AED</w:t>
            </w:r>
          </w:p>
        </w:tc>
        <w:tc>
          <w:tcPr>
            <w:tcW w:type="dxa" w:w="1872"/>
            <w:tcMar>
              <w:top w:w="100" w:type="dxa"/>
              <w:bottom w:w="100" w:type="dxa"/>
              <w:left w:w="150" w:type="dxa"/>
              <w:right w:w="150" w:type="dxa"/>
            </w:tcMar>
          </w:tcPr>
          <w:p>
            <w:r>
              <w:t>49</w:t>
            </w:r>
          </w:p>
        </w:tc>
        <w:tc>
          <w:tcPr>
            <w:tcW w:type="dxa" w:w="1872"/>
            <w:tcMar>
              <w:top w:w="100" w:type="dxa"/>
              <w:bottom w:w="100" w:type="dxa"/>
              <w:left w:w="150" w:type="dxa"/>
              <w:right w:w="150" w:type="dxa"/>
            </w:tcMar>
          </w:tcPr>
          <w:p>
            <w:r>
              <w:t>0.53 AED</w:t>
            </w:r>
          </w:p>
        </w:tc>
        <w:tc>
          <w:tcPr>
            <w:tcW w:type="dxa" w:w="1872"/>
            <w:tcMar>
              <w:top w:w="100" w:type="dxa"/>
              <w:bottom w:w="100" w:type="dxa"/>
              <w:left w:w="150" w:type="dxa"/>
              <w:right w:w="150" w:type="dxa"/>
            </w:tcMar>
          </w:tcPr>
          <w:p>
            <w:r>
              <w:t>Acceptable</w:t>
            </w:r>
          </w:p>
        </w:tc>
      </w:tr>
      <w:tr>
        <w:tc>
          <w:tcPr>
            <w:tcW w:type="dxa" w:w="1872"/>
            <w:tcMar>
              <w:top w:w="100" w:type="dxa"/>
              <w:bottom w:w="100" w:type="dxa"/>
              <w:left w:w="150" w:type="dxa"/>
              <w:right w:w="150" w:type="dxa"/>
            </w:tcMar>
            <w:shd w:fill="F8FAFC"/>
          </w:tcPr>
          <w:p>
            <w:r>
              <w:t>65+</w:t>
            </w:r>
          </w:p>
        </w:tc>
        <w:tc>
          <w:tcPr>
            <w:tcW w:type="dxa" w:w="1872"/>
            <w:tcMar>
              <w:top w:w="100" w:type="dxa"/>
              <w:bottom w:w="100" w:type="dxa"/>
              <w:left w:w="150" w:type="dxa"/>
              <w:right w:w="150" w:type="dxa"/>
            </w:tcMar>
            <w:shd w:fill="F8FAFC"/>
          </w:tcPr>
          <w:p>
            <w:r>
              <w:t>3.14 AED</w:t>
            </w:r>
          </w:p>
        </w:tc>
        <w:tc>
          <w:tcPr>
            <w:tcW w:type="dxa" w:w="1872"/>
            <w:tcMar>
              <w:top w:w="100" w:type="dxa"/>
              <w:bottom w:w="100" w:type="dxa"/>
              <w:left w:w="150" w:type="dxa"/>
              <w:right w:w="150" w:type="dxa"/>
            </w:tcMar>
            <w:shd w:fill="F8FAFC"/>
          </w:tcPr>
          <w:p>
            <w:r>
              <w:t>5</w:t>
            </w:r>
          </w:p>
        </w:tc>
        <w:tc>
          <w:tcPr>
            <w:tcW w:type="dxa" w:w="1872"/>
            <w:tcMar>
              <w:top w:w="100" w:type="dxa"/>
              <w:bottom w:w="100" w:type="dxa"/>
              <w:left w:w="150" w:type="dxa"/>
              <w:right w:w="150" w:type="dxa"/>
            </w:tcMar>
            <w:shd w:fill="F8FAFC"/>
          </w:tcPr>
          <w:p>
            <w:r>
              <w:t>0.63 AED</w:t>
            </w:r>
          </w:p>
        </w:tc>
        <w:tc>
          <w:tcPr>
            <w:tcW w:type="dxa" w:w="1872"/>
            <w:tcMar>
              <w:top w:w="100" w:type="dxa"/>
              <w:bottom w:w="100" w:type="dxa"/>
              <w:left w:w="150" w:type="dxa"/>
              <w:right w:w="150" w:type="dxa"/>
            </w:tcMar>
            <w:shd w:fill="F8FAFC"/>
            <w:shd w:fill="FEE2E2"/>
          </w:tcPr>
          <w:p>
            <w:r>
              <w:rPr>
                <w:color w:val="B91C1C"/>
              </w:rPr>
              <w:t>Weakest (Small sample)</w:t>
            </w:r>
          </w:p>
        </w:tc>
      </w:tr>
    </w:tbl>
    <w:p>
      <w:pPr>
        <w:spacing w:after="400"/>
      </w:pPr>
    </w:p>
    <w:p>
      <w:pPr>
        <w:pStyle w:val="Heading2"/>
      </w:pPr>
      <w:r>
        <w:t>3.3 Organic Facebook Page Content</w:t>
      </w:r>
    </w:p>
    <w:p>
      <w:r>
        <w:t>Organic (unpaid) content is achieving remarkable performance over the past 28 days, especially in the form of Reels. It is an additional free reach source that complements the current small paid spend.</w:t>
      </w:r>
    </w:p>
    <w:p>
      <w:r>
        <w:rPr>
          <w:b/>
        </w:rPr>
        <w:t>Views and Engagement by Content Type</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D293B"/>
            <w:tcMar>
              <w:top w:w="100" w:type="dxa"/>
              <w:bottom w:w="100" w:type="dxa"/>
              <w:left w:w="150" w:type="dxa"/>
              <w:right w:w="150" w:type="dxa"/>
            </w:tcMar>
          </w:tcPr>
          <w:p>
            <w:r>
              <w:rPr>
                <w:b/>
                <w:color w:val="FFFFFF"/>
              </w:rPr>
              <w:t>Content Type</w:t>
            </w:r>
          </w:p>
        </w:tc>
        <w:tc>
          <w:tcPr>
            <w:tcW w:type="dxa" w:w="3120"/>
            <w:shd w:fill="1D293B"/>
            <w:tcMar>
              <w:top w:w="100" w:type="dxa"/>
              <w:bottom w:w="100" w:type="dxa"/>
              <w:left w:w="150" w:type="dxa"/>
              <w:right w:w="150" w:type="dxa"/>
            </w:tcMar>
          </w:tcPr>
          <w:p>
            <w:r>
              <w:rPr>
                <w:b/>
                <w:color w:val="FFFFFF"/>
              </w:rPr>
              <w:t>Views Share</w:t>
            </w:r>
          </w:p>
        </w:tc>
        <w:tc>
          <w:tcPr>
            <w:tcW w:type="dxa" w:w="3120"/>
            <w:shd w:fill="1D293B"/>
            <w:tcMar>
              <w:top w:w="100" w:type="dxa"/>
              <w:bottom w:w="100" w:type="dxa"/>
              <w:left w:w="150" w:type="dxa"/>
              <w:right w:w="150" w:type="dxa"/>
            </w:tcMar>
          </w:tcPr>
          <w:p>
            <w:r>
              <w:rPr>
                <w:b/>
                <w:color w:val="FFFFFF"/>
              </w:rPr>
              <w:t>Engagement Share</w:t>
            </w:r>
          </w:p>
        </w:tc>
      </w:tr>
      <w:tr>
        <w:tc>
          <w:tcPr>
            <w:tcW w:type="dxa" w:w="3120"/>
            <w:tcMar>
              <w:top w:w="100" w:type="dxa"/>
              <w:bottom w:w="100" w:type="dxa"/>
              <w:left w:w="150" w:type="dxa"/>
              <w:right w:w="150" w:type="dxa"/>
            </w:tcMar>
          </w:tcPr>
          <w:p>
            <w:r>
              <w:t>Reel</w:t>
            </w:r>
          </w:p>
        </w:tc>
        <w:tc>
          <w:tcPr>
            <w:tcW w:type="dxa" w:w="3120"/>
            <w:tcMar>
              <w:top w:w="100" w:type="dxa"/>
              <w:bottom w:w="100" w:type="dxa"/>
              <w:left w:w="150" w:type="dxa"/>
              <w:right w:w="150" w:type="dxa"/>
            </w:tcMar>
          </w:tcPr>
          <w:p>
            <w:r>
              <w:t>37.3%</w:t>
            </w:r>
          </w:p>
        </w:tc>
        <w:tc>
          <w:tcPr>
            <w:tcW w:type="dxa" w:w="3120"/>
            <w:tcMar>
              <w:top w:w="100" w:type="dxa"/>
              <w:bottom w:w="100" w:type="dxa"/>
              <w:left w:w="150" w:type="dxa"/>
              <w:right w:w="150" w:type="dxa"/>
            </w:tcMar>
          </w:tcPr>
          <w:p>
            <w:r>
              <w:t>57.1%</w:t>
            </w:r>
          </w:p>
        </w:tc>
      </w:tr>
      <w:tr>
        <w:tc>
          <w:tcPr>
            <w:tcW w:type="dxa" w:w="3120"/>
            <w:tcMar>
              <w:top w:w="100" w:type="dxa"/>
              <w:bottom w:w="100" w:type="dxa"/>
              <w:left w:w="150" w:type="dxa"/>
              <w:right w:w="150" w:type="dxa"/>
            </w:tcMar>
            <w:shd w:fill="F8FAFC"/>
          </w:tcPr>
          <w:p>
            <w:r>
              <w:t>Link</w:t>
            </w:r>
          </w:p>
        </w:tc>
        <w:tc>
          <w:tcPr>
            <w:tcW w:type="dxa" w:w="3120"/>
            <w:tcMar>
              <w:top w:w="100" w:type="dxa"/>
              <w:bottom w:w="100" w:type="dxa"/>
              <w:left w:w="150" w:type="dxa"/>
              <w:right w:w="150" w:type="dxa"/>
            </w:tcMar>
            <w:shd w:fill="F8FAFC"/>
          </w:tcPr>
          <w:p>
            <w:r>
              <w:t>60.5%</w:t>
            </w:r>
          </w:p>
        </w:tc>
        <w:tc>
          <w:tcPr>
            <w:tcW w:type="dxa" w:w="3120"/>
            <w:tcMar>
              <w:top w:w="100" w:type="dxa"/>
              <w:bottom w:w="100" w:type="dxa"/>
              <w:left w:w="150" w:type="dxa"/>
              <w:right w:w="150" w:type="dxa"/>
            </w:tcMar>
            <w:shd w:fill="F8FAFC"/>
          </w:tcPr>
          <w:p>
            <w:r>
              <w:t>14.8%</w:t>
            </w:r>
          </w:p>
        </w:tc>
      </w:tr>
      <w:tr>
        <w:tc>
          <w:tcPr>
            <w:tcW w:type="dxa" w:w="3120"/>
            <w:tcMar>
              <w:top w:w="100" w:type="dxa"/>
              <w:bottom w:w="100" w:type="dxa"/>
              <w:left w:w="150" w:type="dxa"/>
              <w:right w:w="150" w:type="dxa"/>
            </w:tcMar>
          </w:tcPr>
          <w:p>
            <w:r>
              <w:t>Photo</w:t>
            </w:r>
          </w:p>
        </w:tc>
        <w:tc>
          <w:tcPr>
            <w:tcW w:type="dxa" w:w="3120"/>
            <w:tcMar>
              <w:top w:w="100" w:type="dxa"/>
              <w:bottom w:w="100" w:type="dxa"/>
              <w:left w:w="150" w:type="dxa"/>
              <w:right w:w="150" w:type="dxa"/>
            </w:tcMar>
          </w:tcPr>
          <w:p>
            <w:r>
              <w:t>1.4%</w:t>
            </w:r>
          </w:p>
        </w:tc>
        <w:tc>
          <w:tcPr>
            <w:tcW w:type="dxa" w:w="3120"/>
            <w:tcMar>
              <w:top w:w="100" w:type="dxa"/>
              <w:bottom w:w="100" w:type="dxa"/>
              <w:left w:w="150" w:type="dxa"/>
              <w:right w:w="150" w:type="dxa"/>
            </w:tcMar>
          </w:tcPr>
          <w:p>
            <w:r>
              <w:t>14.2%</w:t>
            </w:r>
          </w:p>
        </w:tc>
      </w:tr>
      <w:tr>
        <w:tc>
          <w:tcPr>
            <w:tcW w:type="dxa" w:w="3120"/>
            <w:tcMar>
              <w:top w:w="100" w:type="dxa"/>
              <w:bottom w:w="100" w:type="dxa"/>
              <w:left w:w="150" w:type="dxa"/>
              <w:right w:w="150" w:type="dxa"/>
            </w:tcMar>
            <w:shd w:fill="F8FAFC"/>
          </w:tcPr>
          <w:p>
            <w:r>
              <w:t>Others</w:t>
            </w:r>
          </w:p>
        </w:tc>
        <w:tc>
          <w:tcPr>
            <w:tcW w:type="dxa" w:w="3120"/>
            <w:tcMar>
              <w:top w:w="100" w:type="dxa"/>
              <w:bottom w:w="100" w:type="dxa"/>
              <w:left w:w="150" w:type="dxa"/>
              <w:right w:w="150" w:type="dxa"/>
            </w:tcMar>
            <w:shd w:fill="F8FAFC"/>
          </w:tcPr>
          <w:p>
            <w:r>
              <w:t>0.9%</w:t>
            </w:r>
          </w:p>
        </w:tc>
        <w:tc>
          <w:tcPr>
            <w:tcW w:type="dxa" w:w="3120"/>
            <w:tcMar>
              <w:top w:w="100" w:type="dxa"/>
              <w:bottom w:w="100" w:type="dxa"/>
              <w:left w:w="150" w:type="dxa"/>
              <w:right w:w="150" w:type="dxa"/>
            </w:tcMar>
            <w:shd w:fill="F8FAFC"/>
          </w:tcPr>
          <w:p>
            <w:r>
              <w:t>13.9%</w:t>
            </w:r>
          </w:p>
        </w:tc>
      </w:tr>
    </w:tbl>
    <w:p>
      <w:pPr>
        <w:spacing w:before="200"/>
      </w:pPr>
      <w:r>
        <w:rPr>
          <w:b/>
        </w:rPr>
        <w:t>Engagement Nature: Strong Organic Shareability</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D293B"/>
            <w:tcMar>
              <w:top w:w="100" w:type="dxa"/>
              <w:bottom w:w="100" w:type="dxa"/>
              <w:left w:w="150" w:type="dxa"/>
              <w:right w:w="150" w:type="dxa"/>
            </w:tcMar>
          </w:tcPr>
          <w:p>
            <w:r>
              <w:rPr>
                <w:b/>
                <w:color w:val="FFFFFF"/>
              </w:rPr>
              <w:t>Engagement Type</w:t>
            </w:r>
          </w:p>
        </w:tc>
        <w:tc>
          <w:tcPr>
            <w:tcW w:type="dxa" w:w="3120"/>
            <w:shd w:fill="1D293B"/>
            <w:tcMar>
              <w:top w:w="100" w:type="dxa"/>
              <w:bottom w:w="100" w:type="dxa"/>
              <w:left w:w="150" w:type="dxa"/>
              <w:right w:w="150" w:type="dxa"/>
            </w:tcMar>
          </w:tcPr>
          <w:p>
            <w:r>
              <w:rPr>
                <w:b/>
                <w:color w:val="FFFFFF"/>
              </w:rPr>
              <w:t>Count</w:t>
            </w:r>
          </w:p>
        </w:tc>
        <w:tc>
          <w:tcPr>
            <w:tcW w:type="dxa" w:w="3120"/>
            <w:shd w:fill="1D293B"/>
            <w:tcMar>
              <w:top w:w="100" w:type="dxa"/>
              <w:bottom w:w="100" w:type="dxa"/>
              <w:left w:w="150" w:type="dxa"/>
              <w:right w:w="150" w:type="dxa"/>
            </w:tcMar>
          </w:tcPr>
          <w:p>
            <w:r>
              <w:rPr>
                <w:b/>
                <w:color w:val="FFFFFF"/>
              </w:rPr>
              <w:t>Share of Total</w:t>
            </w:r>
          </w:p>
        </w:tc>
      </w:tr>
      <w:tr>
        <w:tc>
          <w:tcPr>
            <w:tcW w:type="dxa" w:w="3120"/>
            <w:tcMar>
              <w:top w:w="100" w:type="dxa"/>
              <w:bottom w:w="100" w:type="dxa"/>
              <w:left w:w="150" w:type="dxa"/>
              <w:right w:w="150" w:type="dxa"/>
            </w:tcMar>
          </w:tcPr>
          <w:p>
            <w:r>
              <w:t>Shares</w:t>
            </w:r>
          </w:p>
        </w:tc>
        <w:tc>
          <w:tcPr>
            <w:tcW w:type="dxa" w:w="3120"/>
            <w:tcMar>
              <w:top w:w="100" w:type="dxa"/>
              <w:bottom w:w="100" w:type="dxa"/>
              <w:left w:w="150" w:type="dxa"/>
              <w:right w:w="150" w:type="dxa"/>
            </w:tcMar>
          </w:tcPr>
          <w:p>
            <w:r>
              <w:t>243</w:t>
            </w:r>
          </w:p>
        </w:tc>
        <w:tc>
          <w:tcPr>
            <w:tcW w:type="dxa" w:w="3120"/>
            <w:tcMar>
              <w:top w:w="100" w:type="dxa"/>
              <w:bottom w:w="100" w:type="dxa"/>
              <w:left w:w="150" w:type="dxa"/>
              <w:right w:w="150" w:type="dxa"/>
            </w:tcMar>
          </w:tcPr>
          <w:p>
            <w:r>
              <w:t>80.2%</w:t>
            </w:r>
          </w:p>
        </w:tc>
      </w:tr>
      <w:tr>
        <w:tc>
          <w:tcPr>
            <w:tcW w:type="dxa" w:w="3120"/>
            <w:tcMar>
              <w:top w:w="100" w:type="dxa"/>
              <w:bottom w:w="100" w:type="dxa"/>
              <w:left w:w="150" w:type="dxa"/>
              <w:right w:w="150" w:type="dxa"/>
            </w:tcMar>
            <w:shd w:fill="F8FAFC"/>
          </w:tcPr>
          <w:p>
            <w:r>
              <w:t>Reactions</w:t>
            </w:r>
          </w:p>
        </w:tc>
        <w:tc>
          <w:tcPr>
            <w:tcW w:type="dxa" w:w="3120"/>
            <w:tcMar>
              <w:top w:w="100" w:type="dxa"/>
              <w:bottom w:w="100" w:type="dxa"/>
              <w:left w:w="150" w:type="dxa"/>
              <w:right w:w="150" w:type="dxa"/>
            </w:tcMar>
            <w:shd w:fill="F8FAFC"/>
          </w:tcPr>
          <w:p>
            <w:r>
              <w:t>57</w:t>
            </w:r>
          </w:p>
        </w:tc>
        <w:tc>
          <w:tcPr>
            <w:tcW w:type="dxa" w:w="3120"/>
            <w:tcMar>
              <w:top w:w="100" w:type="dxa"/>
              <w:bottom w:w="100" w:type="dxa"/>
              <w:left w:w="150" w:type="dxa"/>
              <w:right w:w="150" w:type="dxa"/>
            </w:tcMar>
            <w:shd w:fill="F8FAFC"/>
          </w:tcPr>
          <w:p>
            <w:r>
              <w:t>18.8%</w:t>
            </w:r>
          </w:p>
        </w:tc>
      </w:tr>
      <w:tr>
        <w:tc>
          <w:tcPr>
            <w:tcW w:type="dxa" w:w="3120"/>
            <w:tcMar>
              <w:top w:w="100" w:type="dxa"/>
              <w:bottom w:w="100" w:type="dxa"/>
              <w:left w:w="150" w:type="dxa"/>
              <w:right w:w="150" w:type="dxa"/>
            </w:tcMar>
          </w:tcPr>
          <w:p>
            <w:r>
              <w:t>Comments</w:t>
            </w:r>
          </w:p>
        </w:tc>
        <w:tc>
          <w:tcPr>
            <w:tcW w:type="dxa" w:w="3120"/>
            <w:tcMar>
              <w:top w:w="100" w:type="dxa"/>
              <w:bottom w:w="100" w:type="dxa"/>
              <w:left w:w="150" w:type="dxa"/>
              <w:right w:w="150" w:type="dxa"/>
            </w:tcMar>
          </w:tcPr>
          <w:p>
            <w:r>
              <w:t>3</w:t>
            </w:r>
          </w:p>
        </w:tc>
        <w:tc>
          <w:tcPr>
            <w:tcW w:type="dxa" w:w="3120"/>
            <w:tcMar>
              <w:top w:w="100" w:type="dxa"/>
              <w:bottom w:w="100" w:type="dxa"/>
              <w:left w:w="150" w:type="dxa"/>
              <w:right w:w="150" w:type="dxa"/>
            </w:tcMar>
          </w:tcPr>
          <w:p>
            <w:r>
              <w:t>1.0%</w:t>
            </w:r>
          </w:p>
        </w:tc>
      </w:tr>
    </w:tbl>
    <w:p>
      <w:pPr>
        <w:spacing w:after="200"/>
      </w:pPr>
      <w:r>
        <w:rPr>
          <w:i/>
          <w:sz w:val="18"/>
        </w:rPr>
        <w:t>Strength: 80% of the engagement consists of shares — an exceptional rate. The content is shared naturally among people, which is the strongest type of organic reach as it is free and reaches audiences you did not target originally (98.3% of video views are from non-followers).</w:t>
      </w:r>
    </w:p>
    <w:p>
      <w:r>
        <w:rPr>
          <w:b/>
        </w:rPr>
        <w:t>New Follower Acquisition Sources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fill="1D293B"/>
            <w:tcMar>
              <w:top w:w="100" w:type="dxa"/>
              <w:bottom w:w="100" w:type="dxa"/>
              <w:left w:w="150" w:type="dxa"/>
              <w:right w:w="150" w:type="dxa"/>
            </w:tcMar>
          </w:tcPr>
          <w:p>
            <w:r>
              <w:rPr>
                <w:b/>
                <w:color w:val="FFFFFF"/>
              </w:rPr>
              <w:t>Feed</w:t>
            </w:r>
          </w:p>
        </w:tc>
        <w:tc>
          <w:tcPr>
            <w:tcW w:type="dxa" w:w="1872"/>
            <w:shd w:fill="1D293B"/>
            <w:tcMar>
              <w:top w:w="100" w:type="dxa"/>
              <w:bottom w:w="100" w:type="dxa"/>
              <w:left w:w="150" w:type="dxa"/>
              <w:right w:w="150" w:type="dxa"/>
            </w:tcMar>
          </w:tcPr>
          <w:p>
            <w:r>
              <w:rPr>
                <w:b/>
                <w:color w:val="FFFFFF"/>
              </w:rPr>
              <w:t>Groups</w:t>
            </w:r>
          </w:p>
        </w:tc>
        <w:tc>
          <w:tcPr>
            <w:tcW w:type="dxa" w:w="1872"/>
            <w:shd w:fill="1D293B"/>
            <w:tcMar>
              <w:top w:w="100" w:type="dxa"/>
              <w:bottom w:w="100" w:type="dxa"/>
              <w:left w:w="150" w:type="dxa"/>
              <w:right w:w="150" w:type="dxa"/>
            </w:tcMar>
          </w:tcPr>
          <w:p>
            <w:r>
              <w:rPr>
                <w:b/>
                <w:color w:val="FFFFFF"/>
              </w:rPr>
              <w:t>Reels</w:t>
            </w:r>
          </w:p>
        </w:tc>
        <w:tc>
          <w:tcPr>
            <w:tcW w:type="dxa" w:w="1872"/>
            <w:shd w:fill="1D293B"/>
            <w:tcMar>
              <w:top w:w="100" w:type="dxa"/>
              <w:bottom w:w="100" w:type="dxa"/>
              <w:left w:w="150" w:type="dxa"/>
              <w:right w:w="150" w:type="dxa"/>
            </w:tcMar>
          </w:tcPr>
          <w:p>
            <w:r>
              <w:rPr>
                <w:b/>
                <w:color w:val="FFFFFF"/>
              </w:rPr>
              <w:t>Your Page</w:t>
            </w:r>
          </w:p>
        </w:tc>
        <w:tc>
          <w:tcPr>
            <w:tcW w:type="dxa" w:w="1872"/>
            <w:shd w:fill="1D293B"/>
            <w:tcMar>
              <w:top w:w="100" w:type="dxa"/>
              <w:bottom w:w="100" w:type="dxa"/>
              <w:left w:w="150" w:type="dxa"/>
              <w:right w:w="150" w:type="dxa"/>
            </w:tcMar>
          </w:tcPr>
          <w:p>
            <w:r>
              <w:rPr>
                <w:b/>
                <w:color w:val="FFFFFF"/>
              </w:rPr>
              <w:t>Stories</w:t>
            </w:r>
          </w:p>
        </w:tc>
      </w:tr>
      <w:tr>
        <w:tc>
          <w:tcPr>
            <w:tcW w:type="dxa" w:w="1872"/>
            <w:tcMar>
              <w:top w:w="100" w:type="dxa"/>
              <w:bottom w:w="100" w:type="dxa"/>
              <w:left w:w="150" w:type="dxa"/>
              <w:right w:w="150" w:type="dxa"/>
            </w:tcMar>
          </w:tcPr>
          <w:p>
            <w:r>
              <w:t>19.6%</w:t>
            </w:r>
          </w:p>
        </w:tc>
        <w:tc>
          <w:tcPr>
            <w:tcW w:type="dxa" w:w="1872"/>
            <w:tcMar>
              <w:top w:w="100" w:type="dxa"/>
              <w:bottom w:w="100" w:type="dxa"/>
              <w:left w:w="150" w:type="dxa"/>
              <w:right w:w="150" w:type="dxa"/>
            </w:tcMar>
          </w:tcPr>
          <w:p>
            <w:r>
              <w:t>16.0%</w:t>
            </w:r>
          </w:p>
        </w:tc>
        <w:tc>
          <w:tcPr>
            <w:tcW w:type="dxa" w:w="1872"/>
            <w:tcMar>
              <w:top w:w="100" w:type="dxa"/>
              <w:bottom w:w="100" w:type="dxa"/>
              <w:left w:w="150" w:type="dxa"/>
              <w:right w:w="150" w:type="dxa"/>
            </w:tcMar>
          </w:tcPr>
          <w:p>
            <w:r>
              <w:t>14.8%</w:t>
            </w:r>
          </w:p>
        </w:tc>
        <w:tc>
          <w:tcPr>
            <w:tcW w:type="dxa" w:w="1872"/>
            <w:tcMar>
              <w:top w:w="100" w:type="dxa"/>
              <w:bottom w:w="100" w:type="dxa"/>
              <w:left w:w="150" w:type="dxa"/>
              <w:right w:w="150" w:type="dxa"/>
            </w:tcMar>
          </w:tcPr>
          <w:p>
            <w:r>
              <w:t>2.0%</w:t>
            </w:r>
          </w:p>
        </w:tc>
        <w:tc>
          <w:tcPr>
            <w:tcW w:type="dxa" w:w="1872"/>
            <w:tcMar>
              <w:top w:w="100" w:type="dxa"/>
              <w:bottom w:w="100" w:type="dxa"/>
              <w:left w:w="150" w:type="dxa"/>
              <w:right w:w="150" w:type="dxa"/>
            </w:tcMar>
          </w:tcPr>
          <w:p>
            <w:r>
              <w:t>0.0%</w:t>
            </w:r>
          </w:p>
        </w:tc>
      </w:tr>
    </w:tbl>
    <w:p>
      <w:pPr>
        <w:spacing w:after="400"/>
      </w:pPr>
      <w:r>
        <w:rPr>
          <w:i/>
          <w:sz w:val="18"/>
        </w:rPr>
        <w:t>47.6% of the source is 'Unavailable' in Meta — which is a general Meta classification and cannot be directly controlled.</w:t>
      </w:r>
    </w:p>
    <w:p>
      <w:pPr>
        <w:pStyle w:val="Heading2"/>
      </w:pPr>
      <w:r>
        <w:t>3.4 Close-up: Performance of an Individual Reel Ad</w:t>
      </w:r>
    </w:p>
    <w:p>
      <w:r>
        <w:t>One of the individual ads (a Reel ad with a budget of 50 AED for 5 days, of which 23.45 AED was spent up to the review time) illustrates how reach translates into actual results:</w:t>
      </w:r>
    </w:p>
    <w:tbl>
      <w:tblPr>
        <w:tblStyle w:val="LightShading-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1D293B"/>
            <w:tcMar>
              <w:top w:w="100" w:type="dxa"/>
              <w:bottom w:w="100" w:type="dxa"/>
              <w:left w:w="150" w:type="dxa"/>
              <w:right w:w="150" w:type="dxa"/>
            </w:tcMar>
          </w:tcPr>
          <w:p>
            <w:r>
              <w:rPr>
                <w:b/>
                <w:color w:val="FFFFFF"/>
              </w:rPr>
              <w:t>Views</w:t>
            </w:r>
          </w:p>
        </w:tc>
        <w:tc>
          <w:tcPr>
            <w:tcW w:type="dxa" w:w="1560"/>
            <w:shd w:fill="1D293B"/>
            <w:tcMar>
              <w:top w:w="100" w:type="dxa"/>
              <w:bottom w:w="100" w:type="dxa"/>
              <w:left w:w="150" w:type="dxa"/>
              <w:right w:w="150" w:type="dxa"/>
            </w:tcMar>
          </w:tcPr>
          <w:p>
            <w:r>
              <w:rPr>
                <w:b/>
                <w:color w:val="FFFFFF"/>
              </w:rPr>
              <w:t>Reach</w:t>
            </w:r>
          </w:p>
        </w:tc>
        <w:tc>
          <w:tcPr>
            <w:tcW w:type="dxa" w:w="1560"/>
            <w:shd w:fill="1D293B"/>
            <w:tcMar>
              <w:top w:w="100" w:type="dxa"/>
              <w:bottom w:w="100" w:type="dxa"/>
              <w:left w:w="150" w:type="dxa"/>
              <w:right w:w="150" w:type="dxa"/>
            </w:tcMar>
          </w:tcPr>
          <w:p>
            <w:r>
              <w:rPr>
                <w:b/>
                <w:color w:val="FFFFFF"/>
              </w:rPr>
              <w:t>3-Sec Plays</w:t>
            </w:r>
          </w:p>
        </w:tc>
        <w:tc>
          <w:tcPr>
            <w:tcW w:type="dxa" w:w="1560"/>
            <w:shd w:fill="1D293B"/>
            <w:tcMar>
              <w:top w:w="100" w:type="dxa"/>
              <w:bottom w:w="100" w:type="dxa"/>
              <w:left w:w="150" w:type="dxa"/>
              <w:right w:w="150" w:type="dxa"/>
            </w:tcMar>
          </w:tcPr>
          <w:p>
            <w:r>
              <w:rPr>
                <w:b/>
                <w:color w:val="FFFFFF"/>
              </w:rPr>
              <w:t>Link Clicks</w:t>
            </w:r>
          </w:p>
        </w:tc>
        <w:tc>
          <w:tcPr>
            <w:tcW w:type="dxa" w:w="1560"/>
            <w:shd w:fill="1D293B"/>
            <w:tcMar>
              <w:top w:w="100" w:type="dxa"/>
              <w:bottom w:w="100" w:type="dxa"/>
              <w:left w:w="150" w:type="dxa"/>
              <w:right w:w="150" w:type="dxa"/>
            </w:tcMar>
          </w:tcPr>
          <w:p>
            <w:r>
              <w:rPr>
                <w:b/>
                <w:color w:val="FFFFFF"/>
              </w:rPr>
              <w:t>Profile Visits</w:t>
            </w:r>
          </w:p>
        </w:tc>
        <w:tc>
          <w:tcPr>
            <w:tcW w:type="dxa" w:w="1560"/>
            <w:shd w:fill="1D293B"/>
            <w:tcMar>
              <w:top w:w="100" w:type="dxa"/>
              <w:bottom w:w="100" w:type="dxa"/>
              <w:left w:w="150" w:type="dxa"/>
              <w:right w:w="150" w:type="dxa"/>
            </w:tcMar>
          </w:tcPr>
          <w:p>
            <w:r>
              <w:rPr>
                <w:b/>
                <w:color w:val="FFFFFF"/>
              </w:rPr>
              <w:t>New Follows</w:t>
            </w:r>
          </w:p>
        </w:tc>
      </w:tr>
      <w:tr>
        <w:tc>
          <w:tcPr>
            <w:tcW w:type="dxa" w:w="1560"/>
            <w:tcMar>
              <w:top w:w="100" w:type="dxa"/>
              <w:bottom w:w="100" w:type="dxa"/>
              <w:left w:w="150" w:type="dxa"/>
              <w:right w:w="150" w:type="dxa"/>
            </w:tcMar>
          </w:tcPr>
          <w:p>
            <w:r>
              <w:t>1,402</w:t>
            </w:r>
          </w:p>
        </w:tc>
        <w:tc>
          <w:tcPr>
            <w:tcW w:type="dxa" w:w="1560"/>
            <w:tcMar>
              <w:top w:w="100" w:type="dxa"/>
              <w:bottom w:w="100" w:type="dxa"/>
              <w:left w:w="150" w:type="dxa"/>
              <w:right w:w="150" w:type="dxa"/>
            </w:tcMar>
          </w:tcPr>
          <w:p>
            <w:r>
              <w:t>1,040</w:t>
            </w:r>
          </w:p>
        </w:tc>
        <w:tc>
          <w:tcPr>
            <w:tcW w:type="dxa" w:w="1560"/>
            <w:tcMar>
              <w:top w:w="100" w:type="dxa"/>
              <w:bottom w:w="100" w:type="dxa"/>
              <w:left w:w="150" w:type="dxa"/>
              <w:right w:w="150" w:type="dxa"/>
            </w:tcMar>
          </w:tcPr>
          <w:p>
            <w:r>
              <w:t>344</w:t>
            </w:r>
          </w:p>
        </w:tc>
        <w:tc>
          <w:tcPr>
            <w:tcW w:type="dxa" w:w="1560"/>
            <w:tcMar>
              <w:top w:w="100" w:type="dxa"/>
              <w:bottom w:w="100" w:type="dxa"/>
              <w:left w:w="150" w:type="dxa"/>
              <w:right w:w="150" w:type="dxa"/>
            </w:tcMar>
          </w:tcPr>
          <w:p>
            <w:r>
              <w:t>49</w:t>
            </w:r>
          </w:p>
        </w:tc>
        <w:tc>
          <w:tcPr>
            <w:tcW w:type="dxa" w:w="1560"/>
            <w:tcMar>
              <w:top w:w="100" w:type="dxa"/>
              <w:bottom w:w="100" w:type="dxa"/>
              <w:left w:w="150" w:type="dxa"/>
              <w:right w:w="150" w:type="dxa"/>
            </w:tcMar>
          </w:tcPr>
          <w:p>
            <w:r>
              <w:t>48</w:t>
            </w:r>
          </w:p>
        </w:tc>
        <w:tc>
          <w:tcPr>
            <w:tcW w:type="dxa" w:w="1560"/>
            <w:tcMar>
              <w:top w:w="100" w:type="dxa"/>
              <w:bottom w:w="100" w:type="dxa"/>
              <w:left w:w="150" w:type="dxa"/>
              <w:right w:w="150" w:type="dxa"/>
            </w:tcMar>
          </w:tcPr>
          <w:p>
            <w:r>
              <w:t>5</w:t>
            </w:r>
          </w:p>
        </w:tc>
      </w:tr>
    </w:tbl>
    <w:p>
      <w:pPr>
        <w:spacing w:after="400"/>
      </w:pPr>
      <w:r>
        <w:rPr>
          <w:i/>
          <w:sz w:val="18"/>
        </w:rPr>
        <w:t>Out of 1,402 views, 49 turned into link clicks, 48 into profile visits, and 5 into new follows, but only 1 conversation actually started (Messaging conversation started: 1). This is additional confirmation that the content attracts attention strongly, but the step of 'converting interested users into contacting leads' is currently the weakest link.</w:t>
      </w:r>
    </w:p>
    <w:p>
      <w:pPr>
        <w:pStyle w:val="Heading1"/>
      </w:pPr>
      <w:r>
        <w:t>4. Strengths</w:t>
      </w:r>
    </w:p>
    <w:p>
      <w:pPr>
        <w:pStyle w:val="ListBullet"/>
      </w:pPr>
      <w:r>
        <w:t>Highly competitive cost compared to the UAE real estate market average: average CPM is 34.98 AED, and the cost per conversation for the main campaign is 5.23 AED.</w:t>
      </w:r>
    </w:p>
    <w:p>
      <w:pPr>
        <w:pStyle w:val="ListBullet"/>
      </w:pPr>
      <w:r>
        <w:t>Carousel creative clearly outperforms single image (cost is 34% lower, click-through rate is 5.6 times higher) — a clear indicator of the content type that suits the audience.</w:t>
      </w:r>
    </w:p>
    <w:p>
      <w:pPr>
        <w:pStyle w:val="ListBullet"/>
      </w:pPr>
      <w:r>
        <w:t>Strong and cost-free organic reach: 80% of engagement is through shares, and 98.3% of video views come from non-followers — meaning the content reaches a new audience for free.</w:t>
      </w:r>
    </w:p>
    <w:p>
      <w:pPr>
        <w:pStyle w:val="ListBullet"/>
      </w:pPr>
      <w:r>
        <w:t>Healthy and accelerated follower growth (from near zero to 189 followers) indicates the page has started gaining real trust in the market.</w:t>
      </w:r>
    </w:p>
    <w:p>
      <w:pPr>
        <w:pStyle w:val="ListBullet"/>
      </w:pPr>
      <w:r>
        <w:t>Interest distributed across multiple age groups (from 18 to 65+) and not limited to a narrow segment — meaning a wide potential market for future expansion.</w:t>
      </w:r>
    </w:p>
    <w:p>
      <w:pPr>
        <w:pStyle w:val="ListBullet"/>
      </w:pPr>
      <w:r>
        <w:t>Reels format achieves an engagement rate (57.1%) higher than its views share (37.3%) — meaning it is more effective at convincing the audience to engage.</w:t>
      </w:r>
    </w:p>
    <w:p>
      <w:pPr>
        <w:spacing w:after="200"/>
      </w:pPr>
    </w:p>
    <w:p>
      <w:pPr>
        <w:pStyle w:val="Heading1"/>
      </w:pPr>
      <w:r>
        <w:t>5. Weaknesses</w:t>
      </w:r>
    </w:p>
    <w:p>
      <w:pPr>
        <w:pStyle w:val="ListBullet"/>
      </w:pPr>
      <w:r>
        <w:t>The total budget is very small (~11.5 AED/day) — not enough to exit campaigns from the Meta algorithm's 'learning phase,' making all the above figures preliminary trends rather than statistically confirmed results.</w:t>
      </w:r>
    </w:p>
    <w:p>
      <w:pPr>
        <w:pStyle w:val="ListBullet"/>
      </w:pPr>
      <w:r>
        <w:t>The 'Engagement Ad' campaign is optimized for 'Facebook likes' only — a metric that does not lead directly to a viewing visit or property booking, and may give a misleading sense of success due to its cheap cost.</w:t>
      </w:r>
    </w:p>
    <w:p>
      <w:pPr>
        <w:pStyle w:val="ListBullet"/>
      </w:pPr>
      <w:r>
        <w:t>Dispersion of the Engagement campaign budget across 7 different creative versions, some of which spent less than 1 AED — this is not enough for learning and wastes part of the budget on variables that will not be used in any decision.</w:t>
      </w:r>
    </w:p>
    <w:p>
      <w:pPr>
        <w:pStyle w:val="ListBullet"/>
      </w:pPr>
      <w:r>
        <w:t>The single image creative in the leads campaign is clearly less efficient (cost is 50% higher) yet still consumes a budget parallel to the better-performing carousel.</w:t>
      </w:r>
    </w:p>
    <w:p>
      <w:pPr>
        <w:pStyle w:val="ListBullet"/>
      </w:pPr>
      <w:r>
        <w:t>The 45-54 age group in the leads campaign is very weak (cost per conversation is 12.62 AED — significantly higher than other groups).</w:t>
      </w:r>
    </w:p>
    <w:p>
      <w:pPr>
        <w:pStyle w:val="ListBullet"/>
      </w:pPr>
      <w:r>
        <w:t>Presence of an 'Unknown' age segment that consumed 2.49 AED without any result (a minor waste but avoidable).</w:t>
      </w:r>
    </w:p>
    <w:p>
      <w:pPr>
        <w:pStyle w:val="ListBullet"/>
      </w:pPr>
      <w:r>
        <w:t>No clear link between 'starting a conversation' and the actual business result (qualified lead / booking a viewing / sale) — all available data is from Ads Manager only without sales team follow-up.</w:t>
      </w:r>
    </w:p>
    <w:p>
      <w:pPr>
        <w:pStyle w:val="ListBullet"/>
      </w:pPr>
      <w:r>
        <w:t>Almost complete reliance on open Messenger conversations without a lead form (Name / Phone / Budget / Unit Type) makes lead qualification manual and disorganized.</w:t>
      </w:r>
    </w:p>
    <w:p>
      <w:pPr>
        <w:spacing w:after="200"/>
      </w:pPr>
    </w:p>
    <w:p>
      <w:pPr>
        <w:pStyle w:val="Heading1"/>
      </w:pPr>
      <w:r>
        <w:t>6. Next Development Plan</w:t>
      </w:r>
    </w:p>
    <w:p>
      <w:pPr>
        <w:pStyle w:val="Heading2"/>
      </w:pPr>
      <w:r>
        <w:t>6.1 Immediate Actions (Next Two Weeks)</w:t>
      </w:r>
    </w:p>
    <w:p>
      <w:pPr>
        <w:pStyle w:val="ListBullet"/>
      </w:pPr>
      <w:r>
        <w:t>Stop the single image creative in the 'First Ad Month 6' campaign entirely, and transfer its entire budget to the better-performing carousel version.</w:t>
      </w:r>
    </w:p>
    <w:p>
      <w:pPr>
        <w:pStyle w:val="ListBullet"/>
      </w:pPr>
      <w:r>
        <w:t>Consolidate the Engagement campaign: Keep the 'Engagement Ad 7' version and the best one or two versions only, and stop the remaining dispersed versions immediately.</w:t>
      </w:r>
    </w:p>
    <w:p>
      <w:pPr>
        <w:pStyle w:val="ListBullet"/>
      </w:pPr>
      <w:r>
        <w:t>Change the objective of the Engagement campaign from 'Engagement' to 'Conversations / Leads' — cheap engagement does not build a real estate client portfolio.</w:t>
      </w:r>
    </w:p>
    <w:p>
      <w:pPr>
        <w:pStyle w:val="ListBullet"/>
      </w:pPr>
      <w:r>
        <w:t>Create an Instant Form or a simple landing page that collects: Name, Phone Number, Approximate Budget, Required Unit Type — to reduce complete reliance on open Messenger conversations.</w:t>
      </w:r>
    </w:p>
    <w:p>
      <w:pPr>
        <w:pStyle w:val="ListBullet"/>
      </w:pPr>
      <w:r>
        <w:t>Exclude or reduce targeting of the 45-54 age group in the leads campaign temporarily, or test it with a different creative/offer before making a final judgment.</w:t>
      </w:r>
    </w:p>
    <w:p>
      <w:pPr>
        <w:pStyle w:val="Heading2"/>
      </w:pPr>
      <w:r>
        <w:t>6.2 Medium-Term Steps (Months 1 to 3)</w:t>
      </w:r>
    </w:p>
    <w:p>
      <w:pPr>
        <w:pStyle w:val="ListBullet"/>
      </w:pPr>
      <w:r>
        <w:t>Gradually increase the daily budget to a level that allows campaigns to exit the learning phase (it is preferred that the total daily budget is not less than 50–80 AED as a practical minimum for two active campaigns, depending on the client's budget).</w:t>
      </w:r>
    </w:p>
    <w:p>
      <w:pPr>
        <w:pStyle w:val="ListBullet"/>
      </w:pPr>
      <w:r>
        <w:t>Create a tracking sheet (a spreadsheet or a simple CRM) that records every conversation: Did it turn into a qualified lead? Was a viewing booked? Was a sale made? — to calculate 'Cost per Qualified Lead' and 'Cost per Site Visit,' which are the true measures of a real estate campaign's success.</w:t>
      </w:r>
    </w:p>
    <w:p>
      <w:pPr>
        <w:pStyle w:val="ListBullet"/>
      </w:pPr>
      <w:r>
        <w:t>Activate additional breakdowns by gender and placement (Feed / Stories / Reels) after increasing the budget to provide a sufficient sample for analysis.</w:t>
      </w:r>
    </w:p>
    <w:p>
      <w:pPr>
        <w:pStyle w:val="ListBullet"/>
      </w:pPr>
      <w:r>
        <w:t>Build a Retargeting campaign for those who watched the video for 3 seconds or more or visited the profile but did not start a conversation — this audience is 'warm' and the cost to reach them is much lower.</w:t>
      </w:r>
    </w:p>
    <w:p>
      <w:pPr>
        <w:pStyle w:val="ListBullet"/>
      </w:pPr>
      <w:r>
        <w:t>Create a Lookalike audience from the base of those who started conversations after a sufficient amount of data is available (preferably 50 events or more).</w:t>
      </w:r>
    </w:p>
    <w:p>
      <w:pPr>
        <w:pStyle w:val="ListBullet"/>
      </w:pPr>
      <w:r>
        <w:t>Test different ad angles for the video content (Price, Lifestyle, Urgency/Limited Offer) by leveraging the current high share rate of organic Reels content.</w:t>
      </w:r>
    </w:p>
    <w:p>
      <w:pPr>
        <w:pStyle w:val="Heading2"/>
      </w:pPr>
      <w:r>
        <w:t>6.3 Metrics to Monitor Weekly</w:t>
      </w:r>
    </w:p>
    <w:p>
      <w:pPr>
        <w:pStyle w:val="ListBullet"/>
      </w:pPr>
      <w:r>
        <w:t>Cost per Qualified Lead — not just cost per conversation.</w:t>
      </w:r>
    </w:p>
    <w:p>
      <w:pPr>
        <w:pStyle w:val="ListBullet"/>
      </w:pPr>
      <w:r>
        <w:t>Cost per Site Visit.</w:t>
      </w:r>
    </w:p>
    <w:p>
      <w:pPr>
        <w:pStyle w:val="ListBullet"/>
      </w:pPr>
      <w:r>
        <w:t>Frequency rate for each campaign to detect 'Ad Fatigue' early.</w:t>
      </w:r>
    </w:p>
    <w:p>
      <w:pPr>
        <w:pStyle w:val="ListBullet"/>
      </w:pPr>
      <w:r>
        <w:t>Hook Rate (first 3 seconds play rate) for video/Reels content.</w:t>
      </w:r>
    </w:p>
    <w:p>
      <w:pPr>
        <w:pStyle w:val="ListBullet"/>
      </w:pPr>
      <w:r>
        <w:t>Follower growth rate and organic reach source.</w:t>
      </w:r>
    </w:p>
    <w:p>
      <w:pPr>
        <w:spacing w:before="200" w:after="400"/>
      </w:pPr>
      <w:r>
        <w:rPr>
          <w:i/>
          <w:sz w:val="20"/>
        </w:rPr>
        <w:t>Time Recommendation: It is preferred not to make major decisions regarding increasing budget or stopping entire segments before at least 4-6 weeks of accumulated data after the above adjustments, to give the Meta algorithm sufficient time to learn.</w:t>
      </w:r>
    </w:p>
    <w:p>
      <w:pPr>
        <w:pStyle w:val="Heading1"/>
      </w:pPr>
      <w:r>
        <w:t>7. Conclusion</w:t>
      </w:r>
    </w:p>
    <w:p>
      <w:r>
        <w:t>The current results represent a promising start, not a final judgment: costs are low, organic reach is strong, and market interest is clearly present. The real gap is not in attracting attention, but in converting this attention into qualified, trackable conversations up to the sale. The focus during the coming period should be on: cleaning up weak creatives, correcting the objective of the engagement campaign, adding a data registration form, and linking each lead to their entire journey up to booking or sale — only then can the true Return on Ad Spend (ROAS) be measured to serve the client's real estate decisions.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utfit" w:hAnsi="Outfit"/>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utfit" w:hAnsi="Outfit"/>
      <w:b/>
      <w:bCs/>
      <w:color w:val="B58D2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utfit" w:hAnsi="Outfi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