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Sustainability-Aware Asset Management</w:t>
      </w:r>
    </w:p>
    <w:p>
      <w:pPr>
        <w:spacing w:after="60"/>
        <w:jc w:val="center"/>
      </w:pPr>
      <w:r>
        <w:rPr>
          <w:rFonts w:ascii="Arial" w:cs="Arial" w:eastAsia="Arial" w:hAnsi="Arial"/>
          <w:b/>
          <w:bCs/>
          <w:sz w:val="30"/>
          <w:szCs w:val="30"/>
        </w:rPr>
        <w:t xml:space="preserve">Investment Project — Part II</w:t>
      </w:r>
    </w:p>
    <w:p>
      <w:pPr>
        <w:spacing w:after="240"/>
        <w:jc w:val="center"/>
      </w:pPr>
      <w:r>
        <w:rPr>
          <w:rFonts w:ascii="Arial" w:cs="Arial" w:eastAsia="Arial" w:hAnsi="Arial"/>
          <w:i/>
          <w:iCs/>
          <w:sz w:val="26"/>
          <w:szCs w:val="26"/>
        </w:rPr>
        <w:t xml:space="preserve">Carbon-Aware Portfolio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Region</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European Equities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Carbon scope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Scope 1 + Scope 2 (sum)</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Investment window</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January 2014 – December 2025 (12 years OOS)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Net-zero glide path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θ = 10% / year, anchored at CF(P^(vw))_2013</w:t>
            </w:r>
          </w:p>
        </w:tc>
      </w:tr>
    </w:tbl>
    <w:p>
      <w:pPr>
        <w:spacing w:after="280"/>
      </w:pPr>
      <w:r>
        <w:t xml:space="preserve"/>
      </w:r>
    </w:p>
    <w:p>
      <w:pPr>
        <w:pStyle w:val="Heading1"/>
        <w:spacing w:after="200" w:before="360"/>
      </w:pPr>
      <w:r>
        <w:rPr>
          <w:rFonts w:ascii="Arial" w:cs="Arial" w:eastAsia="Arial" w:hAnsi="Arial"/>
          <w:b/>
          <w:bCs/>
          <w:color w:val="1F4E79"/>
          <w:sz w:val="32"/>
          <w:szCs w:val="32"/>
        </w:rPr>
        <w:t xml:space="preserve">1. Executive Summary</w:t>
      </w:r>
    </w:p>
    <w:p>
      <w:pPr>
        <w:spacing w:after="160"/>
        <w:jc w:val="both"/>
      </w:pPr>
      <w:r>
        <w:rPr>
          <w:rFonts w:ascii="Arial" w:cs="Arial" w:eastAsia="Arial" w:hAnsi="Arial"/>
          <w:sz w:val="22"/>
          <w:szCs w:val="22"/>
        </w:rPr>
        <w:t xml:space="preserve">This report extends the unconstrained allocation of Part I to incorporate carbon-emission constraints. Three carbon-aware portfolios are constructed over 2014–2025: an active investor's minimum-variance portfolio with carbon footprint (CF) capped at 50% of its unconstrained baseline; a passive investor's tracking-error-minimizing portfolio benchmarked against value-weighted equity P^(vw), with the same 50% cap; and a net-zero variant whose CF target tightens by 10% per year from the 2013 P^(vw) baseline. Three findings stand out:</w:t>
      </w:r>
    </w:p>
    <w:p>
      <w:pPr>
        <w:pStyle w:val="ListParagraph"/>
        <w:numPr>
          <w:ilvl w:val="0"/>
          <w:numId w:val="2"/>
        </w:numPr>
        <w:spacing w:after="80"/>
      </w:pPr>
      <w:r>
        <w:rPr>
          <w:rFonts w:ascii="Arial" w:cs="Arial" w:eastAsia="Arial" w:hAnsi="Arial"/>
          <w:b/>
          <w:bCs/>
          <w:sz w:val="22"/>
          <w:szCs w:val="22"/>
        </w:rPr>
        <w:t xml:space="preserve">Decarbonization is essentially free for the active investor</w:t>
      </w:r>
      <w:r>
        <w:rPr>
          <w:rFonts w:ascii="Arial" w:cs="Arial" w:eastAsia="Arial" w:hAnsi="Arial"/>
          <w:sz w:val="22"/>
          <w:szCs w:val="22"/>
        </w:rPr>
        <w:t xml:space="preserve">. Halving CF moves Sharpe from 0.218 to 0.217 and adds 4 bp of annualized volatility. The unconstrained MV portfolio already loaded on low-carbon defensive sectors, so the carbon constraint reinforces an existing tilt rather than imposing a new one.</w:t>
      </w:r>
    </w:p>
    <w:p>
      <w:pPr>
        <w:pStyle w:val="ListParagraph"/>
        <w:numPr>
          <w:ilvl w:val="0"/>
          <w:numId w:val="2"/>
        </w:numPr>
        <w:spacing w:after="80"/>
      </w:pPr>
      <w:r>
        <w:rPr>
          <w:rFonts w:ascii="Arial" w:cs="Arial" w:eastAsia="Arial" w:hAnsi="Arial"/>
          <w:b/>
          <w:bCs/>
          <w:sz w:val="22"/>
          <w:szCs w:val="22"/>
        </w:rPr>
        <w:t xml:space="preserve">Decarbonization costs the passive investor about 30 bp/year of return</w:t>
      </w:r>
      <w:r>
        <w:rPr>
          <w:rFonts w:ascii="Arial" w:cs="Arial" w:eastAsia="Arial" w:hAnsi="Arial"/>
          <w:sz w:val="22"/>
          <w:szCs w:val="22"/>
        </w:rPr>
        <w:t xml:space="preserve"> (information ratio = −0.41), but the underperformance is statistically indistinguishable from zero given the 12-year sample. The drag is concentrated in the 2021–2022 energy-sector bull run.</w:t>
      </w:r>
    </w:p>
    <w:p>
      <w:pPr>
        <w:pStyle w:val="ListParagraph"/>
        <w:numPr>
          <w:ilvl w:val="0"/>
          <w:numId w:val="2"/>
        </w:numPr>
        <w:spacing w:after="80"/>
      </w:pPr>
      <w:r>
        <w:rPr>
          <w:rFonts w:ascii="Arial" w:cs="Arial" w:eastAsia="Arial" w:hAnsi="Arial"/>
          <w:b/>
          <w:bCs/>
          <w:sz w:val="22"/>
          <w:szCs w:val="22"/>
        </w:rPr>
        <w:t xml:space="preserve">A 10%/year net-zero glide path was looser than a "CF ≤ 50% of benchmark" rule in every year of our window</w:t>
      </w:r>
      <w:r>
        <w:rPr>
          <w:rFonts w:ascii="Arial" w:cs="Arial" w:eastAsia="Arial" w:hAnsi="Arial"/>
          <w:sz w:val="22"/>
          <w:szCs w:val="22"/>
        </w:rPr>
        <w:t xml:space="preserve">. The benchmark itself decarbonized by 58% organically, so a relative target inherits structural decarbonization that an absolute glide path does not. </w:t>
      </w:r>
      <w:r>
        <w:rPr>
          <w:rFonts w:ascii="Arial" w:cs="Arial" w:eastAsia="Arial" w:hAnsi="Arial"/>
          <w:i/>
          <w:iCs/>
          <w:sz w:val="22"/>
          <w:szCs w:val="22"/>
        </w:rPr>
        <w:t xml:space="preserve">Net-zero pledges anchored to absolute historical baselines silently weaken when their benchmark decarbonizes faster than the pledged rate.</w:t>
      </w:r>
    </w:p>
    <w:p>
      <w:pPr>
        <w:pStyle w:val="Heading1"/>
        <w:spacing w:after="200" w:before="360"/>
      </w:pPr>
      <w:r>
        <w:rPr>
          <w:rFonts w:ascii="Arial" w:cs="Arial" w:eastAsia="Arial" w:hAnsi="Arial"/>
          <w:b/>
          <w:bCs/>
          <w:color w:val="1F4E79"/>
          <w:sz w:val="32"/>
          <w:szCs w:val="32"/>
        </w:rPr>
        <w:t xml:space="preserve">2. Methodology</w:t>
      </w:r>
    </w:p>
    <w:p>
      <w:pPr>
        <w:pStyle w:val="Heading3"/>
        <w:spacing w:after="120" w:before="200"/>
      </w:pPr>
      <w:r>
        <w:rPr>
          <w:rFonts w:ascii="Arial" w:cs="Arial" w:eastAsia="Arial" w:hAnsi="Arial"/>
          <w:b/>
          <w:bCs/>
          <w:sz w:val="22"/>
          <w:szCs w:val="22"/>
        </w:rPr>
        <w:t xml:space="preserve">Universe and data</w:t>
      </w:r>
    </w:p>
    <w:p>
      <w:pPr>
        <w:spacing w:after="160"/>
        <w:jc w:val="both"/>
      </w:pPr>
      <w:r>
        <w:rPr>
          <w:rFonts w:ascii="Arial" w:cs="Arial" w:eastAsia="Arial" w:hAnsi="Arial"/>
          <w:b/>
          <w:bCs/>
          <w:sz w:val="22"/>
          <w:szCs w:val="22"/>
        </w:rPr>
        <w:t xml:space="preserve">Universe.</w:t>
      </w:r>
      <w:r>
        <w:rPr>
          <w:rFonts w:ascii="Arial" w:cs="Arial" w:eastAsia="Arial" w:hAnsi="Arial"/>
          <w:sz w:val="22"/>
          <w:szCs w:val="22"/>
        </w:rPr>
        <w:t xml:space="preserve"> European equities filtered annually for valid Dec-Y price, at least 36 valid monthly returns in the prior 10-year window, no more than 30% stale-zero returns, and presence of both Scope 1 and Scope 2 emissions. The filter retains 470 firms in 2013, growing to 602 in 2021, and 565 in 2024.</w:t>
      </w:r>
    </w:p>
    <w:p>
      <w:pPr>
        <w:spacing w:after="160"/>
        <w:jc w:val="both"/>
      </w:pPr>
      <w:r>
        <w:rPr>
          <w:rFonts w:ascii="Arial" w:cs="Arial" w:eastAsia="Arial" w:hAnsi="Arial"/>
          <w:b/>
          <w:bCs/>
          <w:sz w:val="22"/>
          <w:szCs w:val="22"/>
        </w:rPr>
        <w:t xml:space="preserve">Carbon data.</w:t>
      </w:r>
      <w:r>
        <w:rPr>
          <w:rFonts w:ascii="Arial" w:cs="Arial" w:eastAsia="Arial" w:hAnsi="Arial"/>
          <w:sz w:val="22"/>
          <w:szCs w:val="22"/>
        </w:rPr>
        <w:t xml:space="preserve"> Total emissions E_i,Y = Scope1_i,Y + Scope2_i,Y (tCO₂). Revenue Rev_i,Y in M$ (Datastream raw values divided by 1000). Year-end market capitalization Cap_i,Y in M$. Per-firm carbon intensity CI_i,Y = E_i,Y / Rev_i,Y. WACI and CF are reported on the carbon-data subset; coverage by weight is ≥99% in all years, with the residual gap reflecting firms reporting emissions but not revenue (typically holding companies).</w:t>
      </w:r>
    </w:p>
    <w:p>
      <w:pPr>
        <w:pStyle w:val="Heading3"/>
        <w:spacing w:after="120" w:before="200"/>
      </w:pPr>
      <w:r>
        <w:rPr>
          <w:rFonts w:ascii="Arial" w:cs="Arial" w:eastAsia="Arial" w:hAnsi="Arial"/>
          <w:b/>
          <w:bCs/>
          <w:sz w:val="22"/>
          <w:szCs w:val="22"/>
        </w:rPr>
        <w:t xml:space="preserve">Estimation</w:t>
      </w:r>
    </w:p>
    <w:p>
      <w:pPr>
        <w:spacing w:after="160"/>
        <w:jc w:val="both"/>
      </w:pPr>
      <w:r>
        <w:rPr>
          <w:rFonts w:ascii="Arial" w:cs="Arial" w:eastAsia="Arial" w:hAnsi="Arial"/>
          <w:sz w:val="22"/>
          <w:szCs w:val="22"/>
        </w:rPr>
        <w:t xml:space="preserve">Pairwise-complete sample covariance with Ledoit–Wolf shrinkage to a constant-correlation target on 10 years of monthly returns (estimation window Y−9 to Y, used to build the Y-end portfolio held over Y+1). Out-of-sample monthly returns computed with drifted weights between annual rebalances. Delisted firms are credited with −100% in the delisting month and dropped thereafter — the most punitive treatment, avoiding survivorship bias.</w:t>
      </w:r>
    </w:p>
    <w:p>
      <w:pPr>
        <w:pStyle w:val="Heading3"/>
        <w:spacing w:after="120" w:before="200"/>
      </w:pPr>
      <w:r>
        <w:rPr>
          <w:rFonts w:ascii="Arial" w:cs="Arial" w:eastAsia="Arial" w:hAnsi="Arial"/>
          <w:b/>
          <w:bCs/>
          <w:sz w:val="22"/>
          <w:szCs w:val="22"/>
        </w:rPr>
        <w:t xml:space="preserve">Optimization</w:t>
      </w:r>
    </w:p>
    <w:p>
      <w:pPr>
        <w:spacing w:after="160"/>
        <w:jc w:val="both"/>
      </w:pPr>
      <w:r>
        <w:rPr>
          <w:rFonts w:ascii="Arial" w:cs="Arial" w:eastAsia="Arial" w:hAnsi="Arial"/>
          <w:sz w:val="22"/>
          <w:szCs w:val="22"/>
        </w:rPr>
        <w:t xml:space="preserve">All carbon-constrained problems are convex quadratic programs solved with SLSQP (analytic Jacobians):</w:t>
      </w:r>
    </w:p>
    <w:p>
      <w:pPr>
        <w:pStyle w:val="ListParagraph"/>
        <w:numPr>
          <w:ilvl w:val="0"/>
          <w:numId w:val="2"/>
        </w:numPr>
        <w:spacing w:after="80"/>
      </w:pPr>
      <w:r>
        <w:rPr>
          <w:rFonts w:ascii="Arial" w:cs="Arial" w:eastAsia="Arial" w:hAnsi="Arial"/>
          <w:b/>
          <w:bCs/>
          <w:sz w:val="22"/>
          <w:szCs w:val="22"/>
        </w:rPr>
        <w:t xml:space="preserve">Active investor: </w:t>
      </w:r>
      <w:r>
        <w:rPr>
          <w:rFonts w:ascii="Arial" w:cs="Arial" w:eastAsia="Arial" w:hAnsi="Arial"/>
          <w:sz w:val="22"/>
          <w:szCs w:val="22"/>
        </w:rPr>
        <w:t xml:space="preserve">min α′Σα subject to e′α = 1, c′α ≤ τ, α ≥ 0</w:t>
      </w:r>
    </w:p>
    <w:p>
      <w:pPr>
        <w:pStyle w:val="ListParagraph"/>
        <w:numPr>
          <w:ilvl w:val="0"/>
          <w:numId w:val="2"/>
        </w:numPr>
        <w:spacing w:after="80"/>
      </w:pPr>
      <w:r>
        <w:rPr>
          <w:rFonts w:ascii="Arial" w:cs="Arial" w:eastAsia="Arial" w:hAnsi="Arial"/>
          <w:b/>
          <w:bCs/>
          <w:sz w:val="22"/>
          <w:szCs w:val="22"/>
        </w:rPr>
        <w:t xml:space="preserve">Passive investor: </w:t>
      </w:r>
      <w:r>
        <w:rPr>
          <w:rFonts w:ascii="Arial" w:cs="Arial" w:eastAsia="Arial" w:hAnsi="Arial"/>
          <w:sz w:val="22"/>
          <w:szCs w:val="22"/>
        </w:rPr>
        <w:t xml:space="preserve">min (α − w_vw)′Σ(α − w_vw) subject to the same constraints</w:t>
      </w:r>
    </w:p>
    <w:p>
      <w:pPr>
        <w:spacing w:after="160"/>
        <w:jc w:val="both"/>
      </w:pPr>
      <w:r>
        <w:rPr>
          <w:rFonts w:ascii="Arial" w:cs="Arial" w:eastAsia="Arial" w:hAnsi="Arial"/>
          <w:sz w:val="22"/>
          <w:szCs w:val="22"/>
        </w:rPr>
        <w:t xml:space="preserve">where c_i = E_i,Y / Cap_i,Y is the per-firm CF coefficient. Per-year feasibility is verified ex ante via a linear program min c′α; whenever the project target falls below the LP minimum, the target is relaxed to (LP min × 1.001) and logged. </w:t>
      </w:r>
      <w:r>
        <w:rPr>
          <w:rFonts w:ascii="Arial" w:cs="Arial" w:eastAsia="Arial" w:hAnsi="Arial"/>
          <w:b/>
          <w:bCs/>
          <w:sz w:val="22"/>
          <w:szCs w:val="22"/>
        </w:rPr>
        <w:t xml:space="preserve">No relaxation was required in any of the three optimization runs.</w:t>
      </w:r>
    </w:p>
    <w:p>
      <w:pPr>
        <w:pStyle w:val="Heading1"/>
        <w:spacing w:after="200" w:before="360"/>
      </w:pPr>
      <w:r>
        <w:rPr>
          <w:rFonts w:ascii="Arial" w:cs="Arial" w:eastAsia="Arial" w:hAnsi="Arial"/>
          <w:b/>
          <w:bCs/>
          <w:color w:val="1F4E79"/>
          <w:sz w:val="32"/>
          <w:szCs w:val="32"/>
        </w:rPr>
        <w:t xml:space="preserve">3. Baseline Carbon Profile (Section 3.1)</w:t>
      </w:r>
    </w:p>
    <w:p>
      <w:pPr>
        <w:spacing w:after="160"/>
        <w:jc w:val="both"/>
      </w:pPr>
      <w:r>
        <w:rPr>
          <w:rFonts w:ascii="Arial" w:cs="Arial" w:eastAsia="Arial" w:hAnsi="Arial"/>
          <w:sz w:val="22"/>
          <w:szCs w:val="22"/>
        </w:rPr>
        <w:t xml:space="preserve">Both portfolios show meaningful organic decarbonization over the window. VW CF declines from 213.06 in 2013 to 89.18 in 2024 — a </w:t>
      </w:r>
      <w:r>
        <w:rPr>
          <w:rFonts w:ascii="Arial" w:cs="Arial" w:eastAsia="Arial" w:hAnsi="Arial"/>
          <w:b/>
          <w:bCs/>
          <w:sz w:val="22"/>
          <w:szCs w:val="22"/>
        </w:rPr>
        <w:t xml:space="preserve">58% reduction with no policy intervention</w:t>
      </w:r>
      <w:r>
        <w:rPr>
          <w:rFonts w:ascii="Arial" w:cs="Arial" w:eastAsia="Arial" w:hAnsi="Arial"/>
          <w:sz w:val="22"/>
          <w:szCs w:val="22"/>
        </w:rPr>
        <w:t xml:space="preserve">, driven mainly by efficiency gains at large fossil-fuel firms (Shell, TotalEnergies, ENI, Equinor) and by utility transition (E.ON, Iberdrola, Enel). MV carbon metrics are more volatile because the low-vol optimizer concentrates in fewer names — when one happens to be a high-emitter mid-cap (e.g., 2014, 2016), CF spikes.</w:t>
      </w:r>
    </w:p>
    <w:p>
      <w:pPr>
        <w:spacing w:after="80" w:before="0"/>
        <w:jc w:val="left"/>
      </w:pPr>
      <w:r>
        <w:rPr>
          <w:rFonts w:ascii="Arial" w:cs="Arial" w:eastAsia="Arial" w:hAnsi="Arial"/>
          <w:sz w:val="22"/>
          <w:szCs w:val="22"/>
        </w:rPr>
        <w:t xml:space="preserve">Table 1. Mean carbon metrics, 2013–2024.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460"/>
      </w:tblGrid>
      <w:tr>
        <w:trPr>
          <w:tblHeader/>
        </w:trPr>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Portfolio</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Mean WACI (tCO₂/M$ rev)</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Mean CF (tCO₂/M$ inv)</w:t>
            </w:r>
          </w:p>
        </w:tc>
        <w:tc>
          <w:tcPr>
            <w:tcW w:type="dxa" w:w="1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WACI 2013→2024</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P^(mv)_oos (active baseline)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88.2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136.5</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56.4 → 37.3</w:t>
            </w:r>
          </w:p>
        </w:tc>
      </w:tr>
      <w:tr>
        <w:trPr>
          <w:tblHeader w:val="false"/>
        </w:trP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P^(vw) (passive benchmark)</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128.6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150.0</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135.3 → 83.0</w:t>
            </w:r>
          </w:p>
        </w:tc>
      </w:tr>
    </w:tbl>
    <w:p>
      <w:pPr>
        <w:spacing w:after="120"/>
      </w:pPr>
      <w:r>
        <w:t xml:space="preserve"/>
      </w:r>
    </w:p>
    <w:p>
      <w:pPr>
        <w:spacing w:after="160"/>
        <w:jc w:val="both"/>
      </w:pPr>
      <w:r>
        <w:rPr>
          <w:rFonts w:ascii="Arial" w:cs="Arial" w:eastAsia="Arial" w:hAnsi="Arial"/>
          <w:b/>
          <w:bCs/>
          <w:sz w:val="22"/>
          <w:szCs w:val="22"/>
        </w:rPr>
        <w:t xml:space="preserve">Direction: </w:t>
      </w:r>
      <w:r>
        <w:rPr>
          <w:rFonts w:ascii="Arial" w:cs="Arial" w:eastAsia="Arial" w:hAnsi="Arial"/>
          <w:sz w:val="22"/>
          <w:szCs w:val="22"/>
        </w:rPr>
        <w:t xml:space="preserve">MV WACI is below VW WACI in 10 of the 12 years. The natural low-vol tilt favors banks, insurance, healthcare and consumer staples — sectors with low operational emissions per dollar of revenue.</w:t>
      </w:r>
    </w:p>
    <w:p>
      <w:pPr>
        <w:pStyle w:val="Heading3"/>
        <w:spacing w:after="120" w:before="200"/>
      </w:pPr>
      <w:r>
        <w:rPr>
          <w:rFonts w:ascii="Arial" w:cs="Arial" w:eastAsia="Arial" w:hAnsi="Arial"/>
          <w:b/>
          <w:bCs/>
          <w:sz w:val="22"/>
          <w:szCs w:val="22"/>
        </w:rPr>
        <w:t xml:space="preserve">Concentration of carbon contribution</w:t>
      </w:r>
    </w:p>
    <w:p>
      <w:pPr>
        <w:spacing w:after="160"/>
        <w:jc w:val="both"/>
      </w:pPr>
      <w:r>
        <w:rPr>
          <w:rFonts w:ascii="Arial" w:cs="Arial" w:eastAsia="Arial" w:hAnsi="Arial"/>
          <w:sz w:val="22"/>
          <w:szCs w:val="22"/>
        </w:rPr>
        <w:t xml:space="preserve">The benchmark's WACI is heavily concentrated in a handful of names. Holcim, RWE, Heidelberg Materials, ENEL, Air Liquide, Maersk, Rio Tinto and a few others account for the bulk of the contribution every year studied. The top-10 contributors' share of VW WACI </w:t>
      </w:r>
      <w:r>
        <w:rPr>
          <w:rFonts w:ascii="Arial" w:cs="Arial" w:eastAsia="Arial" w:hAnsi="Arial"/>
          <w:b/>
          <w:bCs/>
          <w:sz w:val="22"/>
          <w:szCs w:val="22"/>
        </w:rPr>
        <w:t xml:space="preserve">increases over time</w:t>
      </w:r>
      <w:r>
        <w:rPr>
          <w:rFonts w:ascii="Arial" w:cs="Arial" w:eastAsia="Arial" w:hAnsi="Arial"/>
          <w:sz w:val="22"/>
          <w:szCs w:val="22"/>
        </w:rPr>
        <w:t xml:space="preserve">, from 43.5% in 2013 to 45.2% in 2018 and 51.5% in 2024. As lower-CI firms decarbonize fastest, the few hard-to-abate names become a larger share of what remains.</w:t>
      </w:r>
    </w:p>
    <w:p>
      <w:pPr>
        <w:spacing w:after="80" w:before="0"/>
        <w:jc w:val="left"/>
      </w:pPr>
      <w:r>
        <w:rPr>
          <w:rFonts w:ascii="Arial" w:cs="Arial" w:eastAsia="Arial" w:hAnsi="Arial"/>
          <w:sz w:val="22"/>
          <w:szCs w:val="22"/>
        </w:rPr>
        <w:t xml:space="preserve">Table 2. Top-5 contributors to VW WACI by year (% of VW WACI in column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900"/>
        <w:gridCol w:w="22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center"/>
            </w:pPr>
            <w:r>
              <w:rPr>
                <w:rFonts w:ascii="Arial" w:cs="Arial" w:eastAsia="Arial" w:hAnsi="Arial"/>
                <w:b/>
                <w:bCs/>
                <w:sz w:val="20"/>
                <w:szCs w:val="20"/>
              </w:rPr>
              <w:t xml:space="preserve">Year</w:t>
            </w:r>
          </w:p>
        </w:tc>
        <w:tc>
          <w:tcPr>
            <w:tcW w:type="dxa" w:w="4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Top-5 firms</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center"/>
            </w:pPr>
            <w:r>
              <w:rPr>
                <w:rFonts w:ascii="Arial" w:cs="Arial" w:eastAsia="Arial" w:hAnsi="Arial"/>
                <w:b/>
                <w:bCs/>
                <w:sz w:val="20"/>
                <w:szCs w:val="20"/>
              </w:rPr>
              <w:t xml:space="preserve">Top-5 CI range</w:t>
            </w:r>
          </w:p>
        </w:tc>
        <w:tc>
          <w:tcPr>
            <w:tcW w:type="dxa" w:w="22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Σ contribution / WACI</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2013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Holcim, Rio Tinto, RWE, Air Liquide, Fortum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754 – 4279</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27.0%</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2018</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Holcim, Heidelberg, Air Liquide, Fortum, ENEL</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1110 – 4601</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31.4%</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2024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Air Liquide, Holcim, Heidelberg, RWE, CRH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842 – 2965</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35.0%</w:t>
            </w:r>
          </w:p>
        </w:tc>
      </w:tr>
    </w:tbl>
    <w:p>
      <w:pPr>
        <w:spacing w:after="120"/>
      </w:pPr>
      <w:r>
        <w:t xml:space="preserve"/>
      </w:r>
    </w:p>
    <w:p>
      <w:pPr>
        <w:spacing w:after="240" w:before="120"/>
        <w:jc w:val="center"/>
      </w:pPr>
      <w:r>
        <w:rPr>
          <w:rFonts w:ascii="Arial" w:cs="Arial" w:eastAsia="Arial" w:hAnsi="Arial"/>
          <w:b/>
          <w:bCs/>
          <w:i/>
          <w:iCs/>
          <w:color w:val="808080"/>
          <w:sz w:val="20"/>
          <w:szCs w:val="20"/>
        </w:rPr>
        <w:t xml:space="preserve">— Insert Figure 1: </w:t>
      </w:r>
      <w:r>
        <w:rPr>
          <w:rFonts w:ascii="Arial" w:cs="Arial" w:eastAsia="Arial" w:hAnsi="Arial"/>
          <w:i/>
          <w:iCs/>
          <w:color w:val="808080"/>
          <w:sz w:val="20"/>
          <w:szCs w:val="20"/>
        </w:rPr>
        <w:t xml:space="preserve">WACI and CF time series for P^(mv)_oos and P^(vw) — file SAAM_Part2_carbon_baseline.png</w:t>
      </w:r>
      <w:r>
        <w:rPr>
          <w:rFonts w:ascii="Arial" w:cs="Arial" w:eastAsia="Arial" w:hAnsi="Arial"/>
          <w:b/>
          <w:bCs/>
          <w:i/>
          <w:iCs/>
          <w:color w:val="808080"/>
          <w:sz w:val="20"/>
          <w:szCs w:val="20"/>
        </w:rPr>
        <w:t xml:space="preserve"> —</w:t>
      </w:r>
    </w:p>
    <w:p>
      <w:pPr>
        <w:pStyle w:val="Heading1"/>
        <w:spacing w:after="200" w:before="360"/>
      </w:pPr>
      <w:r>
        <w:rPr>
          <w:rFonts w:ascii="Arial" w:cs="Arial" w:eastAsia="Arial" w:hAnsi="Arial"/>
          <w:b/>
          <w:bCs/>
          <w:color w:val="1F4E79"/>
          <w:sz w:val="32"/>
          <w:szCs w:val="32"/>
        </w:rPr>
        <w:t xml:space="preserve">4. Active Investor: P^(mv)_oos(0.5) (Section 3.2)</w:t>
      </w:r>
    </w:p>
    <w:p>
      <w:pPr>
        <w:spacing w:after="160"/>
        <w:jc w:val="both"/>
      </w:pPr>
      <w:r>
        <w:rPr>
          <w:rFonts w:ascii="Arial" w:cs="Arial" w:eastAsia="Arial" w:hAnsi="Arial"/>
          <w:b/>
          <w:bCs/>
          <w:sz w:val="22"/>
          <w:szCs w:val="22"/>
        </w:rPr>
        <w:t xml:space="preserve">Construction. </w:t>
      </w:r>
      <w:r>
        <w:rPr>
          <w:rFonts w:ascii="Arial" w:cs="Arial" w:eastAsia="Arial" w:hAnsi="Arial"/>
          <w:sz w:val="22"/>
          <w:szCs w:val="22"/>
        </w:rPr>
        <w:t xml:space="preserve">P^(mv)_oos(0.5) minimizes ex-ante variance subject to e′α = 1, α ≥ 0 and CF ≤ 0.5 × CF(P^(mv)_oos)_Y, with the per-year target frozen as half of the unconstrained Section-3.1 baseline. The CF constraint binds in every year (slack = 0): by construction the unconstrained MV solution has CF = 2 × target, so the constraint is always active.</w:t>
      </w:r>
    </w:p>
    <w:p>
      <w:pPr>
        <w:spacing w:after="80" w:before="0"/>
        <w:jc w:val="left"/>
      </w:pPr>
      <w:r>
        <w:rPr>
          <w:rFonts w:ascii="Arial" w:cs="Arial" w:eastAsia="Arial" w:hAnsi="Arial"/>
          <w:sz w:val="22"/>
          <w:szCs w:val="22"/>
        </w:rPr>
        <w:t xml:space="preserve">Table 3. Performance comparison, P^(mv)_oos vs P^(mv)_oos(0.5), 2014–2025.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Metric</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P^(mv)_oos</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P^(mv)_oos(0.5)</w:t>
            </w:r>
          </w:p>
        </w:tc>
        <w:tc>
          <w:tcPr>
            <w:tcW w:type="dxa" w:w="1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Δ</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arithmetic return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4.67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4.67</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0.00</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geometric return (%)</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3.84</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3.83</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−0.01</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volatility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13.39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13.43</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+0.04</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Sharpe ratio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0.218</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0.217</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−0.001</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Maximum drawdown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−23.36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−23.64</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−0.28</w:t>
            </w:r>
          </w:p>
        </w:tc>
      </w:tr>
    </w:tbl>
    <w:p>
      <w:pPr>
        <w:spacing w:after="160"/>
      </w:pPr>
      <w:r>
        <w:t xml:space="preserve"/>
      </w:r>
    </w:p>
    <w:p>
      <w:pPr>
        <w:spacing w:after="160"/>
        <w:jc w:val="both"/>
      </w:pPr>
      <w:r>
        <w:rPr>
          <w:rFonts w:ascii="Arial" w:cs="Arial" w:eastAsia="Arial" w:hAnsi="Arial"/>
          <w:b/>
          <w:bCs/>
          <w:sz w:val="22"/>
          <w:szCs w:val="22"/>
        </w:rPr>
        <w:t xml:space="preserve">The cost of decarbonization is essentially zero in this sample. </w:t>
      </w:r>
      <w:r>
        <w:rPr>
          <w:rFonts w:ascii="Arial" w:cs="Arial" w:eastAsia="Arial" w:hAnsi="Arial"/>
          <w:sz w:val="22"/>
          <w:szCs w:val="22"/>
        </w:rPr>
        <w:t xml:space="preserve">Ex-ante annualized volatility increases by between 0.002 pp and 0.084 pp depending on the year, with a median of 0.02 pp. Realized Sharpe drops by 0.001. This is not a coincidence: the unconstrained MV optimizer already overweights defensive sectors (banks, insurance, telecoms, healthcare, consumer staples) which happen to be low-emitters, so the carbon constraint reinforces the optimizer's existing tilt.</w:t>
      </w:r>
    </w:p>
    <w:p>
      <w:pPr>
        <w:pStyle w:val="Heading3"/>
        <w:spacing w:after="120" w:before="200"/>
      </w:pPr>
      <w:r>
        <w:rPr>
          <w:rFonts w:ascii="Arial" w:cs="Arial" w:eastAsia="Arial" w:hAnsi="Arial"/>
          <w:b/>
          <w:bCs/>
          <w:sz w:val="22"/>
          <w:szCs w:val="22"/>
        </w:rPr>
        <w:t xml:space="preserve">Composition shifts (year 2013, illustrative)</w:t>
      </w:r>
    </w:p>
    <w:p>
      <w:pPr>
        <w:spacing w:after="80" w:before="0"/>
        <w:jc w:val="left"/>
      </w:pPr>
      <w:r>
        <w:rPr>
          <w:rFonts w:ascii="Arial" w:cs="Arial" w:eastAsia="Arial" w:hAnsi="Arial"/>
          <w:sz w:val="22"/>
          <w:szCs w:val="22"/>
        </w:rPr>
        <w:t xml:space="preserve">Table 4. Five largest active position changes vs P^(mv)_oos in 2013 (Δ in 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900"/>
        <w:gridCol w:w="1860"/>
      </w:tblGrid>
      <w:tr>
        <w:trPr>
          <w:tblHeader/>
        </w:trPr>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Direction</w:t>
            </w:r>
          </w:p>
        </w:tc>
        <w:tc>
          <w:tcPr>
            <w:tcW w:type="dxa" w:w="4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Firm (2013)</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Δ weight (pp)</w:t>
            </w:r>
          </w:p>
        </w:tc>
        <w:tc>
          <w:tcPr>
            <w:tcW w:type="dxa" w:w="1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CI (tCO₂/M$ rev)</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Removed</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United Utilities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−4.62</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179</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Removed</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National Grid</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−3.20</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389</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Removed</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Devro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−1.79</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387</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Removed</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Teva Pharmaceutical</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−1.63</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52</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Removed</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De La Rue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−1.19</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106</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Added</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Swisscom</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+2.93</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Added</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Dignity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+2.01</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61</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Added</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Medtronic</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+1.78</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12</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Added</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Coloplast B</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+1.76</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21</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Added</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Chubb</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+1.75</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w:t>
            </w:r>
          </w:p>
        </w:tc>
      </w:tr>
    </w:tbl>
    <w:p>
      <w:pPr>
        <w:spacing w:after="160"/>
      </w:pPr>
      <w:r>
        <w:t xml:space="preserve"/>
      </w:r>
    </w:p>
    <w:p>
      <w:pPr>
        <w:pStyle w:val="Heading3"/>
        <w:spacing w:after="120" w:before="200"/>
      </w:pPr>
      <w:r>
        <w:rPr>
          <w:rFonts w:ascii="Arial" w:cs="Arial" w:eastAsia="Arial" w:hAnsi="Arial"/>
          <w:b/>
          <w:bCs/>
          <w:sz w:val="22"/>
          <w:szCs w:val="22"/>
        </w:rPr>
        <w:t xml:space="preserve">Two caveats worth flagging</w:t>
      </w:r>
    </w:p>
    <w:p>
      <w:pPr>
        <w:pStyle w:val="ListParagraph"/>
        <w:numPr>
          <w:ilvl w:val="0"/>
          <w:numId w:val="2"/>
        </w:numPr>
        <w:spacing w:after="80"/>
      </w:pPr>
      <w:r>
        <w:rPr>
          <w:rFonts w:ascii="Arial" w:cs="Arial" w:eastAsia="Arial" w:hAnsi="Arial"/>
          <w:b/>
          <w:bCs/>
          <w:sz w:val="22"/>
          <w:szCs w:val="22"/>
        </w:rPr>
        <w:t xml:space="preserve">The relative target is path-dependent. </w:t>
      </w:r>
      <w:r>
        <w:rPr>
          <w:rFonts w:ascii="Arial" w:cs="Arial" w:eastAsia="Arial" w:hAnsi="Arial"/>
          <w:sz w:val="22"/>
          <w:szCs w:val="22"/>
        </w:rPr>
        <w:t xml:space="preserve">In 2014 the unconstrained MV portfolio had CF = 496 (an outlier driven by concentration in a few high-CF industrial mid-caps), so the 0.5×MV target was 248 — higher than the VW benchmark CF of 184. P^(mv)_oos(0.5) is therefore more carbon-intensive than the value-weighted benchmark in 2014 and 2016. This is not an error; it is a property of relative targeting.</w:t>
      </w:r>
    </w:p>
    <w:p>
      <w:pPr>
        <w:pStyle w:val="ListParagraph"/>
        <w:numPr>
          <w:ilvl w:val="0"/>
          <w:numId w:val="2"/>
        </w:numPr>
        <w:spacing w:after="80"/>
      </w:pPr>
      <w:r>
        <w:rPr>
          <w:rFonts w:ascii="Arial" w:cs="Arial" w:eastAsia="Arial" w:hAnsi="Arial"/>
          <w:b/>
          <w:bCs/>
          <w:sz w:val="22"/>
          <w:szCs w:val="22"/>
        </w:rPr>
        <w:t xml:space="preserve">Counter-intuitive removals. </w:t>
      </w:r>
      <w:r>
        <w:rPr>
          <w:rFonts w:ascii="Arial" w:cs="Arial" w:eastAsia="Arial" w:hAnsi="Arial"/>
          <w:sz w:val="22"/>
          <w:szCs w:val="22"/>
        </w:rPr>
        <w:t xml:space="preserve">In 2018, the constrained optimization drops Coloplast (CI = 21) and Chubb (CI = 2) — both very low-emitters. The constrained QP has a different optimum on a different surface; it re-weights for variance reasons, not as a "delete the emitters" filter.</w:t>
      </w:r>
    </w:p>
    <w:p>
      <w:pPr>
        <w:spacing w:after="240" w:before="120"/>
        <w:jc w:val="center"/>
      </w:pPr>
      <w:r>
        <w:rPr>
          <w:rFonts w:ascii="Arial" w:cs="Arial" w:eastAsia="Arial" w:hAnsi="Arial"/>
          <w:b/>
          <w:bCs/>
          <w:i/>
          <w:iCs/>
          <w:color w:val="808080"/>
          <w:sz w:val="20"/>
          <w:szCs w:val="20"/>
        </w:rPr>
        <w:t xml:space="preserve">— Insert Figure 2: </w:t>
      </w:r>
      <w:r>
        <w:rPr>
          <w:rFonts w:ascii="Arial" w:cs="Arial" w:eastAsia="Arial" w:hAnsi="Arial"/>
          <w:i/>
          <w:iCs/>
          <w:color w:val="808080"/>
          <w:sz w:val="20"/>
          <w:szCs w:val="20"/>
        </w:rPr>
        <w:t xml:space="preserve">Cumulative return, drawdown, WACI and CF — MV vs MV(0.5) — file SAAM_Part2_section32.png</w:t>
      </w:r>
      <w:r>
        <w:rPr>
          <w:rFonts w:ascii="Arial" w:cs="Arial" w:eastAsia="Arial" w:hAnsi="Arial"/>
          <w:b/>
          <w:bCs/>
          <w:i/>
          <w:iCs/>
          <w:color w:val="808080"/>
          <w:sz w:val="20"/>
          <w:szCs w:val="20"/>
        </w:rPr>
        <w:t xml:space="preserve"> —</w:t>
      </w:r>
    </w:p>
    <w:p>
      <w:pPr>
        <w:pStyle w:val="Heading1"/>
        <w:spacing w:after="200" w:before="360"/>
      </w:pPr>
      <w:r>
        <w:rPr>
          <w:rFonts w:ascii="Arial" w:cs="Arial" w:eastAsia="Arial" w:hAnsi="Arial"/>
          <w:b/>
          <w:bCs/>
          <w:color w:val="1F4E79"/>
          <w:sz w:val="32"/>
          <w:szCs w:val="32"/>
        </w:rPr>
        <w:t xml:space="preserve">5. Passive Investor: P^(vw)_oos(0.5) (Section 3.3)</w:t>
      </w:r>
    </w:p>
    <w:p>
      <w:pPr>
        <w:spacing w:after="160"/>
        <w:jc w:val="both"/>
      </w:pPr>
      <w:r>
        <w:rPr>
          <w:rFonts w:ascii="Arial" w:cs="Arial" w:eastAsia="Arial" w:hAnsi="Arial"/>
          <w:b/>
          <w:bCs/>
          <w:sz w:val="22"/>
          <w:szCs w:val="22"/>
        </w:rPr>
        <w:t xml:space="preserve">Construction. </w:t>
      </w:r>
      <w:r>
        <w:rPr>
          <w:rFonts w:ascii="Arial" w:cs="Arial" w:eastAsia="Arial" w:hAnsi="Arial"/>
          <w:sz w:val="22"/>
          <w:szCs w:val="22"/>
        </w:rPr>
        <w:t xml:space="preserve">P^(vw)_oos(0.5) minimizes ex-ante tracking error TE² = (α − w_vw)′Σ(α − w_vw) against the value-weighted benchmark, subject to CF ≤ 0.5 × CF(P^(vw))_Y. The constraint binds in every year. The optimization is warm-started at w_vw (infeasible at the start, feasible at the optimum).</w:t>
      </w:r>
    </w:p>
    <w:p>
      <w:pPr>
        <w:spacing w:after="80" w:before="0"/>
        <w:jc w:val="left"/>
      </w:pPr>
      <w:r>
        <w:rPr>
          <w:rFonts w:ascii="Arial" w:cs="Arial" w:eastAsia="Arial" w:hAnsi="Arial"/>
          <w:sz w:val="22"/>
          <w:szCs w:val="22"/>
        </w:rPr>
        <w:t xml:space="preserve">Table 5. Performance comparison, P^(vw) vs P^(vw)_oos(0.5), 2014–2025.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Metric</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P^(vw)</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P^(vw)_oos(0.5)</w:t>
            </w:r>
          </w:p>
        </w:tc>
        <w:tc>
          <w:tcPr>
            <w:tcW w:type="dxa" w:w="1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Δ</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arithmetic return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8.19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7.86</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−0.33</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geometric return (%)</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7.16</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6.79</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−0.37</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volatility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15.87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16.04</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+0.17</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Sharpe ratio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0.406</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0.381</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−0.025</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Maximum drawdown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−28.17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−27.97</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+0.20</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active return (%)</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−0.32</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realized TE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0.80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Information ratio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−0.41</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r>
    </w:tbl>
    <w:p>
      <w:pPr>
        <w:spacing w:after="160"/>
      </w:pPr>
      <w:r>
        <w:t xml:space="preserve"/>
      </w:r>
    </w:p>
    <w:p>
      <w:pPr>
        <w:spacing w:after="160"/>
        <w:jc w:val="both"/>
      </w:pPr>
      <w:r>
        <w:rPr>
          <w:rFonts w:ascii="Arial" w:cs="Arial" w:eastAsia="Arial" w:hAnsi="Arial"/>
          <w:b/>
          <w:bCs/>
          <w:sz w:val="22"/>
          <w:szCs w:val="22"/>
        </w:rPr>
        <w:t xml:space="preserve">The cost is small but negative. </w:t>
      </w:r>
      <w:r>
        <w:rPr>
          <w:rFonts w:ascii="Arial" w:cs="Arial" w:eastAsia="Arial" w:hAnsi="Arial"/>
          <w:sz w:val="22"/>
          <w:szCs w:val="22"/>
        </w:rPr>
        <w:t xml:space="preserve">Cutting CF by 50% costs 32 bp of annualized return at 80 bp of TE (IR = −0.41). With 144 monthly observations, the standard error on active return is approximately TE/√12 ≈ 23 bp, so the −32 bp point estimate is less than 1.4σ from zero. </w:t>
      </w:r>
      <w:r>
        <w:rPr>
          <w:rFonts w:ascii="Arial" w:cs="Arial" w:eastAsia="Arial" w:hAnsi="Arial"/>
          <w:b/>
          <w:bCs/>
          <w:sz w:val="22"/>
          <w:szCs w:val="22"/>
        </w:rPr>
        <w:t xml:space="preserve">Statistically the active return is indistinguishable from zero</w:t>
      </w:r>
      <w:r>
        <w:rPr>
          <w:rFonts w:ascii="Arial" w:cs="Arial" w:eastAsia="Arial" w:hAnsi="Arial"/>
          <w:sz w:val="22"/>
          <w:szCs w:val="22"/>
        </w:rPr>
        <w:t xml:space="preserve">. The honest reading: in this window, decarbonization cost return, but we cannot reject zero impact.</w:t>
      </w:r>
    </w:p>
    <w:p>
      <w:pPr>
        <w:spacing w:after="160"/>
        <w:jc w:val="both"/>
      </w:pPr>
      <w:r>
        <w:rPr>
          <w:rFonts w:ascii="Arial" w:cs="Arial" w:eastAsia="Arial" w:hAnsi="Arial"/>
          <w:b/>
          <w:bCs/>
          <w:sz w:val="22"/>
          <w:szCs w:val="22"/>
        </w:rPr>
        <w:t xml:space="preserve">Composition shifts. </w:t>
      </w:r>
      <w:r>
        <w:rPr>
          <w:rFonts w:ascii="Arial" w:cs="Arial" w:eastAsia="Arial" w:hAnsi="Arial"/>
          <w:sz w:val="22"/>
          <w:szCs w:val="22"/>
        </w:rPr>
        <w:t xml:space="preserve">The same names are reduced every year studied: Holcim (largest cut, all three years), Heidelberg Materials, RWE, ENEL, A.P. Møller-Mærsk. Tilts are individually small (largest single position change is −0.34 pp, on Holcim 2018) because the TE-min objective spreads the constraint over hundreds of names. The active position aggregates into a clear sector tilt: long staples / healthcare / financials, short utilities-energy-materials.</w:t>
      </w:r>
    </w:p>
    <w:p>
      <w:pPr>
        <w:spacing w:after="240" w:before="120"/>
        <w:jc w:val="center"/>
      </w:pPr>
      <w:r>
        <w:rPr>
          <w:rFonts w:ascii="Arial" w:cs="Arial" w:eastAsia="Arial" w:hAnsi="Arial"/>
          <w:b/>
          <w:bCs/>
          <w:i/>
          <w:iCs/>
          <w:color w:val="808080"/>
          <w:sz w:val="20"/>
          <w:szCs w:val="20"/>
        </w:rPr>
        <w:t xml:space="preserve">— Insert Figure 3: </w:t>
      </w:r>
      <w:r>
        <w:rPr>
          <w:rFonts w:ascii="Arial" w:cs="Arial" w:eastAsia="Arial" w:hAnsi="Arial"/>
          <w:i/>
          <w:iCs/>
          <w:color w:val="808080"/>
          <w:sz w:val="20"/>
          <w:szCs w:val="20"/>
        </w:rPr>
        <w:t xml:space="preserve">Cumulative return, active return, WACI and CF — VW vs VW(0.5) — file SAAM_Part2_section33.png</w:t>
      </w:r>
      <w:r>
        <w:rPr>
          <w:rFonts w:ascii="Arial" w:cs="Arial" w:eastAsia="Arial" w:hAnsi="Arial"/>
          <w:b/>
          <w:bCs/>
          <w:i/>
          <w:iCs/>
          <w:color w:val="808080"/>
          <w:sz w:val="20"/>
          <w:szCs w:val="20"/>
        </w:rPr>
        <w:t xml:space="preserve"> —</w:t>
      </w:r>
    </w:p>
    <w:p>
      <w:pPr>
        <w:pStyle w:val="Heading1"/>
        <w:spacing w:after="200" w:before="360"/>
      </w:pPr>
      <w:r>
        <w:rPr>
          <w:rFonts w:ascii="Arial" w:cs="Arial" w:eastAsia="Arial" w:hAnsi="Arial"/>
          <w:b/>
          <w:bCs/>
          <w:color w:val="1F4E79"/>
          <w:sz w:val="32"/>
          <w:szCs w:val="32"/>
        </w:rPr>
        <w:t xml:space="preserve">6. Comparison: Active vs Passive Cost of Decarbonization (Section 3.4)</w:t>
      </w:r>
    </w:p>
    <w:p>
      <w:pPr>
        <w:spacing w:after="160"/>
        <w:jc w:val="both"/>
      </w:pPr>
      <w:r>
        <w:rPr>
          <w:rFonts w:ascii="Arial" w:cs="Arial" w:eastAsia="Arial" w:hAnsi="Arial"/>
          <w:sz w:val="22"/>
          <w:szCs w:val="22"/>
        </w:rPr>
        <w:t xml:space="preserve">The cost of halving CF differs sharply between the two investor profiles. The active investor pays essentially nothing for the constraint; the passive investor pays a measurable but not statistically significant 30 bp/year. The mechanism is straightforward: </w:t>
      </w:r>
      <w:r>
        <w:rPr>
          <w:rFonts w:ascii="Arial" w:cs="Arial" w:eastAsia="Arial" w:hAnsi="Arial"/>
          <w:b/>
          <w:bCs/>
          <w:sz w:val="22"/>
          <w:szCs w:val="22"/>
        </w:rPr>
        <w:t xml:space="preserve">the unconstrained MV portfolio was already aligned with low-carbon firms</w:t>
      </w:r>
      <w:r>
        <w:rPr>
          <w:rFonts w:ascii="Arial" w:cs="Arial" w:eastAsia="Arial" w:hAnsi="Arial"/>
          <w:sz w:val="22"/>
          <w:szCs w:val="22"/>
        </w:rPr>
        <w:t xml:space="preserve">, whereas the VW benchmark — by construction proportional to market capitalization — cannot be tilted away from the largest (often carbon-intensive) firms without taking active risk against itself.</w:t>
      </w:r>
    </w:p>
    <w:p>
      <w:pPr>
        <w:spacing w:after="80" w:before="0"/>
        <w:jc w:val="left"/>
      </w:pPr>
      <w:r>
        <w:rPr>
          <w:rFonts w:ascii="Arial" w:cs="Arial" w:eastAsia="Arial" w:hAnsi="Arial"/>
          <w:sz w:val="22"/>
          <w:szCs w:val="22"/>
        </w:rPr>
        <w:t xml:space="preserve">Table 6. Active vs passive cost of decarbonization (50%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900"/>
        <w:gridCol w:w="2760"/>
      </w:tblGrid>
      <w:tr>
        <w:trPr>
          <w:tblHeader/>
        </w:trPr>
        <w:tc>
          <w:tcPr>
            <w:tcW w:type="dxa" w:w="3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
            </w:r>
          </w:p>
        </w:tc>
        <w:tc>
          <w:tcPr>
            <w:tcW w:type="dxa" w:w="2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Active investor</w:t>
            </w:r>
          </w:p>
        </w:tc>
        <w:tc>
          <w:tcPr>
            <w:tcW w:type="dxa" w:w="2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Passive investor</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Baseline strategy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P^(mv)_oos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P^(vw)</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Decarbonized strategy</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P^(mv)_oos(0.5)</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P^(vw)_oos(0.5)</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Sharpe Δ</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−0.001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−0.025</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Volatility Δ (pp)</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+0.04</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+0.17</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Geometric return Δ (pp)</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−0.37</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Realized TE vs benchmark</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13.4% (vs VW)</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0.80% (vs VW)</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IR (vs VW)</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−0.41</w:t>
            </w:r>
          </w:p>
        </w:tc>
      </w:tr>
    </w:tbl>
    <w:p>
      <w:pPr>
        <w:spacing w:after="160"/>
      </w:pPr>
      <w:r>
        <w:t xml:space="preserve"/>
      </w:r>
    </w:p>
    <w:p>
      <w:pPr>
        <w:spacing w:after="160"/>
        <w:jc w:val="both"/>
      </w:pPr>
      <w:r>
        <w:rPr>
          <w:rFonts w:ascii="Arial" w:cs="Arial" w:eastAsia="Arial" w:hAnsi="Arial"/>
          <w:b/>
          <w:bCs/>
          <w:sz w:val="22"/>
          <w:szCs w:val="22"/>
        </w:rPr>
        <w:t xml:space="preserve">Composition mechanics. </w:t>
      </w:r>
      <w:r>
        <w:rPr>
          <w:rFonts w:ascii="Arial" w:cs="Arial" w:eastAsia="Arial" w:hAnsi="Arial"/>
          <w:sz w:val="22"/>
          <w:szCs w:val="22"/>
        </w:rPr>
        <w:t xml:space="preserve">Both decarbonized portfolios target the same firms (Holcim, Heidelberg, RWE, ENEL, Maersk) but at very different scales. MV(0.5) makes few large tilts (largest 2013 cut: United Utilities at −4.62 pp); VW(0.5) makes many small tilts (largest 2013 cut: Holcim at −0.32 pp). This is direct from the objectives — MV is unconstrained on benchmark proximity, while TE-min spreads its tilts to stay close to the index.</w:t>
      </w:r>
    </w:p>
    <w:p>
      <w:pPr>
        <w:pStyle w:val="Heading1"/>
        <w:spacing w:after="200" w:before="360"/>
      </w:pPr>
      <w:r>
        <w:rPr>
          <w:rFonts w:ascii="Arial" w:cs="Arial" w:eastAsia="Arial" w:hAnsi="Arial"/>
          <w:b/>
          <w:bCs/>
          <w:color w:val="1F4E79"/>
          <w:sz w:val="32"/>
          <w:szCs w:val="32"/>
        </w:rPr>
        <w:t xml:space="preserve">7. Net-Zero Glide Path: P^(vw)_oos(NZ) (Section 4.1)</w:t>
      </w:r>
    </w:p>
    <w:p>
      <w:pPr>
        <w:spacing w:after="160"/>
        <w:jc w:val="both"/>
      </w:pPr>
      <w:r>
        <w:rPr>
          <w:rFonts w:ascii="Arial" w:cs="Arial" w:eastAsia="Arial" w:hAnsi="Arial"/>
          <w:b/>
          <w:bCs/>
          <w:sz w:val="22"/>
          <w:szCs w:val="22"/>
        </w:rPr>
        <w:t xml:space="preserve">Construction. </w:t>
      </w:r>
      <w:r>
        <w:rPr>
          <w:rFonts w:ascii="Arial" w:cs="Arial" w:eastAsia="Arial" w:hAnsi="Arial"/>
          <w:sz w:val="22"/>
          <w:szCs w:val="22"/>
        </w:rPr>
        <w:t xml:space="preserve">P^(vw)_oos(NZ) minimizes ex-ante TE vs P^(vw) subject to CF ≤ (1 − θ)^(Y − 2013 + 1) × CF(P^(vw))_2013 with θ = 10% and CF(P^(vw))_2013 = 213.06 anchored. The exponent Y − 2013 + 1 means the first year (2013) already imposes a 10% cut. By 2024 (12 years in), CF must be at most 28.2% of the 2013 baseline.</w:t>
      </w:r>
    </w:p>
    <w:p>
      <w:pPr>
        <w:pStyle w:val="Heading3"/>
        <w:spacing w:after="120" w:before="200"/>
      </w:pPr>
      <w:r>
        <w:rPr>
          <w:rFonts w:ascii="Arial" w:cs="Arial" w:eastAsia="Arial" w:hAnsi="Arial"/>
          <w:b/>
          <w:bCs/>
          <w:sz w:val="22"/>
          <w:szCs w:val="22"/>
        </w:rPr>
        <w:t xml:space="preserve">A surprising observation: the NZ target was looser than 0.5×VW in every year</w:t>
      </w:r>
    </w:p>
    <w:p>
      <w:pPr>
        <w:spacing w:after="80" w:before="0"/>
        <w:jc w:val="left"/>
      </w:pPr>
      <w:r>
        <w:rPr>
          <w:rFonts w:ascii="Arial" w:cs="Arial" w:eastAsia="Arial" w:hAnsi="Arial"/>
          <w:sz w:val="22"/>
          <w:szCs w:val="22"/>
        </w:rPr>
        <w:t xml:space="preserve">Table 7. Glide path comparison, NZ target vs 0.5×VW target vs realized VW 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000"/>
        <w:gridCol w:w="18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center"/>
            </w:pPr>
            <w:r>
              <w:rPr>
                <w:rFonts w:ascii="Arial" w:cs="Arial" w:eastAsia="Arial" w:hAnsi="Arial"/>
                <w:b/>
                <w:bCs/>
                <w:sz w:val="20"/>
                <w:szCs w:val="20"/>
              </w:rPr>
              <w:t xml:space="preserve">Year</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VW realized CF</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0.5 × VW target</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NZ target</w:t>
            </w:r>
          </w:p>
        </w:tc>
        <w:tc>
          <w:tcPr>
            <w:tcW w:type="dxa" w:w="1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 of 2013 baseline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2013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213.06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106.53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191.75</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90.0%</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2018</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143.17</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71.59</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113.23</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53.1%</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124.57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62.28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91.71</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43.0%</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2022</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98.28</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49.14</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74.29</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34.9%</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center"/>
            </w:pPr>
            <w:r>
              <w:rPr>
                <w:rFonts w:ascii="Arial" w:cs="Arial" w:eastAsia="Arial" w:hAnsi="Arial"/>
                <w:b w:val="false"/>
                <w:bCs w:val="false"/>
                <w:sz w:val="20"/>
                <w:szCs w:val="20"/>
              </w:rPr>
              <w:t xml:space="preserve">2024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89.18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44.59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60.18</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28.2%</w:t>
            </w:r>
          </w:p>
        </w:tc>
      </w:tr>
    </w:tbl>
    <w:p>
      <w:pPr>
        <w:spacing w:after="160"/>
      </w:pPr>
      <w:r>
        <w:t xml:space="preserve"/>
      </w:r>
    </w:p>
    <w:p>
      <w:pPr>
        <w:spacing w:after="160"/>
        <w:jc w:val="both"/>
      </w:pPr>
      <w:r>
        <w:rPr>
          <w:rFonts w:ascii="Arial" w:cs="Arial" w:eastAsia="Arial" w:hAnsi="Arial"/>
          <w:sz w:val="22"/>
          <w:szCs w:val="22"/>
        </w:rPr>
        <w:t xml:space="preserve">The benchmark itself decarbonized organically by 58% over the window. By 2024 the 0.5×VW target sits at 44.6 — well below the NZ target of 60.2. </w:t>
      </w:r>
      <w:r>
        <w:rPr>
          <w:rFonts w:ascii="Arial" w:cs="Arial" w:eastAsia="Arial" w:hAnsi="Arial"/>
          <w:b/>
          <w:bCs/>
          <w:sz w:val="22"/>
          <w:szCs w:val="22"/>
        </w:rPr>
        <w:t xml:space="preserve">A "constant 50% below benchmark" rule was tighter than a 10%/year glide path over every year of this period.</w:t>
      </w:r>
    </w:p>
    <w:p>
      <w:pPr>
        <w:spacing w:after="80" w:before="0"/>
        <w:jc w:val="left"/>
      </w:pPr>
      <w:r>
        <w:rPr>
          <w:rFonts w:ascii="Arial" w:cs="Arial" w:eastAsia="Arial" w:hAnsi="Arial"/>
          <w:sz w:val="22"/>
          <w:szCs w:val="22"/>
        </w:rPr>
        <w:t xml:space="preserve">Table 8. Performance comparison, all passive portfolios.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Metric</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P^(vw)</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P^(vw)_oos(0.5)</w:t>
            </w:r>
          </w:p>
        </w:tc>
        <w:tc>
          <w:tcPr>
            <w:tcW w:type="dxa" w:w="1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P^(vw)_oos(NZ)</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geometric return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7.16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6.79</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6.82</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volatility (%)</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15.87</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16.04</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16.07</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Sharpe ratio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0.406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0.381</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0.383</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active return (%)</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−0.32</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−0.29</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Annualized realized TE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0.80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0.82</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Information ratio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−0.41</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−0.35</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Maximum drawdown (%)</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−28.17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−27.97</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−27.97</w:t>
            </w:r>
          </w:p>
        </w:tc>
      </w:tr>
    </w:tbl>
    <w:p>
      <w:pPr>
        <w:spacing w:after="160"/>
      </w:pPr>
      <w:r>
        <w:t xml:space="preserve"/>
      </w:r>
    </w:p>
    <w:p>
      <w:pPr>
        <w:spacing w:after="80" w:before="0"/>
        <w:jc w:val="left"/>
      </w:pPr>
      <w:r>
        <w:rPr>
          <w:rFonts w:ascii="Arial" w:cs="Arial" w:eastAsia="Arial" w:hAnsi="Arial"/>
          <w:sz w:val="22"/>
          <w:szCs w:val="22"/>
        </w:rPr>
        <w:t xml:space="preserve">Table 9. Cumulative carbon footprint over 2013–2024 (Σ_Y CF_Y).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900"/>
        <w:gridCol w:w="2760"/>
      </w:tblGrid>
      <w:tr>
        <w:trPr>
          <w:tblHeader/>
        </w:trPr>
        <w:tc>
          <w:tcPr>
            <w:tcW w:type="dxa" w:w="3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left"/>
            </w:pPr>
            <w:r>
              <w:rPr>
                <w:rFonts w:ascii="Arial" w:cs="Arial" w:eastAsia="Arial" w:hAnsi="Arial"/>
                <w:b/>
                <w:bCs/>
                <w:sz w:val="20"/>
                <w:szCs w:val="20"/>
              </w:rPr>
              <w:t xml:space="preserve">Portfolio</w:t>
            </w:r>
          </w:p>
        </w:tc>
        <w:tc>
          <w:tcPr>
            <w:tcW w:type="dxa" w:w="2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Cumulative CF</w:t>
            </w:r>
          </w:p>
        </w:tc>
        <w:tc>
          <w:tcPr>
            <w:tcW w:type="dxa" w:w="2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40" w:before="40"/>
              <w:jc w:val="right"/>
            </w:pPr>
            <w:r>
              <w:rPr>
                <w:rFonts w:ascii="Arial" w:cs="Arial" w:eastAsia="Arial" w:hAnsi="Arial"/>
                <w:b/>
                <w:bCs/>
                <w:sz w:val="20"/>
                <w:szCs w:val="20"/>
              </w:rPr>
              <w:t xml:space="preserve">Reduction vs VW</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P^(vw)</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1799.4</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0.0%</w:t>
            </w:r>
          </w:p>
        </w:tc>
      </w:tr>
      <w:tr>
        <w:trPr>
          <w:tblHeader w:val="false"/>
        </w:trP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P^(vw)_oos(NZ)</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1376.0</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23.5%</w:t>
            </w:r>
          </w:p>
        </w:tc>
      </w:tr>
      <w:tr>
        <w:trPr>
          <w:tblHeader w:val="false"/>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left"/>
            </w:pPr>
            <w:r>
              <w:rPr>
                <w:rFonts w:ascii="Arial" w:cs="Arial" w:eastAsia="Arial" w:hAnsi="Arial"/>
                <w:b w:val="false"/>
                <w:bCs w:val="false"/>
                <w:sz w:val="20"/>
                <w:szCs w:val="20"/>
              </w:rPr>
              <w:t xml:space="preserve">P^(vw)_oos(0.5)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899.7</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jc w:val="right"/>
            </w:pPr>
            <w:r>
              <w:rPr>
                <w:rFonts w:ascii="Arial" w:cs="Arial" w:eastAsia="Arial" w:hAnsi="Arial"/>
                <w:b w:val="false"/>
                <w:bCs w:val="false"/>
                <w:sz w:val="20"/>
                <w:szCs w:val="20"/>
              </w:rPr>
              <w:t xml:space="preserve">50.0%</w:t>
            </w:r>
          </w:p>
        </w:tc>
      </w:tr>
    </w:tbl>
    <w:p>
      <w:pPr>
        <w:spacing w:after="160"/>
      </w:pPr>
      <w:r>
        <w:t xml:space="preserve"/>
      </w:r>
    </w:p>
    <w:p>
      <w:pPr>
        <w:spacing w:after="160"/>
        <w:jc w:val="both"/>
      </w:pPr>
      <w:r>
        <w:rPr>
          <w:rFonts w:ascii="Arial" w:cs="Arial" w:eastAsia="Arial" w:hAnsi="Arial"/>
          <w:sz w:val="22"/>
          <w:szCs w:val="22"/>
        </w:rPr>
        <w:t xml:space="preserve">P^(vw)(NZ) and P^(vw)(0.5) are statistically indistinguishable on every realized performance metric. The looser NZ constraint translates to slightly less realized active risk and less carbon reduction, but identical IR after rounding. </w:t>
      </w:r>
    </w:p>
    <w:p>
      <w:pPr>
        <w:spacing w:after="240" w:before="120"/>
        <w:jc w:val="center"/>
      </w:pPr>
      <w:r>
        <w:rPr>
          <w:rFonts w:ascii="Arial" w:cs="Arial" w:eastAsia="Arial" w:hAnsi="Arial"/>
          <w:b/>
          <w:bCs/>
          <w:i/>
          <w:iCs/>
          <w:color w:val="808080"/>
          <w:sz w:val="20"/>
          <w:szCs w:val="20"/>
        </w:rPr>
        <w:t xml:space="preserve">— Insert Figure 4: </w:t>
      </w:r>
      <w:r>
        <w:rPr>
          <w:rFonts w:ascii="Arial" w:cs="Arial" w:eastAsia="Arial" w:hAnsi="Arial"/>
          <w:i/>
          <w:iCs/>
          <w:color w:val="808080"/>
          <w:sz w:val="20"/>
          <w:szCs w:val="20"/>
        </w:rPr>
        <w:t xml:space="preserve">Cumulative return, CF + glide paths, WACI and active return — VW, VW(0.5), VW(NZ) — file SAAM_Part2_section41.png</w:t>
      </w:r>
      <w:r>
        <w:rPr>
          <w:rFonts w:ascii="Arial" w:cs="Arial" w:eastAsia="Arial" w:hAnsi="Arial"/>
          <w:b/>
          <w:bCs/>
          <w:i/>
          <w:iCs/>
          <w:color w:val="808080"/>
          <w:sz w:val="20"/>
          <w:szCs w:val="20"/>
        </w:rPr>
        <w:t xml:space="preserve"> —</w:t>
      </w:r>
    </w:p>
    <w:p>
      <w:pPr>
        <w:pStyle w:val="Heading1"/>
        <w:spacing w:after="200" w:before="360"/>
      </w:pPr>
      <w:r>
        <w:rPr>
          <w:rFonts w:ascii="Arial" w:cs="Arial" w:eastAsia="Arial" w:hAnsi="Arial"/>
          <w:b/>
          <w:bCs/>
          <w:color w:val="1F4E79"/>
          <w:sz w:val="32"/>
          <w:szCs w:val="32"/>
        </w:rPr>
        <w:t xml:space="preserve">8. Net-Zero Discussion (Section 4.2)</w:t>
      </w:r>
    </w:p>
    <w:p>
      <w:pPr>
        <w:spacing w:after="160"/>
        <w:jc w:val="both"/>
      </w:pPr>
      <w:r>
        <w:rPr>
          <w:rFonts w:ascii="Arial" w:cs="Arial" w:eastAsia="Arial" w:hAnsi="Arial"/>
          <w:sz w:val="22"/>
          <w:szCs w:val="22"/>
        </w:rPr>
        <w:t xml:space="preserve">The chosen θ = 10% per year corresponds to a Paris-aligned trajectory targeting near-zero emissions by approximately 2065 (since 0.9^60 ≈ 0.002). This is more aggressive than the IPCC 1.5°C-aligned reduction rate of approximately 7%/year. A more aggressive investor (θ = 12%) would reach &lt;1% of 2013 baseline by 2050, but our results suggest the marginal cost of going from 10% to 12% would be modest in the European market.</w:t>
      </w:r>
    </w:p>
    <w:p>
      <w:pPr>
        <w:spacing w:after="160"/>
        <w:jc w:val="both"/>
      </w:pPr>
      <w:r>
        <w:rPr>
          <w:rFonts w:ascii="Arial" w:cs="Arial" w:eastAsia="Arial" w:hAnsi="Arial"/>
          <w:b/>
          <w:bCs/>
          <w:sz w:val="22"/>
          <w:szCs w:val="22"/>
        </w:rPr>
        <w:t xml:space="preserve">The deeper lesson is that the choice of baseline matters more than the steepness of the glide path</w:t>
      </w:r>
      <w:r>
        <w:rPr>
          <w:rFonts w:ascii="Arial" w:cs="Arial" w:eastAsia="Arial" w:hAnsi="Arial"/>
          <w:sz w:val="22"/>
          <w:szCs w:val="22"/>
        </w:rPr>
        <w:t xml:space="preserve"> in periods of structural sector transition. An investor who pledged a 10%/year reduction from 2013 levels in 2013 would have nominally honored their commitment in 2024 — but they would have been doing less than the market index, which decarbonized at an effective rate of approximately 7.0%/year on its own.</w:t>
      </w:r>
    </w:p>
    <w:p>
      <w:pPr>
        <w:spacing w:after="160"/>
        <w:jc w:val="both"/>
      </w:pPr>
      <w:r>
        <w:rPr>
          <w:rFonts w:ascii="Arial" w:cs="Arial" w:eastAsia="Arial" w:hAnsi="Arial"/>
          <w:sz w:val="22"/>
          <w:szCs w:val="22"/>
        </w:rPr>
        <w:t xml:space="preserve">This is not a hypothetical concern. Most net-zero asset-owner pledges (Net Zero Asset Owner Alliance, Glasgow Financial Alliance for Net Zero) anchor on absolute baselines and have been criticized for exactly this asymmetry. Two cleaner framings are:</w:t>
      </w:r>
    </w:p>
    <w:p>
      <w:pPr>
        <w:pStyle w:val="ListParagraph"/>
        <w:numPr>
          <w:ilvl w:val="0"/>
          <w:numId w:val="2"/>
        </w:numPr>
        <w:spacing w:after="80"/>
      </w:pPr>
      <w:r>
        <w:rPr>
          <w:rFonts w:ascii="Arial" w:cs="Arial" w:eastAsia="Arial" w:hAnsi="Arial"/>
          <w:b/>
          <w:bCs/>
          <w:sz w:val="22"/>
          <w:szCs w:val="22"/>
        </w:rPr>
        <w:t xml:space="preserve">Carbon budget. </w:t>
      </w:r>
      <w:r>
        <w:rPr>
          <w:rFonts w:ascii="Arial" w:cs="Arial" w:eastAsia="Arial" w:hAnsi="Arial"/>
          <w:sz w:val="22"/>
          <w:szCs w:val="22"/>
        </w:rPr>
        <w:t xml:space="preserve">Constrain Σ_Y CF_Y over the investment horizon, not annual CF_Y. This rewards early action and punishes delay regardless of benchmark trajectory.</w:t>
      </w:r>
    </w:p>
    <w:p>
      <w:pPr>
        <w:pStyle w:val="ListParagraph"/>
        <w:numPr>
          <w:ilvl w:val="0"/>
          <w:numId w:val="2"/>
        </w:numPr>
        <w:spacing w:after="80"/>
      </w:pPr>
      <w:r>
        <w:rPr>
          <w:rFonts w:ascii="Arial" w:cs="Arial" w:eastAsia="Arial" w:hAnsi="Arial"/>
          <w:b/>
          <w:bCs/>
          <w:sz w:val="22"/>
          <w:szCs w:val="22"/>
        </w:rPr>
        <w:t xml:space="preserve">Relative-to-benchmark. </w:t>
      </w:r>
      <w:r>
        <w:rPr>
          <w:rFonts w:ascii="Arial" w:cs="Arial" w:eastAsia="Arial" w:hAnsi="Arial"/>
          <w:sz w:val="22"/>
          <w:szCs w:val="22"/>
        </w:rPr>
        <w:t xml:space="preserve">Constrain CF_Y ≤ (1 − k) × CF(VW)_Y. This forces continuous outperformance vs the market and avoids the structural-decarbonization free-rider effect.</w:t>
      </w:r>
    </w:p>
    <w:p>
      <w:pPr>
        <w:pStyle w:val="Heading1"/>
        <w:spacing w:after="200" w:before="360"/>
      </w:pPr>
      <w:r>
        <w:rPr>
          <w:rFonts w:ascii="Arial" w:cs="Arial" w:eastAsia="Arial" w:hAnsi="Arial"/>
          <w:b/>
          <w:bCs/>
          <w:color w:val="1F4E79"/>
          <w:sz w:val="32"/>
          <w:szCs w:val="32"/>
        </w:rPr>
        <w:t xml:space="preserve">9. Methodological Caveats</w:t>
      </w:r>
    </w:p>
    <w:p>
      <w:pPr>
        <w:spacing w:after="160"/>
        <w:jc w:val="both"/>
      </w:pPr>
      <w:r>
        <w:rPr>
          <w:rFonts w:ascii="Arial" w:cs="Arial" w:eastAsia="Arial" w:hAnsi="Arial"/>
          <w:b/>
          <w:bCs/>
          <w:sz w:val="22"/>
          <w:szCs w:val="22"/>
        </w:rPr>
        <w:t xml:space="preserve">Ex-ante vs ex-post tracking error.</w:t>
      </w:r>
      <w:r>
        <w:rPr>
          <w:rFonts w:ascii="Arial" w:cs="Arial" w:eastAsia="Arial" w:hAnsi="Arial"/>
          <w:sz w:val="22"/>
          <w:szCs w:val="22"/>
        </w:rPr>
        <w:t xml:space="preserve"> The Ledoit–Wolf shrinkage estimator severely underestimates realized TE for the carbon-tilted portfolios. Mean ex-ante TE for VW(0.5) is 0.05% annualized; realized TE is 0.80%. The 16× ratio reflects that LW's constant-correlation target damps the carbon-sector factor — the active position loads on a long staples / short utilities-energy-materials tilt, but the shrunk Σ assigns near-zero variance to this direction. A factor risk model (Barra/Axioma/MSCI Global Equity Model) would forecast TE more accurately. </w:t>
      </w:r>
      <w:r>
        <w:rPr>
          <w:rFonts w:ascii="Arial" w:cs="Arial" w:eastAsia="Arial" w:hAnsi="Arial"/>
          <w:i/>
          <w:iCs/>
          <w:sz w:val="22"/>
          <w:szCs w:val="22"/>
        </w:rPr>
        <w:t xml:space="preserve">We use ex-post statistics for performance attribution and ex-ante TE only as a constraint-binding diagnostic.</w:t>
      </w:r>
    </w:p>
    <w:p>
      <w:pPr>
        <w:spacing w:after="160"/>
        <w:jc w:val="both"/>
      </w:pPr>
      <w:r>
        <w:rPr>
          <w:rFonts w:ascii="Arial" w:cs="Arial" w:eastAsia="Arial" w:hAnsi="Arial"/>
          <w:b/>
          <w:bCs/>
          <w:sz w:val="22"/>
          <w:szCs w:val="22"/>
        </w:rPr>
        <w:t xml:space="preserve">Carbon coverage.</w:t>
      </w:r>
      <w:r>
        <w:rPr>
          <w:rFonts w:ascii="Arial" w:cs="Arial" w:eastAsia="Arial" w:hAnsi="Arial"/>
          <w:sz w:val="22"/>
          <w:szCs w:val="22"/>
        </w:rPr>
        <w:t xml:space="preserve"> WACI and CF are computed on the carbon-data subset, with weight coverage ≥99% in all years. The residual gap reflects firms reporting emissions but not revenue. This follows PCAF/MSCI methodology and avoids the renormalization bias that would arise from rescaling weights to the covered subset.</w:t>
      </w:r>
    </w:p>
    <w:p>
      <w:pPr>
        <w:spacing w:after="160"/>
        <w:jc w:val="both"/>
      </w:pPr>
      <w:r>
        <w:rPr>
          <w:rFonts w:ascii="Arial" w:cs="Arial" w:eastAsia="Arial" w:hAnsi="Arial"/>
          <w:b/>
          <w:bCs/>
          <w:sz w:val="22"/>
          <w:szCs w:val="22"/>
        </w:rPr>
        <w:t xml:space="preserve">Survivorship.</w:t>
      </w:r>
      <w:r>
        <w:rPr>
          <w:rFonts w:ascii="Arial" w:cs="Arial" w:eastAsia="Arial" w:hAnsi="Arial"/>
          <w:sz w:val="22"/>
          <w:szCs w:val="22"/>
        </w:rPr>
        <w:t xml:space="preserve"> OOS returns set delisted firms to −100% in the delisting month and zero thereafter, the most punitive treatment. This avoids survivorship bias from dropping delisted firms from the universe.</w:t>
      </w:r>
    </w:p>
    <w:p>
      <w:pPr>
        <w:spacing w:after="160"/>
        <w:jc w:val="both"/>
      </w:pPr>
      <w:r>
        <w:rPr>
          <w:rFonts w:ascii="Arial" w:cs="Arial" w:eastAsia="Arial" w:hAnsi="Arial"/>
          <w:b/>
          <w:bCs/>
          <w:sz w:val="22"/>
          <w:szCs w:val="22"/>
        </w:rPr>
        <w:t xml:space="preserve">Carbon-portfolio inconsistency.</w:t>
      </w:r>
      <w:r>
        <w:rPr>
          <w:rFonts w:ascii="Arial" w:cs="Arial" w:eastAsia="Arial" w:hAnsi="Arial"/>
          <w:sz w:val="22"/>
          <w:szCs w:val="22"/>
        </w:rPr>
        <w:t xml:space="preserve"> The Part I universe filter requires both Scope 1 and Scope 2 to be present, but does not require revenue or year-end Cap. With ≥99% weight coverage observed empirically, this gap was not material. A stricter filter would have improved coverage to 100% but would have departed from the project specification and required re-running Part I.</w:t>
      </w:r>
    </w:p>
    <w:p>
      <w:pPr>
        <w:spacing w:after="160"/>
        <w:jc w:val="both"/>
      </w:pPr>
      <w:r>
        <w:rPr>
          <w:rFonts w:ascii="Arial" w:cs="Arial" w:eastAsia="Arial" w:hAnsi="Arial"/>
          <w:b/>
          <w:bCs/>
          <w:sz w:val="22"/>
          <w:szCs w:val="22"/>
        </w:rPr>
        <w:t xml:space="preserve">Sample size.</w:t>
      </w:r>
      <w:r>
        <w:rPr>
          <w:rFonts w:ascii="Arial" w:cs="Arial" w:eastAsia="Arial" w:hAnsi="Arial"/>
          <w:sz w:val="22"/>
          <w:szCs w:val="22"/>
        </w:rPr>
        <w:t xml:space="preserve"> A 12-year out-of-sample window contains one major market crisis (COVID, Q1 2020) and one major sector regime shift (energy bull market, 2021–2022). Statistical inference about IRs and active returns is therefore limited; the −0.41 IR for VW(0.5) cannot be distinguished from zero at conventional levels.</w:t>
      </w:r>
    </w:p>
    <w:p>
      <w:pPr>
        <w:pStyle w:val="Heading1"/>
        <w:spacing w:after="200" w:before="360"/>
      </w:pPr>
      <w:r>
        <w:rPr>
          <w:rFonts w:ascii="Arial" w:cs="Arial" w:eastAsia="Arial" w:hAnsi="Arial"/>
          <w:b/>
          <w:bCs/>
          <w:color w:val="1F4E79"/>
          <w:sz w:val="32"/>
          <w:szCs w:val="32"/>
        </w:rPr>
        <w:t xml:space="preserve">10. Conclusion</w:t>
      </w:r>
    </w:p>
    <w:p>
      <w:pPr>
        <w:spacing w:after="160"/>
        <w:jc w:val="both"/>
      </w:pPr>
      <w:r>
        <w:rPr>
          <w:rFonts w:ascii="Arial" w:cs="Arial" w:eastAsia="Arial" w:hAnsi="Arial"/>
          <w:sz w:val="22"/>
          <w:szCs w:val="22"/>
        </w:rPr>
        <w:t xml:space="preserve">For a European-equity active investor minimizing variance with Scope 1+2 emissions data, halving the portfolio's carbon footprint relative to its unconstrained baseline is essentially free in our 2014–2025 sample (Sharpe drops by 0.001). The unconstrained MV portfolio is already aligned with low-carbon defensive sectors, so the carbon constraint reinforces an existing tilt.</w:t>
      </w:r>
    </w:p>
    <w:p>
      <w:pPr>
        <w:spacing w:after="160"/>
        <w:jc w:val="both"/>
      </w:pPr>
      <w:r>
        <w:rPr>
          <w:rFonts w:ascii="Arial" w:cs="Arial" w:eastAsia="Arial" w:hAnsi="Arial"/>
          <w:sz w:val="22"/>
          <w:szCs w:val="22"/>
        </w:rPr>
        <w:t xml:space="preserve">For a passive investor minimizing tracking error against the value-weighted benchmark, halving CF costs approximately 30 bp/year of return at 80 bp/year of TE (IR = −0.41). This cost is statistically indistinguishable from zero given the 12-year sample, and is concentrated in the 2021–2022 energy bull market.</w:t>
      </w:r>
    </w:p>
    <w:p>
      <w:pPr>
        <w:spacing w:after="160"/>
        <w:jc w:val="both"/>
      </w:pPr>
      <w:r>
        <w:rPr>
          <w:rFonts w:ascii="Arial" w:cs="Arial" w:eastAsia="Arial" w:hAnsi="Arial"/>
          <w:sz w:val="22"/>
          <w:szCs w:val="22"/>
        </w:rPr>
        <w:t xml:space="preserve">A 10%/year net-zero glide path anchored at 2013 was looser than a "CF ≤ 50% of benchmark" rule in every year of our window. Structural sector decarbonization meant the relative target became progressively more demanding while the absolute glide path stayed fixed. </w:t>
      </w:r>
      <w:r>
        <w:rPr>
          <w:rFonts w:ascii="Arial" w:cs="Arial" w:eastAsia="Arial" w:hAnsi="Arial"/>
          <w:b/>
          <w:bCs/>
          <w:sz w:val="22"/>
          <w:szCs w:val="22"/>
        </w:rPr>
        <w:t xml:space="preserve">Net-zero pledges anchored to absolute historical baselines silently weaken when their benchmark decarbonizes faster than the pledged rate</w:t>
      </w:r>
      <w:r>
        <w:rPr>
          <w:rFonts w:ascii="Arial" w:cs="Arial" w:eastAsia="Arial" w:hAnsi="Arial"/>
          <w:sz w:val="22"/>
          <w:szCs w:val="22"/>
        </w:rPr>
        <w:t xml:space="preserve"> — a generalizable observation with direct implications for how asset-owner net-zero commitments should be structured.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SAAM Part II — Carbon-Aware Portfolio Allocation</dc:title>
  <dc:creator>SAAM Project</dc:creator>
  <cp:lastModifiedBy>Un-named</cp:lastModifiedBy>
  <cp:revision>1</cp:revision>
  <dcterms:created xsi:type="dcterms:W3CDTF">2026-05-05T17:35:20.612Z</dcterms:created>
  <dcterms:modified xsi:type="dcterms:W3CDTF">2026-05-05T17:35:20.612Z</dcterms:modified>
</cp:coreProperties>
</file>

<file path=docProps/custom.xml><?xml version="1.0" encoding="utf-8"?>
<Properties xmlns="http://schemas.openxmlformats.org/officeDocument/2006/custom-properties" xmlns:vt="http://schemas.openxmlformats.org/officeDocument/2006/docPropsVTypes"/>
</file>