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36"/>
          <w:szCs w:val="36"/>
        </w:rPr>
        <w:t xml:space="preserve">Methodology Document</w:t>
      </w:r>
    </w:p>
    <w:p>
      <w:pPr>
        <w:spacing w:after="60"/>
        <w:jc w:val="center"/>
      </w:pPr>
      <w:r>
        <w:rPr>
          <w:b/>
          <w:bCs/>
          <w:sz w:val="26"/>
          <w:szCs w:val="26"/>
        </w:rPr>
        <w:t xml:space="preserve">SAAM Project 2026 — Part I: Standard Portfolio Allocation</w:t>
      </w:r>
    </w:p>
    <w:p>
      <w:pPr>
        <w:spacing w:after="360"/>
        <w:jc w:val="center"/>
      </w:pPr>
      <w:r>
        <w:rPr>
          <w:sz w:val="22"/>
          <w:szCs w:val="22"/>
        </w:rPr>
        <w:t xml:space="preserve">Region: EUR | CO2 Scope: 1 + 2</w:t>
      </w:r>
    </w:p>
    <w:p>
      <w:pPr>
        <w:pStyle w:val="Heading1"/>
        <w:spacing w:after="180" w:before="360"/>
      </w:pPr>
      <w:r>
        <w:t xml:space="preserve">1. Configuration Parameters</w:t>
      </w:r>
    </w:p>
    <w:p>
      <w:pPr>
        <w:spacing w:after="60" w:before="60"/>
      </w:pPr>
      <w:r>
        <w:t xml:space="preserve">The following parameters govern the entire pipeline. Each represents a design choice that affects the investment set, estimation quality, and portfolio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3760"/>
        <w:gridCol w:w="220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Parameter</w:t>
            </w:r>
          </w:p>
        </w:tc>
        <w:tc>
          <w:tcPr>
            <w:tcW w:type="dxa" w:w="1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Value</w:t>
            </w:r>
          </w:p>
        </w:tc>
        <w:tc>
          <w:tcPr>
            <w:tcW w:type="dxa" w:w="3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Rationale</w:t>
            </w:r>
          </w:p>
        </w:tc>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Source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REGION</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EUR</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Group assignment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Project instructions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START_YEAR</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2013</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First allocation decision (Dec 2013 for 2014)</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Project, Section 2.1</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END_YEAR</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2024</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Last allocation decision (Dec 2024 for 2025)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Project, Section 2.2</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ESTIM_YEARS</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10</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Rolling window = 120 monthly obs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Project, Section 2.1</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MIN_OBS</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36</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Minimum 3 years of valid returns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Project, Section 2.1</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STALE_THR</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0.30</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Max fraction of zero-return months (per teacher's instruction)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Project, Section 1</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LOW_FLOOR</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0.50</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RI values below this treated as NaN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Project, Section 1</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LW_SHRINK_FLOOR</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0.01</w:t>
            </w:r>
          </w:p>
        </w:tc>
        <w:tc>
          <w:tcPr>
            <w:tcW w:type="dxa" w:w="3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Minimum shrinkage intensity for Ledoit-Wolf</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Ledoit &amp; Wolf (2004)</w:t>
            </w:r>
          </w:p>
        </w:tc>
      </w:tr>
    </w:tbl>
    <w:p>
      <w:pPr>
        <w:spacing w:after="120"/>
      </w:pPr>
      <w:r>
        <w:t xml:space="preserve"/>
      </w:r>
    </w:p>
    <w:p>
      <w:pPr>
        <w:pStyle w:val="Heading1"/>
        <w:spacing w:after="180" w:before="360"/>
      </w:pPr>
      <w:r>
        <w:t xml:space="preserve">2. Data Cleaning</w:t>
      </w:r>
    </w:p>
    <w:p>
      <w:pPr>
        <w:pStyle w:val="Heading2"/>
        <w:spacing w:after="120" w:before="240"/>
      </w:pPr>
      <w:r>
        <w:t xml:space="preserve">2.1 Low Price Filter</w:t>
      </w:r>
    </w:p>
    <w:p>
      <w:pPr>
        <w:spacing w:after="60" w:before="60"/>
      </w:pPr>
      <w:r>
        <w:t xml:space="preserve">All Total Return Index (RI) values below 0.50 are set to NaN. This prevents extreme or infinite returns from near-zero prices caused by rounding artefacts in Datastream.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Return stability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Eliminates division-by-small-number artefacts that produce spurious 1000%+ returns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May exclude legitimate penny stocks from the universe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Consistency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Threshold is explicit and rule-based, avoiding ad hoc judgment per firm</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The 0.50 cutoff is arbitrary; a lower value (e.g., 0.10) would retain more firms</w:t>
            </w:r>
          </w:p>
        </w:tc>
      </w:tr>
    </w:tbl>
    <w:p>
      <w:pPr>
        <w:spacing w:after="120"/>
      </w:pPr>
      <w:r>
        <w:t xml:space="preserve"/>
      </w:r>
    </w:p>
    <w:p>
      <w:pPr>
        <w:spacing w:after="180" w:before="60"/>
      </w:pPr>
      <w:r>
        <w:rPr>
          <w:b/>
          <w:bCs/>
          <w:i/>
          <w:iCs/>
          <w:sz w:val="18"/>
          <w:szCs w:val="18"/>
        </w:rPr>
        <w:t xml:space="preserve">Source: </w:t>
      </w:r>
      <w:r>
        <w:rPr>
          <w:i/>
          <w:iCs/>
          <w:sz w:val="18"/>
          <w:szCs w:val="18"/>
        </w:rPr>
        <w:t xml:space="preserve">Project instructions, Section 1 ("I suggest treating all prices below 0.5 as missing values").</w:t>
      </w:r>
    </w:p>
    <w:p>
      <w:pPr>
        <w:pStyle w:val="Heading2"/>
        <w:spacing w:after="120" w:before="240"/>
      </w:pPr>
      <w:r>
        <w:t xml:space="preserve">2.2 Forward-Fill Internal Missing Prices</w:t>
      </w:r>
    </w:p>
    <w:p>
      <w:pPr>
        <w:spacing w:after="60" w:before="60"/>
      </w:pPr>
      <w:r>
        <w:t xml:space="preserve">For each firm, missing RI values that fall between the first and last valid observation are forward-filled from the most recent available price. This avoids look-ahead bias since we never use future prices to impute past gaps. Leading NaN (firm not yet listed) and trailing NaN (firm delisted) are not filled.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Bias avoidance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Forward-fill uses only past information, preventing look-ahead bias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If a firm was suspended for months, this silently assumes zero return throughout the gap</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Data coverage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Maximises the number of usable return observations per firm</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Artificial zero-return stretches can deflate estimated variance, though this is mitigated by the stale price filter</w:t>
            </w:r>
          </w:p>
        </w:tc>
      </w:tr>
    </w:tbl>
    <w:p>
      <w:pPr>
        <w:spacing w:after="120"/>
      </w:pPr>
      <w:r>
        <w:t xml:space="preserve"/>
      </w:r>
    </w:p>
    <w:p>
      <w:pPr>
        <w:spacing w:after="180" w:before="60"/>
      </w:pPr>
      <w:r>
        <w:rPr>
          <w:b/>
          <w:bCs/>
          <w:i/>
          <w:iCs/>
          <w:sz w:val="18"/>
          <w:szCs w:val="18"/>
        </w:rPr>
        <w:t xml:space="preserve">Source: </w:t>
      </w:r>
      <w:r>
        <w:rPr>
          <w:i/>
          <w:iCs/>
          <w:sz w:val="18"/>
          <w:szCs w:val="18"/>
        </w:rPr>
        <w:t xml:space="preserve">Project instructions, Section 1 ("I suggest using the number from the previous year"); Lecture 5, slide 19.</w:t>
      </w:r>
    </w:p>
    <w:p>
      <w:pPr>
        <w:pStyle w:val="Heading2"/>
        <w:spacing w:after="120" w:before="240"/>
      </w:pPr>
      <w:r>
        <w:t xml:space="preserve">2.3 Delisting Detection and -100% Returns</w:t>
      </w:r>
    </w:p>
    <w:p>
      <w:pPr>
        <w:spacing w:after="60" w:before="60"/>
      </w:pPr>
      <w:r>
        <w:t xml:space="preserve">Firms whose last valid RI falls before the end of the sample are flagged as potential delistings. At the first month after the last valid price, a -100% return is applied. All subsequent returns are set to NaN, effectively removing the firm from the portfolio.</w:t>
      </w:r>
    </w:p>
    <w:p>
      <w:pPr>
        <w:spacing w:after="60" w:before="60"/>
      </w:pPr>
      <w:r>
        <w:t xml:space="preserve">Additionally, delistings are detected during the out-of-sample (OOS) year via the fill_oos_returns() function. For each eligible firm in the OOS period, if the return is missing but the previous month had a valid RI price, this is treated as a mid-year delisting with a -100% return. If the previous month also had no valid price (leading NaN), the return defaults to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Survivorship bias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Captures full delisting loss instead of silently dropping the firm, correcting upward bias in returns</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May misclassify temporary data gaps as delistings (e.g., a reporting delay)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OOS coverage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Extends delisting detection into the out-of-sample year, not just the estimation window</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Conservative: any disappearing price triggers -100%, even if the firm merges at a premium</w:t>
            </w:r>
          </w:p>
        </w:tc>
      </w:tr>
    </w:tbl>
    <w:p>
      <w:pPr>
        <w:spacing w:after="120"/>
      </w:pPr>
      <w:r>
        <w:t xml:space="preserve"/>
      </w:r>
    </w:p>
    <w:p>
      <w:pPr>
        <w:spacing w:after="180" w:before="60"/>
      </w:pPr>
      <w:r>
        <w:rPr>
          <w:b/>
          <w:bCs/>
          <w:i/>
          <w:iCs/>
          <w:sz w:val="18"/>
          <w:szCs w:val="18"/>
        </w:rPr>
        <w:t xml:space="preserve">Source: </w:t>
      </w:r>
      <w:r>
        <w:rPr>
          <w:i/>
          <w:iCs/>
          <w:sz w:val="18"/>
          <w:szCs w:val="18"/>
        </w:rPr>
        <w:t xml:space="preserve">Project instructions, Section 1 ("you should acknowledge that the price goes to 0 at the time of delisting, implying a realised return of -100%"); Shumway, T. (1997), "The Delisting Bias in CRSP Data", Journal of Finance, 52(1), 327-340.</w:t>
      </w:r>
    </w:p>
    <w:p>
      <w:pPr>
        <w:pStyle w:val="Heading2"/>
        <w:spacing w:after="120" w:before="240"/>
      </w:pPr>
      <w:r>
        <w:t xml:space="preserve">2.4 Stale Price Filter</w:t>
      </w:r>
    </w:p>
    <w:p>
      <w:pPr>
        <w:spacing w:after="60" w:before="60"/>
      </w:pPr>
      <w:r>
        <w:t xml:space="preserve">For each firm, the fraction of months with zero return (|R| &lt; 1e-10) over the 10-year estimation window is computed. As per the teacher's instructions, firms exceeding 30% zero-return months are excluded from the investment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Illiquidity protection</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More aggressive filtering (30% vs 50%) prevents the optimizer from loading on illiquid stocks with artificially low variance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Smaller investment universe, which may reduce diversification</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Robustness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The threshold is computed on past data only (no look-ahead bias)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Sensitivity to the exact cutoff: 30% vs 50% could meaningfully change the eligible set</w:t>
            </w:r>
          </w:p>
        </w:tc>
      </w:tr>
    </w:tbl>
    <w:p>
      <w:pPr>
        <w:spacing w:after="120"/>
      </w:pPr>
      <w:r>
        <w:t xml:space="preserve"/>
      </w:r>
    </w:p>
    <w:p>
      <w:pPr>
        <w:spacing w:after="180" w:before="60"/>
      </w:pPr>
      <w:r>
        <w:rPr>
          <w:b/>
          <w:bCs/>
          <w:i/>
          <w:iCs/>
          <w:sz w:val="18"/>
          <w:szCs w:val="18"/>
        </w:rPr>
        <w:t xml:space="preserve">Source: </w:t>
      </w:r>
      <w:r>
        <w:rPr>
          <w:i/>
          <w:iCs/>
          <w:sz w:val="18"/>
          <w:szCs w:val="18"/>
        </w:rPr>
        <w:t xml:space="preserve">Lesmond, D., Ogden, J. &amp; Trzcinka, C. (1999), "A New Estimate of Transaction Costs", Review of Financial Studies, 12(5), 1113-1141.</w:t>
      </w:r>
    </w:p>
    <w:p>
      <w:pPr>
        <w:pStyle w:val="Heading2"/>
        <w:spacing w:after="120" w:before="240"/>
      </w:pPr>
      <w:r>
        <w:t xml:space="preserve">2.5 Carbon and Revenue Data: Forward-Fill</w:t>
      </w:r>
    </w:p>
    <w:p>
      <w:pPr>
        <w:spacing w:after="60" w:before="60"/>
      </w:pPr>
      <w:r>
        <w:t xml:space="preserve">Annual CO2 emissions (Scope 1 and 2) and revenues are forward-filled along the time axis. This means if a year's value is missing but prior years are available, the most recent value is carried forward. Leading NaN are not filled: firms without initial carbon data remain excluded until data becomes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Data availability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Maximises the set of firms with carbon data, especially in earlier years when coverage is sparse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Stale carbon data may not reflect actual emissions trends (e.g., a firm that doubled emissions)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Revenue staleness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Revenue can be volatile year-to-year; carrying a stale number for 2+ years distorts carbon intensity</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No practical alternative without look-ahead bias</w:t>
            </w:r>
          </w:p>
        </w:tc>
      </w:tr>
    </w:tbl>
    <w:p>
      <w:pPr>
        <w:spacing w:after="120"/>
      </w:pPr>
      <w:r>
        <w:t xml:space="preserve"/>
      </w:r>
    </w:p>
    <w:p>
      <w:pPr>
        <w:spacing w:after="180" w:before="60"/>
      </w:pPr>
      <w:r>
        <w:rPr>
          <w:b/>
          <w:bCs/>
          <w:i/>
          <w:iCs/>
          <w:sz w:val="18"/>
          <w:szCs w:val="18"/>
        </w:rPr>
        <w:t xml:space="preserve">Source: </w:t>
      </w:r>
      <w:r>
        <w:rPr>
          <w:i/>
          <w:iCs/>
          <w:sz w:val="18"/>
          <w:szCs w:val="18"/>
        </w:rPr>
        <w:t xml:space="preserve">Project instructions, Section 1 ("When the missing value is between two available years or at the end of the sample, just use the number from the previous year").</w:t>
      </w:r>
    </w:p>
    <w:p>
      <w:pPr>
        <w:pStyle w:val="Heading1"/>
        <w:spacing w:after="180" w:before="360"/>
      </w:pPr>
      <w:r>
        <w:t xml:space="preserve">3. Investment Set Construction</w:t>
      </w:r>
    </w:p>
    <w:p>
      <w:pPr>
        <w:spacing w:after="60" w:before="60"/>
      </w:pPr>
      <w:r>
        <w:t xml:space="preserve">At the end of each year Y, the investment set for year Y+1 is determined by applying four sequential filters to all EUR firms in the static file. All filters use information available up to and including December of year Y, ensuring no look-ahead bias.</w:t>
      </w:r>
    </w:p>
    <w:p>
      <w:pPr>
        <w:pStyle w:val="Heading2"/>
        <w:spacing w:after="120" w:before="240"/>
      </w:pPr>
      <w:r>
        <w:t xml:space="preserve">3.1 Filter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Filter</w:t>
            </w:r>
          </w:p>
        </w:tc>
        <w:tc>
          <w:tcPr>
            <w:tcW w:type="dxa" w:w="69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Description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Region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Firm belongs to EUR region (per Static_2025.xlsx assignment)</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Valid price at Dec 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RI at end of year Y is non-NaN (after low-price and forward-fill cleaning)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Sufficient returns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At least 36 valid monthly return observations in the 120-month estimation window ending Dec Y</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Stale price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Fraction of zero-return months in estimation window does not exceed 30%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Carbon data</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Both Scope 1 and Scope 2 CO2 emissions available at end of year Y (after forward-fill)</w:t>
            </w:r>
          </w:p>
        </w:tc>
      </w:tr>
    </w:tbl>
    <w:p>
      <w:pPr>
        <w:spacing w:after="120"/>
      </w:pPr>
      <w:r>
        <w:t xml:space="preserve"/>
      </w:r>
    </w:p>
    <w:p>
      <w:pPr>
        <w:pStyle w:val="Heading2"/>
        <w:spacing w:after="120" w:before="240"/>
      </w:pPr>
      <w:r>
        <w:t xml:space="preserve">3.2 Carbon Data Requirement</w:t>
      </w:r>
    </w:p>
    <w:p>
      <w:pPr>
        <w:spacing w:after="60" w:before="60"/>
      </w:pPr>
      <w:r>
        <w:t xml:space="preserve">The project instructs that the same investment set be used for both Part I (standard allocation) and Part II (carbon-constrained allocation). Therefore, even in Part I, firms without available carbon data at the end of year Y are excluded. This ensures portfolio comparability across parts.</w:t>
      </w:r>
    </w:p>
    <w:p>
      <w:pPr>
        <w:spacing w:after="180" w:before="60"/>
      </w:pPr>
      <w:r>
        <w:rPr>
          <w:b/>
          <w:bCs/>
          <w:i/>
          <w:iCs/>
          <w:sz w:val="18"/>
          <w:szCs w:val="18"/>
        </w:rPr>
        <w:t xml:space="preserve">Source: </w:t>
      </w:r>
      <w:r>
        <w:rPr>
          <w:i/>
          <w:iCs/>
          <w:sz w:val="18"/>
          <w:szCs w:val="18"/>
        </w:rPr>
        <w:t xml:space="preserve">Project instructions, Section 2.1 ("because we want to use the same investment set for both parts of the project, exclude firms without carbon data available at the end of year Y").</w:t>
      </w:r>
    </w:p>
    <w:p>
      <w:pPr>
        <w:pStyle w:val="Heading1"/>
        <w:spacing w:after="180" w:before="360"/>
      </w:pPr>
      <w:r>
        <w:t xml:space="preserve">4. Return and Covariance Estimation</w:t>
      </w:r>
    </w:p>
    <w:p>
      <w:pPr>
        <w:pStyle w:val="Heading2"/>
        <w:spacing w:after="120" w:before="240"/>
      </w:pPr>
      <w:r>
        <w:t xml:space="preserve">4.1 Expected Returns</w:t>
      </w:r>
    </w:p>
    <w:p>
      <w:pPr>
        <w:spacing w:after="60" w:before="60"/>
      </w:pPr>
      <w:r>
        <w:t xml:space="preserve">Expected returns are estimated as the per-firm sample mean of monthly simple returns over the 10-year rolling window ending at December of year Y. Each firm's mean is computed only over its available (non-NaN) observations. This is the ML estimator consistent with the project formula.</w:t>
      </w:r>
    </w:p>
    <w:p>
      <w:pPr>
        <w:spacing w:after="180" w:before="60"/>
      </w:pPr>
      <w:r>
        <w:rPr>
          <w:b/>
          <w:bCs/>
          <w:i/>
          <w:iCs/>
          <w:sz w:val="18"/>
          <w:szCs w:val="18"/>
        </w:rPr>
        <w:t xml:space="preserve">Source: </w:t>
      </w:r>
      <w:r>
        <w:rPr>
          <w:i/>
          <w:iCs/>
          <w:sz w:val="18"/>
          <w:szCs w:val="18"/>
        </w:rPr>
        <w:t xml:space="preserve">Project instructions, Section 2.1; Lecture 5, slides 19 and 33.</w:t>
      </w:r>
    </w:p>
    <w:p>
      <w:pPr>
        <w:pStyle w:val="Heading2"/>
        <w:spacing w:after="120" w:before="240"/>
      </w:pPr>
      <w:r>
        <w:t xml:space="preserve">4.2 Pairwise-Complete Covariance Matrix (Step 1)</w:t>
      </w:r>
    </w:p>
    <w:p>
      <w:pPr>
        <w:spacing w:after="60" w:before="60"/>
      </w:pPr>
      <w:r>
        <w:t xml:space="preserve">The covariance matrix is constructed in two stages. The first stage follows the lecture method using pairwise complete observations. For each pair of firms (i, j), the correlation is computed over the months where both firms have valid returns. Each firm's variance is computed over its own full available sample. The covariance is then reconstructed as Cov(i,j) = Corr(i,j) * sqrt(Var(i) * Var(j)).</w:t>
      </w:r>
    </w:p>
    <w:p>
      <w:pPr>
        <w:spacing w:after="60" w:before="60"/>
      </w:pPr>
      <w:r>
        <w:t xml:space="preserve">This approach uses the ML estimator (dividing by n, not n-1), consistent with the project formula. Variances are computed over each firm's entire available sample, while correlations use the common sub-sample. This maximises data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Data efficiency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Uses all available observations per firm for variance, maximising estimation accuracy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The resulting matrix is NOT guaranteed to be positive semi-definite (PSD)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Pairwise correlation</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Does not require all firms to have identical observation periods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Pairs with very few common observations produce noisy correlation estimates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ML estimator</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Consistent with the project formula (1/T divisor)</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Slightly biased downward in finite samples vs unbiased estimator (1/(T-1))</w:t>
            </w:r>
          </w:p>
        </w:tc>
      </w:tr>
    </w:tbl>
    <w:p>
      <w:pPr>
        <w:spacing w:after="120"/>
      </w:pPr>
      <w:r>
        <w:t xml:space="preserve"/>
      </w:r>
    </w:p>
    <w:p>
      <w:pPr>
        <w:spacing w:after="180" w:before="60"/>
      </w:pPr>
      <w:r>
        <w:rPr>
          <w:b/>
          <w:bCs/>
          <w:i/>
          <w:iCs/>
          <w:sz w:val="18"/>
          <w:szCs w:val="18"/>
        </w:rPr>
        <w:t xml:space="preserve">Source: </w:t>
      </w:r>
      <w:r>
        <w:rPr>
          <w:i/>
          <w:iCs/>
          <w:sz w:val="18"/>
          <w:szCs w:val="18"/>
        </w:rPr>
        <w:t xml:space="preserve">Lecture 5, slides 20-21; Stambaugh, R.F. (1997), "Analyzing Investments Whose Histories Differ in Length", Journal of Financial Economics, 45(3), 285-331.</w:t>
      </w:r>
    </w:p>
    <w:p>
      <w:pPr>
        <w:pStyle w:val="Heading2"/>
        <w:spacing w:after="120" w:before="240"/>
      </w:pPr>
      <w:r>
        <w:t xml:space="preserve">4.3 Ledoit-Wolf-Style Shrinkage with OAS Intensity (Step 2)</w:t>
      </w:r>
    </w:p>
    <w:p>
      <w:pPr>
        <w:spacing w:after="60" w:before="60"/>
      </w:pPr>
      <w:r>
        <w:t xml:space="preserve">The pairwise-complete covariance matrix from Step 1 suffers from two problems: (a) it may not be PSD, making the optimization problem non-convex, and (b) it contains estimation error that the optimizer amplifies by overweighting assets with underestimated variance/covariance.</w:t>
      </w:r>
    </w:p>
    <w:p>
      <w:pPr>
        <w:spacing w:after="60" w:before="60"/>
      </w:pPr>
      <w:r>
        <w:t xml:space="preserve">To address both problems, we apply Ledoit-Wolf-style shrinkage. The shrinkage estimator blends the sample covariance S with a structured target F:</w:t>
      </w:r>
    </w:p>
    <w:p>
      <w:pPr>
        <w:spacing w:after="80" w:before="80"/>
        <w:jc w:val="center"/>
      </w:pPr>
      <w:r>
        <w:rPr>
          <w:i/>
          <w:iCs/>
        </w:rPr>
        <w:t xml:space="preserve">Sigma_shrunk = delta * F + (1 - delta) * S</w:t>
      </w:r>
    </w:p>
    <w:p>
      <w:pPr>
        <w:spacing w:after="60" w:before="60"/>
      </w:pPr>
      <w:r>
        <w:t xml:space="preserve">where F is the constant-correlation target matrix (each firm keeps its own variance, but all pairwise correlations are set to the average off-diagonal correlation), and delta is the shrinkage intensity.</w:t>
      </w:r>
    </w:p>
    <w:p>
      <w:pPr>
        <w:spacing w:after="60" w:before="60"/>
      </w:pPr>
      <w:r>
        <w:t xml:space="preserve">The shrinkage intensity delta is computed using the Oracle Approximating Shrinkage (OAS) formula (Chen et al., 2010), which approximates the Ledoit-Wolf optimal intensity in closed form. The effective sample size T_eff is set to the median pairwise observation count, accounting for the unbalanced panel. A floor of LW_SHRINK_FLOOR = 0.01 prevents zero shrinkage.</w:t>
      </w:r>
    </w:p>
    <w:p>
      <w:pPr>
        <w:spacing w:after="60" w:before="60"/>
      </w:pPr>
      <w:r>
        <w:t xml:space="preserve">As a final safety net, spectral clipping is applied: any remaining negative eigenvalues are set to a small positive floor (1e-10), guaranteeing PSD.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PSD guarantee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Shrinkage + spectral clipping ensure the covariance matrix is always PSD, making the QP well-defined</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Shrinkage introduces bias toward the structured target</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Estimation error</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Systematically reduces the extreme coefficients that mislead the optimizer</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The constant-correlation target assumes all correlations are equal, which is a simplification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Analytical delta</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No cross-validation or tuning needed; the optimal intensity is derived in closed form</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OAS is an approximation; the exact Ledoit-Wolf formula requires complete data</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Removes zero-substitution</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The old approach of zeroing covariances for thin-overlap pairs asserted zero correlation; shrinkage instead pulls these toward a plausible average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Pairs with very few common observations still contribute noise, now partially dampened rather than eliminated</w:t>
            </w:r>
          </w:p>
        </w:tc>
      </w:tr>
    </w:tbl>
    <w:p>
      <w:pPr>
        <w:spacing w:after="120"/>
      </w:pPr>
      <w:r>
        <w:t xml:space="preserve"/>
      </w:r>
    </w:p>
    <w:p>
      <w:pPr>
        <w:spacing w:after="180" w:before="60"/>
      </w:pPr>
      <w:r>
        <w:rPr>
          <w:b/>
          <w:bCs/>
          <w:i/>
          <w:iCs/>
          <w:sz w:val="18"/>
          <w:szCs w:val="18"/>
        </w:rPr>
        <w:t xml:space="preserve">Source: </w:t>
      </w:r>
      <w:r>
        <w:rPr>
          <w:i/>
          <w:iCs/>
          <w:sz w:val="18"/>
          <w:szCs w:val="18"/>
        </w:rPr>
        <w:t xml:space="preserve">Ledoit, O. &amp; Wolf, M. (2004), "A well-conditioned estimator for large-dimensional covariance matrices", Journal of Multivariate Analysis, 88(2), 365-411; Ledoit, O. &amp; Wolf, M. (2003), "Honey, I Shrunk the Sample Covariance Matrix", Journal of Portfolio Management, 30(4), 110-119; Chen, Y., Wiesel, A., Eldar, Y. &amp; Hero, A. (2010), "Shrinkage Algorithms for MMSE Covariance Estimation", IEEE Trans. Signal Processing, 58(10), 5016-5029.</w:t>
      </w:r>
    </w:p>
    <w:p>
      <w:pPr>
        <w:pStyle w:val="Heading1"/>
        <w:spacing w:after="180" w:before="360"/>
      </w:pPr>
      <w:r>
        <w:t xml:space="preserve">5. Minimum-Variance Portfolio Optimisation</w:t>
      </w:r>
    </w:p>
    <w:p>
      <w:pPr>
        <w:pStyle w:val="Heading2"/>
        <w:spacing w:after="120" w:before="240"/>
      </w:pPr>
      <w:r>
        <w:t xml:space="preserve">5.1 Optimisation Problem</w:t>
      </w:r>
    </w:p>
    <w:p>
      <w:pPr>
        <w:spacing w:after="60" w:before="60"/>
      </w:pPr>
      <w:r>
        <w:t xml:space="preserve">At the end of each year Y, we solve the following constrained quadratic program:</w:t>
      </w:r>
    </w:p>
    <w:p>
      <w:pPr>
        <w:spacing w:after="80" w:before="80"/>
        <w:jc w:val="center"/>
      </w:pPr>
      <w:r>
        <w:rPr>
          <w:i/>
          <w:iCs/>
        </w:rPr>
        <w:t xml:space="preserve">min alpha' * Sigma_Y * alpha    subject to    alpha' * e = 1,    alpha_i &gt;= 0 for all i</w:t>
      </w:r>
    </w:p>
    <w:p>
      <w:pPr>
        <w:spacing w:after="60" w:before="60"/>
      </w:pPr>
      <w:r>
        <w:t xml:space="preserve">This is the long-only global minimum-variance (GMV) portfolio. The positivity constraint prevents short selling, which is required for institutional interpretability and for meaningful carbon footprint computation in Part II.</w:t>
      </w:r>
    </w:p>
    <w:p>
      <w:pPr>
        <w:spacing w:after="180" w:before="60"/>
      </w:pPr>
      <w:r>
        <w:rPr>
          <w:b/>
          <w:bCs/>
          <w:i/>
          <w:iCs/>
          <w:sz w:val="18"/>
          <w:szCs w:val="18"/>
        </w:rPr>
        <w:t xml:space="preserve">Source: </w:t>
      </w:r>
      <w:r>
        <w:rPr>
          <w:i/>
          <w:iCs/>
          <w:sz w:val="18"/>
          <w:szCs w:val="18"/>
        </w:rPr>
        <w:t xml:space="preserve">Project instructions, Section 2.2; Lecture 5, slides 24-25, 34.</w:t>
      </w:r>
    </w:p>
    <w:p>
      <w:pPr>
        <w:pStyle w:val="Heading2"/>
        <w:spacing w:after="120" w:before="240"/>
      </w:pPr>
      <w:r>
        <w:t xml:space="preserve">5.2 Solver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Setting</w:t>
            </w:r>
          </w:p>
        </w:tc>
        <w:tc>
          <w:tcPr>
            <w:tcW w:type="dxa" w:w="69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Value / Rationale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Method</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SLSQP (Sequential Least Squares Quadratic Programming) via scipy.optimize.minimize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Jacobian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Analytical gradient: 2 * Sigma @ w (avoids finite-difference approximation)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Bounds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 None] for all weights (long-only, no upper bound)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Equality constraint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sum(w) = 1 (full investment)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Tolerance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ftol = 1e-10 (tight convergence)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Max iterations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1000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Initial guess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Drifted weights from previous year (warm start), or 1/N for first year</w:t>
            </w:r>
          </w:p>
        </w:tc>
      </w:tr>
    </w:tbl>
    <w:p>
      <w:pPr>
        <w:spacing w:after="120"/>
      </w:pPr>
      <w:r>
        <w:t xml:space="preserve"/>
      </w:r>
    </w:p>
    <w:p>
      <w:pPr>
        <w:pStyle w:val="Heading2"/>
        <w:spacing w:after="120" w:before="240"/>
      </w:pPr>
      <w:r>
        <w:t xml:space="preserve">5.3 Warm Start from Drifted Weights</w:t>
      </w:r>
    </w:p>
    <w:p>
      <w:pPr>
        <w:spacing w:after="60" w:before="60"/>
      </w:pPr>
      <w:r>
        <w:t xml:space="preserve">Instead of always starting from equal weights (1/N), the optimizer is initialised with the portfolio's actual weight composition at the end of the previous year (after 12 months of price-driven weight drift). This reflects the investor's current holdings before rebalancing.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Convergence speed</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Starting closer to the solution reduces iterations and avoids local-minimum traps in the non-convex landscape</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If the drifted portfolio is far from optimal (e.g., due to a structural break), the warm start may bias the optimizer</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Practical relevance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Mirrors real portfolio management: the rebalancing starts from where the portfolio actually is</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Introduces path dependence into the optimisation sequence</w:t>
            </w:r>
          </w:p>
        </w:tc>
      </w:tr>
    </w:tbl>
    <w:p>
      <w:pPr>
        <w:spacing w:after="120"/>
      </w:pPr>
      <w:r>
        <w:t xml:space="preserve"/>
      </w:r>
    </w:p>
    <w:p>
      <w:pPr>
        <w:spacing w:after="180" w:before="60"/>
      </w:pPr>
      <w:r>
        <w:rPr>
          <w:b/>
          <w:bCs/>
          <w:i/>
          <w:iCs/>
          <w:sz w:val="18"/>
          <w:szCs w:val="18"/>
        </w:rPr>
        <w:t xml:space="preserve">Source: </w:t>
      </w:r>
      <w:r>
        <w:rPr>
          <w:i/>
          <w:iCs/>
          <w:sz w:val="18"/>
          <w:szCs w:val="18"/>
        </w:rPr>
        <w:t xml:space="preserve">Standard practice in rolling portfolio optimisation; Jagannathan, R. &amp; Ma, T. (2003), "Risk Reduction in Large Portfolios: Why Imposing the Wrong Constraints Helps", Journal of Finance, 58(4), 1651-1684.</w:t>
      </w:r>
    </w:p>
    <w:p>
      <w:pPr>
        <w:pStyle w:val="Heading2"/>
        <w:spacing w:after="120" w:before="240"/>
      </w:pPr>
      <w:r>
        <w:t xml:space="preserve">5.4 No Upper Bound on Individual Weights</w:t>
      </w:r>
    </w:p>
    <w:p>
      <w:pPr>
        <w:spacing w:after="60" w:before="60"/>
      </w:pPr>
      <w:r>
        <w:t xml:space="preserve">The optimisation imposes no maximum weight per firm. In principle, a single stock could receive 50%+ of the portfolio. This is technically correct per the project instructions, which only require non-negativity. However, it creates concentration risk.</w:t>
      </w:r>
    </w:p>
    <w:p>
      <w:pPr>
        <w:spacing w:after="60" w:before="60"/>
      </w:pPr>
      <w:r>
        <w:rPr>
          <w:b/>
          <w:bCs/>
        </w:rPr>
        <w:t xml:space="preserve">Flag: </w:t>
      </w:r>
      <w:r>
        <w:t xml:space="preserve">In practice, the long-only constraint combined with shrinkage partially mitigates extreme concentration. Jagannathan &amp; Ma (2003) show that the non-negativity constraint acts as an implicit form of shrinkage, improving out-of-sample performance even without explicit covariance regularisation. However, adding an upper bound (e.g., 5% or 10%) per firm would be a useful robustness check.</w:t>
      </w:r>
    </w:p>
    <w:p>
      <w:pPr>
        <w:spacing w:after="180" w:before="60"/>
      </w:pPr>
      <w:r>
        <w:rPr>
          <w:b/>
          <w:bCs/>
          <w:i/>
          <w:iCs/>
          <w:sz w:val="18"/>
          <w:szCs w:val="18"/>
        </w:rPr>
        <w:t xml:space="preserve">Source: </w:t>
      </w:r>
      <w:r>
        <w:rPr>
          <w:i/>
          <w:iCs/>
          <w:sz w:val="18"/>
          <w:szCs w:val="18"/>
        </w:rPr>
        <w:t xml:space="preserve">Jagannathan, R. &amp; Ma, T. (2003), "Risk Reduction in Large Portfolios: Why Imposing the Wrong Constraints Helps", Journal of Finance, 58(4), 1651-1684.</w:t>
      </w:r>
    </w:p>
    <w:p>
      <w:pPr>
        <w:pStyle w:val="Heading1"/>
        <w:spacing w:after="180" w:before="360"/>
      </w:pPr>
      <w:r>
        <w:t xml:space="preserve">6. Ex-Post Performance Computation</w:t>
      </w:r>
    </w:p>
    <w:p>
      <w:pPr>
        <w:pStyle w:val="Heading2"/>
        <w:spacing w:after="120" w:before="240"/>
      </w:pPr>
      <w:r>
        <w:t xml:space="preserve">6.1 Monthly Weight Drift</w:t>
      </w:r>
    </w:p>
    <w:p>
      <w:pPr>
        <w:spacing w:after="60" w:before="60"/>
      </w:pPr>
      <w:r>
        <w:t xml:space="preserve">After the allocation is determined at end of year Y, the portfolio is held for 12 months without rebalancing. Each month, weights drift according to the relative price changes of the constituent securities:</w:t>
      </w:r>
    </w:p>
    <w:p>
      <w:pPr>
        <w:spacing w:after="80" w:before="80"/>
        <w:jc w:val="center"/>
      </w:pPr>
      <w:r>
        <w:rPr>
          <w:i/>
          <w:iCs/>
        </w:rPr>
        <w:t xml:space="preserve">alpha_{i,t+k} = alpha_{i,t+k-1} * (1 + R_{i,t+k}) / (1 + R_{p,t+k})</w:t>
      </w:r>
    </w:p>
    <w:p>
      <w:pPr>
        <w:spacing w:after="60" w:before="60"/>
      </w:pPr>
      <w:r>
        <w:t xml:space="preserve">The monthly portfolio return is: </w:t>
      </w:r>
      <w:r>
        <w:rPr>
          <w:b/>
          <w:bCs/>
          <w:i/>
          <w:iCs/>
        </w:rPr>
        <w:t xml:space="preserve">R_{p,t+k} = alpha'_{t+k-1} * R_{t+k}</w:t>
      </w:r>
    </w:p>
    <w:p>
      <w:pPr>
        <w:spacing w:after="60" w:before="60"/>
      </w:pPr>
      <w:r>
        <w:t xml:space="preserve">This buy-and-hold approach between annual rebalancing dates is standard and consistent with the project specification. Transaction costs are implicitly zero within each year.</w:t>
      </w:r>
    </w:p>
    <w:p>
      <w:pPr>
        <w:spacing w:after="180" w:before="60"/>
      </w:pPr>
      <w:r>
        <w:rPr>
          <w:b/>
          <w:bCs/>
          <w:i/>
          <w:iCs/>
          <w:sz w:val="18"/>
          <w:szCs w:val="18"/>
        </w:rPr>
        <w:t xml:space="preserve">Source: </w:t>
      </w:r>
      <w:r>
        <w:rPr>
          <w:i/>
          <w:iCs/>
          <w:sz w:val="18"/>
          <w:szCs w:val="18"/>
        </w:rPr>
        <w:t xml:space="preserve">Project instructions, Section 2.2; Lecture 5, slides 35-36.</w:t>
      </w:r>
    </w:p>
    <w:p>
      <w:pPr>
        <w:pStyle w:val="Heading2"/>
        <w:spacing w:after="120" w:before="240"/>
      </w:pPr>
      <w:r>
        <w:t xml:space="preserve">6.2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Metric</w:t>
            </w:r>
          </w:p>
        </w:tc>
        <w:tc>
          <w:tcPr>
            <w:tcW w:type="dxa" w:w="61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Formula / Method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Annualised arithmetic return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12 * mean(R_monthly) — Lecture 5, slide 12</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Annualised geometric return</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(1 + R_cumulative)^(12/T) - 1 — Lecture 5, slide 13</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Annualised volatility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std(R_monthly) * sqrt(12) — Lecture 5, slide 12</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Sharpe ratio</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(mu_arith_ann - RF_ann) / sigma_ann — Lecture 5, slide 12</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Maximum drawdown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max peak-to-trough loss from cumulative return series — Lecture 5, slide 10</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Min / Max monthly return</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Simple extrema of the monthly return series</w:t>
            </w:r>
          </w:p>
        </w:tc>
      </w:tr>
    </w:tbl>
    <w:p>
      <w:pPr>
        <w:spacing w:after="120"/>
      </w:pPr>
      <w:r>
        <w:t xml:space="preserve"/>
      </w:r>
    </w:p>
    <w:p>
      <w:pPr>
        <w:pStyle w:val="Heading2"/>
        <w:spacing w:after="120" w:before="240"/>
      </w:pPr>
      <w:r>
        <w:t xml:space="preserve">6.3 Risk-Free Rate Treatment</w:t>
      </w:r>
    </w:p>
    <w:p>
      <w:pPr>
        <w:spacing w:after="60" w:before="60"/>
      </w:pPr>
      <w:r>
        <w:t xml:space="preserve">The risk-free rate is sourced from the Fama-French research data file (</w:t>
      </w:r>
      <w:r>
        <w:rPr>
          <w:i/>
          <w:iCs/>
        </w:rPr>
        <w:t xml:space="preserve">F-F_Research_Data_Factors</w:t>
      </w:r>
      <w:r>
        <w:t xml:space="preserve">, column </w:t>
      </w:r>
      <w:r>
        <w:rPr>
          <w:i/>
          <w:iCs/>
        </w:rPr>
        <w:t xml:space="preserve">RF</w:t>
      </w:r>
      <w:r>
        <w:t xml:space="preserve">). Per explicit instructor guidance, the raw values are interpreted as </w:t>
      </w:r>
      <w:r>
        <w:rPr>
          <w:b/>
          <w:bCs/>
        </w:rPr>
        <w:t xml:space="preserve">monthly</w:t>
      </w:r>
      <w:r>
        <w:t xml:space="preserve"> returns expressed in percentage points and are converted to monthly decimals by dividing by 100:</w:t>
      </w:r>
    </w:p>
    <w:p>
      <w:pPr>
        <w:spacing w:after="80" w:before="80"/>
        <w:jc w:val="center"/>
      </w:pPr>
      <w:r>
        <w:rPr>
          <w:i/>
          <w:iCs/>
        </w:rPr>
        <w:t xml:space="preserve">RF_monthly = RF_pct / 100</w:t>
      </w:r>
    </w:p>
    <w:p>
      <w:pPr>
        <w:spacing w:after="60" w:before="60"/>
      </w:pPr>
      <w:r>
        <w:t xml:space="preserve">For the Sharpe ratio, the monthly RF is annualised by simple multiplication: RF_annual = 12 * mean(RF_monthly). This matches the convention used for the annualised portfolio return, which is also 12 * mean(R_monthly). The Sharpe ratio is then computed as (mu_arith_ann - RF_ann) / sigma_ann.</w:t>
      </w:r>
    </w:p>
    <w:p>
      <w:pPr>
        <w:spacing w:after="60" w:before="60"/>
      </w:pPr>
      <w:r>
        <w:rPr>
          <w:b/>
          <w:bCs/>
        </w:rPr>
        <w:t xml:space="preserve">Sanity check: </w:t>
      </w:r>
      <w:r>
        <w:t xml:space="preserve">Over the sample period January 2014 to December 2025, the average monthly RF is 0.1456%, annualising to 1.7475%. This is consistent with the average US 3-month T-bill yield over the period and validates the unit interpretation. A runtime assertion in the code (</w:t>
      </w:r>
      <w:r>
        <w:rPr>
          <w:i/>
          <w:iCs/>
        </w:rPr>
        <w:t xml:space="preserve">0.005 &lt; rf_ann &lt; 0.05</w:t>
      </w:r>
      <w:r>
        <w:t xml:space="preserve">) enforces this check at every run.</w:t>
      </w:r>
    </w:p>
    <w:p>
      <w:pPr>
        <w:spacing w:after="180" w:before="60"/>
      </w:pPr>
      <w:r>
        <w:rPr>
          <w:b/>
          <w:bCs/>
          <w:i/>
          <w:iCs/>
          <w:sz w:val="18"/>
          <w:szCs w:val="18"/>
        </w:rPr>
        <w:t xml:space="preserve">Source: </w:t>
      </w:r>
      <w:r>
        <w:rPr>
          <w:i/>
          <w:iCs/>
          <w:sz w:val="18"/>
          <w:szCs w:val="18"/>
        </w:rPr>
        <w:t xml:space="preserve">Instructor directive (treat RF as monthly rate); Fama, E.F. &amp; French, K.R., Kenneth R. French Data Library — the RF column is documented as monthly returns in percent.</w:t>
      </w:r>
    </w:p>
    <w:p>
      <w:pPr>
        <w:pStyle w:val="Heading2"/>
        <w:spacing w:after="120" w:before="240"/>
      </w:pPr>
      <w:r>
        <w:t xml:space="preserve">6.4 Volatility Estimator Convention</w:t>
      </w:r>
    </w:p>
    <w:p>
      <w:pPr>
        <w:spacing w:after="60" w:before="60"/>
      </w:pPr>
      <w:r>
        <w:t xml:space="preserve">The ex-post volatility uses the pandas .std() default, which divides by (T-1) (unbiased estimator), while the covariance matrix estimation uses the ML estimator (divides by T). This is a minor inconsistency. The project formula for the covariance matrix explicitly uses 1/T, while the lecture slides for ex-post volatility use 1/(T-1). We follow each specification in its respective context.</w:t>
      </w:r>
    </w:p>
    <w:p>
      <w:pPr>
        <w:spacing w:after="180" w:before="60"/>
      </w:pPr>
      <w:r>
        <w:rPr>
          <w:b/>
          <w:bCs/>
          <w:i/>
          <w:iCs/>
          <w:sz w:val="18"/>
          <w:szCs w:val="18"/>
        </w:rPr>
        <w:t xml:space="preserve">Source: </w:t>
      </w:r>
      <w:r>
        <w:rPr>
          <w:i/>
          <w:iCs/>
          <w:sz w:val="18"/>
          <w:szCs w:val="18"/>
        </w:rPr>
        <w:t xml:space="preserve">Lecture 5, slides 6-7 (both estimators discussed); Project formula, Section 2.1 (ML for covariance).</w:t>
      </w:r>
    </w:p>
    <w:p>
      <w:pPr>
        <w:pStyle w:val="Heading1"/>
        <w:spacing w:after="180" w:before="360"/>
      </w:pPr>
      <w:r>
        <w:t xml:space="preserve">7. Value-Weighted Benchmark</w:t>
      </w:r>
    </w:p>
    <w:p>
      <w:pPr>
        <w:spacing w:after="60" w:before="60"/>
      </w:pPr>
      <w:r>
        <w:t xml:space="preserve">The value-weighted portfolio uses the same investment set as the minimum-variance portfolio (same eligible firms per year). Each month t, the weight of firm i is proportional to its market capitalisation at the end of month t-1:</w:t>
      </w:r>
    </w:p>
    <w:p>
      <w:pPr>
        <w:spacing w:after="80" w:before="80"/>
        <w:jc w:val="center"/>
      </w:pPr>
      <w:r>
        <w:rPr>
          <w:i/>
          <w:iCs/>
        </w:rPr>
        <w:t xml:space="preserve">w_{i,t} = Cap_{i,t-1} / sum_j(Cap_{j,t-1})</w:t>
      </w:r>
    </w:p>
    <w:p>
      <w:pPr>
        <w:spacing w:after="60" w:before="60"/>
      </w:pPr>
      <w:r>
        <w:t xml:space="preserve">Firms with missing market cap at month t-1 receive zero weight (effectively excluded for that month). The same OOS delisting-aware return matrix (fill_oos_returns) is used for both the MV and VW portfolios, ensuring consistent treatment of delistings.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Aspect</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Advantage</w:t>
            </w:r>
          </w:p>
        </w:tc>
        <w:tc>
          <w:tcPr>
            <w:tcW w:type="dxa" w:w="35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Disadvantage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Reweighting frequency</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Monthly reweighting reflects actual market values (as an investor would hold)</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Monthly turnover is higher than annual; however, no transaction costs are applied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Same universe</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Direct comparability with the MV portfolio: same eligible firms, same return data</w:t>
            </w:r>
          </w:p>
        </w:tc>
        <w:tc>
          <w:tcPr>
            <w:tcW w:type="dxa" w:w="35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The VW benchmark is restricted to the EUR carbon-data universe, not a standard market index</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Missing cap treatment</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fillna(0) on market cap effectively drops firms with missing data for that month</w:t>
            </w:r>
          </w:p>
        </w:tc>
        <w:tc>
          <w:tcPr>
            <w:tcW w:type="dxa" w:w="35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A firm temporarily missing cap data gets zero weight, then may re-enter next month</w:t>
            </w:r>
          </w:p>
        </w:tc>
      </w:tr>
    </w:tbl>
    <w:p>
      <w:pPr>
        <w:spacing w:after="120"/>
      </w:pPr>
      <w:r>
        <w:t xml:space="preserve"/>
      </w:r>
    </w:p>
    <w:p>
      <w:pPr>
        <w:spacing w:after="180" w:before="60"/>
      </w:pPr>
      <w:r>
        <w:rPr>
          <w:b/>
          <w:bCs/>
          <w:i/>
          <w:iCs/>
          <w:sz w:val="18"/>
          <w:szCs w:val="18"/>
        </w:rPr>
        <w:t xml:space="preserve">Source: </w:t>
      </w:r>
      <w:r>
        <w:rPr>
          <w:i/>
          <w:iCs/>
          <w:sz w:val="18"/>
          <w:szCs w:val="18"/>
        </w:rPr>
        <w:t xml:space="preserve">Project instructions, Section 2.3; Lecture 5, slide 38.</w:t>
      </w:r>
    </w:p>
    <w:p>
      <w:pPr>
        <w:pStyle w:val="Heading1"/>
        <w:spacing w:after="180" w:before="360"/>
      </w:pPr>
      <w:r>
        <w:t xml:space="preserve">8. Summary: Design Choices vs Alternatives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000"/>
        <w:gridCol w:w="2360"/>
        <w:gridCol w:w="1400"/>
      </w:tblGrid>
      <w:tr>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Choice</w:t>
            </w:r>
          </w:p>
        </w:tc>
        <w:tc>
          <w:tcPr>
            <w:tcW w:type="dxa" w:w="1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Our Approach</w:t>
            </w:r>
          </w:p>
        </w:tc>
        <w:tc>
          <w:tcPr>
            <w:tcW w:type="dxa" w:w="2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Alternative</w:t>
            </w:r>
          </w:p>
        </w:tc>
        <w:tc>
          <w:tcPr>
            <w:tcW w:type="dxa" w:w="2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Why Ours</w:t>
            </w:r>
          </w:p>
        </w:tc>
        <w:tc>
          <w:tcPr>
            <w:tcW w:type="dxa" w:w="1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sz w:val="20"/>
                <w:szCs w:val="20"/>
              </w:rPr>
              <w:t xml:space="preserve">Flag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Cov estimation</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Pairwise-complete + Ledoit-Wolf shrinkage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Listwise deletion or factor model</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Maximises data; shrinkage guarantees PSD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None</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Shrinkage target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Constant-correlation</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Identity matrix (Ledoit-Wolf 2004b) or single-factor (Sharpe)</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Preserves average dependence structure</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Could compare targets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Stale threshold</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30%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50% (project suggestion)</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Per teacher's instruction; stronger illiquidity filter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Report sensitivity</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Delisting returns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-100% including OOS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-100% only in estimation window</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Eliminates survivorship bias in OOS period</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None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OOS missing returns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Delisting-aware fill (fill_oos_returns)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Blind fillna(0)</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Distinguishes suspension from delisting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None</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Optimiser</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SLSQP with analytical Jacobian</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cvxpy / quadprog</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Sufficient for QP with inequality constraints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None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Weight bounds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 None]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[0, 0.05] or [0, 0.10]</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Matches project specification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Discuss concentration</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RF treatment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Monthly % / 100, annualised via 12 × mean</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Compound (1+r_m)^12 - 1 (would be wrong here)</w:t>
            </w:r>
          </w:p>
        </w:tc>
        <w:tc>
          <w:tcPr>
            <w:tcW w:type="dxa" w:w="2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Matches Fama-French convention; consistent with portfolio return annualisation</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val="false"/>
                <w:bCs w:val="false"/>
                <w:sz w:val="18"/>
                <w:szCs w:val="18"/>
              </w:rPr>
              <w:t xml:space="preserve">None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Vol estimator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1/(T-1) ex-post, 1/T for covariance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Consistent 1/T everywhere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Follows each source formula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18"/>
                <w:szCs w:val="18"/>
              </w:rPr>
              <w:t xml:space="preserve">Minor inconsistency</w:t>
            </w:r>
          </w:p>
        </w:tc>
      </w:tr>
    </w:tbl>
    <w:p>
      <w:pPr>
        <w:spacing w:after="120"/>
      </w:pPr>
      <w:r>
        <w:t xml:space="preserve"/>
      </w:r>
    </w:p>
    <w:p>
      <w:pPr>
        <w:pStyle w:val="Heading1"/>
        <w:spacing w:after="180" w:before="360"/>
      </w:pPr>
      <w:r>
        <w:t xml:space="preserve">9. References</w:t>
      </w:r>
    </w:p>
    <w:p>
      <w:pPr>
        <w:spacing w:after="60" w:before="60"/>
        <w:ind w:left="360" w:hanging="360"/>
      </w:pPr>
      <w:r>
        <w:rPr>
          <w:sz w:val="20"/>
          <w:szCs w:val="20"/>
        </w:rPr>
        <w:t xml:space="preserve">Chen, Y., Wiesel, A., Eldar, Y. &amp; Hero, A. (2010). Shrinkage Algorithms for MMSE Covariance Estimation. IEEE Transactions on Signal Processing, 58(10), 5016-5029.</w:t>
      </w:r>
    </w:p>
    <w:p>
      <w:pPr>
        <w:spacing w:after="60" w:before="60"/>
        <w:ind w:left="360" w:hanging="360"/>
      </w:pPr>
      <w:r>
        <w:rPr>
          <w:sz w:val="20"/>
          <w:szCs w:val="20"/>
        </w:rPr>
        <w:t xml:space="preserve">Jagannathan, R. &amp; Ma, T. (2003). Risk Reduction in Large Portfolios: Why Imposing the Wrong Constraints Helps. Journal of Finance, 58(4), 1651-1684.</w:t>
      </w:r>
    </w:p>
    <w:p>
      <w:pPr>
        <w:spacing w:after="60" w:before="60"/>
        <w:ind w:left="360" w:hanging="360"/>
      </w:pPr>
      <w:r>
        <w:rPr>
          <w:sz w:val="20"/>
          <w:szCs w:val="20"/>
        </w:rPr>
        <w:t xml:space="preserve">Jondeau, E. (2026). SAAM Project: Portfolio Allocation with a Carbon Objective. Universite de Lausanne, HEC.</w:t>
      </w:r>
    </w:p>
    <w:p>
      <w:pPr>
        <w:spacing w:after="60" w:before="60"/>
        <w:ind w:left="360" w:hanging="360"/>
      </w:pPr>
      <w:r>
        <w:rPr>
          <w:sz w:val="20"/>
          <w:szCs w:val="20"/>
        </w:rPr>
        <w:t xml:space="preserve">Jondeau, E. (2026). Lecture 5: Investment Project. Universite de Lausanne, HEC.</w:t>
      </w:r>
    </w:p>
    <w:p>
      <w:pPr>
        <w:spacing w:after="60" w:before="60"/>
        <w:ind w:left="360" w:hanging="360"/>
      </w:pPr>
      <w:r>
        <w:rPr>
          <w:sz w:val="20"/>
          <w:szCs w:val="20"/>
        </w:rPr>
        <w:t xml:space="preserve">Ledoit, O. &amp; Wolf, M. (2003). Honey, I Shrunk the Sample Covariance Matrix. Journal of Portfolio Management, 30(4), 110-119.</w:t>
      </w:r>
    </w:p>
    <w:p>
      <w:pPr>
        <w:spacing w:after="60" w:before="60"/>
        <w:ind w:left="360" w:hanging="360"/>
      </w:pPr>
      <w:r>
        <w:rPr>
          <w:sz w:val="20"/>
          <w:szCs w:val="20"/>
        </w:rPr>
        <w:t xml:space="preserve">Ledoit, O. &amp; Wolf, M. (2004). A well-conditioned estimator for large-dimensional covariance matrices. Journal of Multivariate Analysis, 88(2), 365-411.</w:t>
      </w:r>
    </w:p>
    <w:p>
      <w:pPr>
        <w:spacing w:after="60" w:before="60"/>
        <w:ind w:left="360" w:hanging="360"/>
      </w:pPr>
      <w:r>
        <w:rPr>
          <w:sz w:val="20"/>
          <w:szCs w:val="20"/>
        </w:rPr>
        <w:t xml:space="preserve">Lesmond, D., Ogden, J. &amp; Trzcinka, C. (1999). A New Estimate of Transaction Costs. Review of Financial Studies, 12(5), 1113-1141.</w:t>
      </w:r>
    </w:p>
    <w:p>
      <w:pPr>
        <w:spacing w:after="60" w:before="60"/>
        <w:ind w:left="360" w:hanging="360"/>
      </w:pPr>
      <w:r>
        <w:rPr>
          <w:sz w:val="20"/>
          <w:szCs w:val="20"/>
        </w:rPr>
        <w:t xml:space="preserve">Shumway, T. (1997). The Delisting Bias in CRSP Data. Journal of Finance, 52(1), 327-340.</w:t>
      </w:r>
    </w:p>
    <w:p>
      <w:pPr>
        <w:spacing w:after="60" w:before="60"/>
        <w:ind w:left="360" w:hanging="360"/>
      </w:pPr>
      <w:r>
        <w:rPr>
          <w:sz w:val="20"/>
          <w:szCs w:val="20"/>
        </w:rPr>
        <w:t xml:space="preserve">Stambaugh, R.F. (1997). Analyzing Investments Whose Histories Differ in Length. Journal of Financial Economics, 45(3), 285-331.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SAAM 2026 — Methodology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49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SAAM 2026 — Methodology Document</dc:title>
  <dc:creator>SAAM Project Team</dc:creator>
  <cp:lastModifiedBy>Un-named</cp:lastModifiedBy>
  <cp:revision>1</cp:revision>
  <dcterms:created xsi:type="dcterms:W3CDTF">2026-04-29T09:04:00.996Z</dcterms:created>
  <dcterms:modified xsi:type="dcterms:W3CDTF">2026-04-29T09:04:00.996Z</dcterms:modified>
</cp:coreProperties>
</file>

<file path=docProps/custom.xml><?xml version="1.0" encoding="utf-8"?>
<Properties xmlns="http://schemas.openxmlformats.org/officeDocument/2006/custom-properties" xmlns:vt="http://schemas.openxmlformats.org/officeDocument/2006/docPropsVTypes"/>
</file>