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CA9A8" w14:textId="77777777" w:rsidR="005261A3" w:rsidRDefault="00000000">
      <w:pPr>
        <w:spacing w:after="120"/>
        <w:jc w:val="center"/>
      </w:pPr>
      <w:r>
        <w:rPr>
          <w:b/>
          <w:bCs/>
          <w:sz w:val="36"/>
          <w:szCs w:val="36"/>
        </w:rPr>
        <w:t>Methodology Document</w:t>
      </w:r>
    </w:p>
    <w:p w14:paraId="1B655B2A" w14:textId="77777777" w:rsidR="005261A3" w:rsidRDefault="00000000">
      <w:pPr>
        <w:spacing w:after="60"/>
        <w:jc w:val="center"/>
      </w:pPr>
      <w:r>
        <w:rPr>
          <w:b/>
          <w:bCs/>
          <w:sz w:val="26"/>
          <w:szCs w:val="26"/>
        </w:rPr>
        <w:t>SAAM Project 2026 — Part I: Standard Portfolio Allocation</w:t>
      </w:r>
    </w:p>
    <w:p w14:paraId="1A671887" w14:textId="77777777" w:rsidR="005261A3" w:rsidRDefault="00000000">
      <w:pPr>
        <w:spacing w:after="360"/>
        <w:jc w:val="center"/>
      </w:pPr>
      <w:r>
        <w:t>Region: EUR | CO2 Scope: 1 + 2</w:t>
      </w:r>
    </w:p>
    <w:p w14:paraId="0024A45A" w14:textId="77777777" w:rsidR="005261A3" w:rsidRDefault="00000000">
      <w:pPr>
        <w:pStyle w:val="Heading1"/>
      </w:pPr>
      <w:r>
        <w:t>1. Configuration Parameters</w:t>
      </w:r>
    </w:p>
    <w:p w14:paraId="18C1B1BE" w14:textId="77777777" w:rsidR="005261A3" w:rsidRDefault="00000000">
      <w:pPr>
        <w:spacing w:before="60" w:after="60"/>
      </w:pPr>
      <w:r>
        <w:t>The following parameters govern the entire pipeline. Each represents a design choice that affects the investment set, estimation quality, and portfolio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3760"/>
        <w:gridCol w:w="2200"/>
      </w:tblGrid>
      <w:tr w:rsidR="005261A3" w14:paraId="786D441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CC7D78" w14:textId="77777777" w:rsidR="005261A3" w:rsidRDefault="00000000">
            <w:r>
              <w:rPr>
                <w:b/>
                <w:bCs/>
                <w:sz w:val="20"/>
                <w:szCs w:val="20"/>
              </w:rPr>
              <w:t>Parameter</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F65CB0" w14:textId="77777777" w:rsidR="005261A3" w:rsidRDefault="00000000">
            <w:r>
              <w:rPr>
                <w:b/>
                <w:bCs/>
                <w:sz w:val="20"/>
                <w:szCs w:val="20"/>
              </w:rPr>
              <w:t>Value</w:t>
            </w:r>
          </w:p>
        </w:tc>
        <w:tc>
          <w:tcPr>
            <w:tcW w:w="37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4E8DCD" w14:textId="77777777" w:rsidR="005261A3" w:rsidRDefault="00000000">
            <w:r>
              <w:rPr>
                <w:b/>
                <w:bCs/>
                <w:sz w:val="20"/>
                <w:szCs w:val="20"/>
              </w:rPr>
              <w:t>Rationale</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2A2BE59" w14:textId="77777777" w:rsidR="005261A3" w:rsidRDefault="00000000">
            <w:r>
              <w:rPr>
                <w:b/>
                <w:bCs/>
                <w:sz w:val="20"/>
                <w:szCs w:val="20"/>
              </w:rPr>
              <w:t>Source</w:t>
            </w:r>
          </w:p>
        </w:tc>
      </w:tr>
      <w:tr w:rsidR="005261A3" w14:paraId="2674085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DAAF9B" w14:textId="77777777" w:rsidR="005261A3" w:rsidRDefault="00000000">
            <w:r>
              <w:rPr>
                <w:sz w:val="18"/>
                <w:szCs w:val="18"/>
              </w:rPr>
              <w:t>REGION</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8F8115" w14:textId="77777777" w:rsidR="005261A3" w:rsidRDefault="00000000">
            <w:r>
              <w:rPr>
                <w:sz w:val="18"/>
                <w:szCs w:val="18"/>
              </w:rPr>
              <w:t>EUR</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57F02D" w14:textId="77777777" w:rsidR="005261A3" w:rsidRDefault="00000000">
            <w:r>
              <w:rPr>
                <w:sz w:val="18"/>
                <w:szCs w:val="18"/>
              </w:rPr>
              <w:t>Group assignment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5B741" w14:textId="77777777" w:rsidR="005261A3" w:rsidRDefault="00000000">
            <w:r>
              <w:rPr>
                <w:sz w:val="18"/>
                <w:szCs w:val="18"/>
              </w:rPr>
              <w:t>Project instructions</w:t>
            </w:r>
          </w:p>
        </w:tc>
      </w:tr>
      <w:tr w:rsidR="005261A3" w14:paraId="0548F20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70AF45" w14:textId="77777777" w:rsidR="005261A3" w:rsidRDefault="00000000">
            <w:r>
              <w:rPr>
                <w:sz w:val="18"/>
                <w:szCs w:val="18"/>
              </w:rPr>
              <w:t>START_YEAR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00D6B7" w14:textId="77777777" w:rsidR="005261A3" w:rsidRDefault="00000000">
            <w:r>
              <w:rPr>
                <w:sz w:val="18"/>
                <w:szCs w:val="18"/>
              </w:rPr>
              <w:t>2013</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39EC7E" w14:textId="77777777" w:rsidR="005261A3" w:rsidRDefault="00000000">
            <w:r>
              <w:rPr>
                <w:sz w:val="18"/>
                <w:szCs w:val="18"/>
              </w:rPr>
              <w:t>First allocation decision (Dec 2013 for 2014)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327897" w14:textId="77777777" w:rsidR="005261A3" w:rsidRDefault="00000000">
            <w:r>
              <w:rPr>
                <w:sz w:val="18"/>
                <w:szCs w:val="18"/>
              </w:rPr>
              <w:t>Project, Section 2.1</w:t>
            </w:r>
          </w:p>
        </w:tc>
      </w:tr>
      <w:tr w:rsidR="005261A3" w14:paraId="048F089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79C0B8" w14:textId="77777777" w:rsidR="005261A3" w:rsidRDefault="00000000">
            <w:r>
              <w:rPr>
                <w:sz w:val="18"/>
                <w:szCs w:val="18"/>
              </w:rPr>
              <w:t>END_YEAR</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E34C4E" w14:textId="77777777" w:rsidR="005261A3" w:rsidRDefault="00000000">
            <w:r>
              <w:rPr>
                <w:sz w:val="18"/>
                <w:szCs w:val="18"/>
              </w:rPr>
              <w:t>2024</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F310AC" w14:textId="77777777" w:rsidR="005261A3" w:rsidRDefault="00000000">
            <w:r>
              <w:rPr>
                <w:sz w:val="18"/>
                <w:szCs w:val="18"/>
              </w:rPr>
              <w:t>Last allocation decision (Dec 2024 for 2025)</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D36322" w14:textId="77777777" w:rsidR="005261A3" w:rsidRDefault="00000000">
            <w:r>
              <w:rPr>
                <w:sz w:val="18"/>
                <w:szCs w:val="18"/>
              </w:rPr>
              <w:t>Project, Section 2.2</w:t>
            </w:r>
          </w:p>
        </w:tc>
      </w:tr>
      <w:tr w:rsidR="005261A3" w14:paraId="6265D7A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49386E" w14:textId="77777777" w:rsidR="005261A3" w:rsidRDefault="00000000">
            <w:r>
              <w:rPr>
                <w:sz w:val="18"/>
                <w:szCs w:val="18"/>
              </w:rPr>
              <w:t>ESTIM_YEARS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06E146" w14:textId="77777777" w:rsidR="005261A3" w:rsidRDefault="00000000">
            <w:r>
              <w:rPr>
                <w:sz w:val="18"/>
                <w:szCs w:val="18"/>
              </w:rPr>
              <w:t>10</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FD2A72" w14:textId="77777777" w:rsidR="005261A3" w:rsidRDefault="00000000">
            <w:r>
              <w:rPr>
                <w:sz w:val="18"/>
                <w:szCs w:val="18"/>
              </w:rPr>
              <w:t>Rolling window = 120 monthly obs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524676" w14:textId="77777777" w:rsidR="005261A3" w:rsidRDefault="00000000">
            <w:r>
              <w:rPr>
                <w:sz w:val="18"/>
                <w:szCs w:val="18"/>
              </w:rPr>
              <w:t>Project, Section 2.1</w:t>
            </w:r>
          </w:p>
        </w:tc>
      </w:tr>
      <w:tr w:rsidR="005261A3" w14:paraId="53DA7D3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1044F7" w14:textId="77777777" w:rsidR="005261A3" w:rsidRDefault="00000000">
            <w:r>
              <w:rPr>
                <w:sz w:val="18"/>
                <w:szCs w:val="18"/>
              </w:rPr>
              <w:t>MIN_OBS</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32A341" w14:textId="77777777" w:rsidR="005261A3" w:rsidRDefault="00000000">
            <w:r>
              <w:rPr>
                <w:sz w:val="18"/>
                <w:szCs w:val="18"/>
              </w:rPr>
              <w:t>36</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ADC143" w14:textId="77777777" w:rsidR="005261A3" w:rsidRDefault="00000000">
            <w:r>
              <w:rPr>
                <w:sz w:val="18"/>
                <w:szCs w:val="18"/>
              </w:rPr>
              <w:t>Minimum 3 years of valid returns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DC2092" w14:textId="77777777" w:rsidR="005261A3" w:rsidRDefault="00000000">
            <w:r>
              <w:rPr>
                <w:sz w:val="18"/>
                <w:szCs w:val="18"/>
              </w:rPr>
              <w:t>Project, Section 2.1</w:t>
            </w:r>
          </w:p>
        </w:tc>
      </w:tr>
      <w:tr w:rsidR="005261A3" w14:paraId="4ED5A5E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01C042" w14:textId="77777777" w:rsidR="005261A3" w:rsidRDefault="00000000">
            <w:r>
              <w:rPr>
                <w:sz w:val="18"/>
                <w:szCs w:val="18"/>
              </w:rPr>
              <w:t>STALE_THR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395654" w14:textId="77777777" w:rsidR="005261A3" w:rsidRDefault="00000000">
            <w:r>
              <w:rPr>
                <w:sz w:val="18"/>
                <w:szCs w:val="18"/>
              </w:rPr>
              <w:t>0.30</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B1B0C1" w14:textId="77777777" w:rsidR="005261A3" w:rsidRDefault="00000000">
            <w:r>
              <w:rPr>
                <w:sz w:val="18"/>
                <w:szCs w:val="18"/>
              </w:rPr>
              <w:t>Max fraction of zero-return months (per teacher's instruction)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D6B474" w14:textId="77777777" w:rsidR="005261A3" w:rsidRDefault="00000000">
            <w:r>
              <w:rPr>
                <w:sz w:val="18"/>
                <w:szCs w:val="18"/>
              </w:rPr>
              <w:t>Project, Section 1</w:t>
            </w:r>
          </w:p>
        </w:tc>
      </w:tr>
      <w:tr w:rsidR="005261A3" w14:paraId="09C609F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A47A3" w14:textId="77777777" w:rsidR="005261A3" w:rsidRDefault="00000000">
            <w:r>
              <w:rPr>
                <w:sz w:val="18"/>
                <w:szCs w:val="18"/>
              </w:rPr>
              <w:t>LOW_FLOOR</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AB2550" w14:textId="77777777" w:rsidR="005261A3" w:rsidRDefault="00000000">
            <w:r>
              <w:rPr>
                <w:sz w:val="18"/>
                <w:szCs w:val="18"/>
              </w:rPr>
              <w:t>0.50</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33385" w14:textId="77777777" w:rsidR="005261A3" w:rsidRDefault="00000000">
            <w:r>
              <w:rPr>
                <w:sz w:val="18"/>
                <w:szCs w:val="18"/>
              </w:rPr>
              <w:t>RI values below this treated as NaN</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9C5DC5" w14:textId="77777777" w:rsidR="005261A3" w:rsidRDefault="00000000">
            <w:r>
              <w:rPr>
                <w:sz w:val="18"/>
                <w:szCs w:val="18"/>
              </w:rPr>
              <w:t>Project, Section 1</w:t>
            </w:r>
          </w:p>
        </w:tc>
      </w:tr>
      <w:tr w:rsidR="005261A3" w14:paraId="363FB86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79E3F7" w14:textId="77777777" w:rsidR="005261A3" w:rsidRDefault="00000000">
            <w:r>
              <w:rPr>
                <w:sz w:val="18"/>
                <w:szCs w:val="18"/>
              </w:rPr>
              <w:t>LW_SHRINK_FLOOR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2B2A6D" w14:textId="77777777" w:rsidR="005261A3" w:rsidRDefault="00000000">
            <w:r>
              <w:rPr>
                <w:sz w:val="18"/>
                <w:szCs w:val="18"/>
              </w:rPr>
              <w:t>0.01</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074F75" w14:textId="77777777" w:rsidR="005261A3" w:rsidRDefault="00000000">
            <w:r>
              <w:rPr>
                <w:sz w:val="18"/>
                <w:szCs w:val="18"/>
              </w:rPr>
              <w:t>Minimum shrinkage intensity for Ledoit-Wolf</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801202" w14:textId="77777777" w:rsidR="005261A3" w:rsidRDefault="00000000">
            <w:r>
              <w:rPr>
                <w:sz w:val="18"/>
                <w:szCs w:val="18"/>
              </w:rPr>
              <w:t>Ledoit &amp; Wolf (2004)</w:t>
            </w:r>
          </w:p>
        </w:tc>
      </w:tr>
    </w:tbl>
    <w:p w14:paraId="45934EC5" w14:textId="77777777" w:rsidR="005261A3" w:rsidRDefault="005261A3">
      <w:pPr>
        <w:spacing w:after="120"/>
      </w:pPr>
    </w:p>
    <w:p w14:paraId="3F41AA3E" w14:textId="77777777" w:rsidR="005261A3" w:rsidRDefault="00000000">
      <w:pPr>
        <w:pStyle w:val="Heading1"/>
      </w:pPr>
      <w:r>
        <w:t>2. Data Cleaning</w:t>
      </w:r>
    </w:p>
    <w:p w14:paraId="552CDBB9" w14:textId="77777777" w:rsidR="005261A3" w:rsidRDefault="00000000">
      <w:pPr>
        <w:pStyle w:val="Heading2"/>
      </w:pPr>
      <w:r>
        <w:t>2.1 Low Price Filter</w:t>
      </w:r>
    </w:p>
    <w:p w14:paraId="34F621D3" w14:textId="77777777" w:rsidR="005261A3" w:rsidRDefault="00000000">
      <w:pPr>
        <w:spacing w:before="60" w:after="60"/>
      </w:pPr>
      <w:r>
        <w:t>All Total Return Index (RI) values below 0.50 are set to NaN. This prevents extreme or infinite returns from near-zero prices caused by rounding artefacts in Datastream.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261A3" w14:paraId="3896687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17C586B" w14:textId="77777777" w:rsidR="005261A3" w:rsidRDefault="00000000">
            <w:r>
              <w:rPr>
                <w:b/>
                <w:bCs/>
                <w:sz w:val="20"/>
                <w:szCs w:val="20"/>
              </w:rPr>
              <w:t>Aspect</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A58E69F" w14:textId="77777777" w:rsidR="005261A3" w:rsidRDefault="00000000">
            <w:r>
              <w:rPr>
                <w:b/>
                <w:bCs/>
                <w:sz w:val="20"/>
                <w:szCs w:val="20"/>
              </w:rPr>
              <w:t>Advantage</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F94553A" w14:textId="77777777" w:rsidR="005261A3" w:rsidRDefault="00000000">
            <w:r>
              <w:rPr>
                <w:b/>
                <w:bCs/>
                <w:sz w:val="20"/>
                <w:szCs w:val="20"/>
              </w:rPr>
              <w:t>Disadvantage</w:t>
            </w:r>
          </w:p>
        </w:tc>
      </w:tr>
      <w:tr w:rsidR="005261A3" w14:paraId="714953D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26143" w14:textId="77777777" w:rsidR="005261A3" w:rsidRDefault="00000000">
            <w:r>
              <w:rPr>
                <w:sz w:val="18"/>
                <w:szCs w:val="18"/>
              </w:rPr>
              <w:t>Return stability</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CA44D9" w14:textId="77777777" w:rsidR="005261A3" w:rsidRDefault="00000000">
            <w:r>
              <w:rPr>
                <w:sz w:val="18"/>
                <w:szCs w:val="18"/>
              </w:rPr>
              <w:t>Eliminates division-by-small-number artefacts that produce spurious 1000%+ returns</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BFF5E6" w14:textId="77777777" w:rsidR="005261A3" w:rsidRDefault="00000000">
            <w:r>
              <w:rPr>
                <w:sz w:val="18"/>
                <w:szCs w:val="18"/>
              </w:rPr>
              <w:t>May exclude legitimate penny stocks from the universe</w:t>
            </w:r>
          </w:p>
        </w:tc>
      </w:tr>
      <w:tr w:rsidR="005261A3" w14:paraId="00AD9C1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215BE8" w14:textId="77777777" w:rsidR="005261A3" w:rsidRDefault="00000000">
            <w:r>
              <w:rPr>
                <w:sz w:val="18"/>
                <w:szCs w:val="18"/>
              </w:rPr>
              <w:t>Consistency</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CFAB2D" w14:textId="77777777" w:rsidR="005261A3" w:rsidRDefault="00000000">
            <w:r>
              <w:rPr>
                <w:sz w:val="18"/>
                <w:szCs w:val="18"/>
              </w:rPr>
              <w:t>Threshold is explicit and rule-based, avoiding ad hoc judgment per firm</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E6934C" w14:textId="77777777" w:rsidR="005261A3" w:rsidRDefault="00000000">
            <w:r>
              <w:rPr>
                <w:sz w:val="18"/>
                <w:szCs w:val="18"/>
              </w:rPr>
              <w:t>The 0.50 cutoff is arbitrary; a lower value (e.g., 0.10) would retain more firms</w:t>
            </w:r>
          </w:p>
        </w:tc>
      </w:tr>
    </w:tbl>
    <w:p w14:paraId="1F48AFF0" w14:textId="77777777" w:rsidR="005261A3" w:rsidRDefault="005261A3">
      <w:pPr>
        <w:spacing w:after="120"/>
      </w:pPr>
    </w:p>
    <w:p w14:paraId="42923E6A" w14:textId="77777777" w:rsidR="005261A3" w:rsidRDefault="00000000">
      <w:pPr>
        <w:spacing w:before="60" w:after="180"/>
      </w:pPr>
      <w:r>
        <w:rPr>
          <w:b/>
          <w:bCs/>
          <w:i/>
          <w:iCs/>
          <w:sz w:val="18"/>
          <w:szCs w:val="18"/>
        </w:rPr>
        <w:t xml:space="preserve">Source: </w:t>
      </w:r>
      <w:r>
        <w:rPr>
          <w:i/>
          <w:iCs/>
          <w:sz w:val="18"/>
          <w:szCs w:val="18"/>
        </w:rPr>
        <w:t>Project instructions, Section 1 ("I suggest treating all prices below 0.5 as missing values").</w:t>
      </w:r>
    </w:p>
    <w:p w14:paraId="7F713EA2" w14:textId="77777777" w:rsidR="005261A3" w:rsidRDefault="00000000">
      <w:pPr>
        <w:pStyle w:val="Heading2"/>
      </w:pPr>
      <w:r>
        <w:t>2.2 Forward-Fill Internal Missing Prices</w:t>
      </w:r>
    </w:p>
    <w:p w14:paraId="367CD85E" w14:textId="77777777" w:rsidR="005261A3" w:rsidRDefault="00000000">
      <w:pPr>
        <w:spacing w:before="60" w:after="60"/>
      </w:pPr>
      <w:r>
        <w:t>For each firm, missing RI values that fall between the first and last valid observation are forward-filled from the most recent available price. This avoids look-ahead bias since we never use future prices to impute past gaps. Leading NaN (firm not yet listed) and trailing NaN (firm delisted) are not filled.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261A3" w14:paraId="3AF5C1F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857060" w14:textId="77777777" w:rsidR="005261A3" w:rsidRDefault="00000000">
            <w:r>
              <w:rPr>
                <w:b/>
                <w:bCs/>
                <w:sz w:val="20"/>
                <w:szCs w:val="20"/>
              </w:rPr>
              <w:lastRenderedPageBreak/>
              <w:t>Aspect</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035181A" w14:textId="77777777" w:rsidR="005261A3" w:rsidRDefault="00000000">
            <w:r>
              <w:rPr>
                <w:b/>
                <w:bCs/>
                <w:sz w:val="20"/>
                <w:szCs w:val="20"/>
              </w:rPr>
              <w:t>Advantage</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FEA4F6C" w14:textId="77777777" w:rsidR="005261A3" w:rsidRDefault="00000000">
            <w:r>
              <w:rPr>
                <w:b/>
                <w:bCs/>
                <w:sz w:val="20"/>
                <w:szCs w:val="20"/>
              </w:rPr>
              <w:t>Disadvantage</w:t>
            </w:r>
          </w:p>
        </w:tc>
      </w:tr>
      <w:tr w:rsidR="005261A3" w14:paraId="012100D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200C5D" w14:textId="77777777" w:rsidR="005261A3" w:rsidRDefault="00000000">
            <w:r>
              <w:rPr>
                <w:sz w:val="18"/>
                <w:szCs w:val="18"/>
              </w:rPr>
              <w:t>Bias avoidance</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86EC27" w14:textId="77777777" w:rsidR="005261A3" w:rsidRDefault="00000000">
            <w:r>
              <w:rPr>
                <w:sz w:val="18"/>
                <w:szCs w:val="18"/>
              </w:rPr>
              <w:t>Forward-fill uses only past information, preventing look-ahead bias</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1E7FFD" w14:textId="77777777" w:rsidR="005261A3" w:rsidRDefault="00000000">
            <w:r>
              <w:rPr>
                <w:sz w:val="18"/>
                <w:szCs w:val="18"/>
              </w:rPr>
              <w:t>If a firm was suspended for months, this silently assumes zero return throughout the gap</w:t>
            </w:r>
          </w:p>
        </w:tc>
      </w:tr>
      <w:tr w:rsidR="005261A3" w14:paraId="0564821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29786A" w14:textId="77777777" w:rsidR="005261A3" w:rsidRDefault="00000000">
            <w:r>
              <w:rPr>
                <w:sz w:val="18"/>
                <w:szCs w:val="18"/>
              </w:rPr>
              <w:t>Data coverage</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FD6B93" w14:textId="77777777" w:rsidR="005261A3" w:rsidRDefault="00000000">
            <w:r>
              <w:rPr>
                <w:sz w:val="18"/>
                <w:szCs w:val="18"/>
              </w:rPr>
              <w:t>Maximises the number of usable return observations per firm</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14CF61" w14:textId="77777777" w:rsidR="005261A3" w:rsidRDefault="00000000">
            <w:r>
              <w:rPr>
                <w:sz w:val="18"/>
                <w:szCs w:val="18"/>
              </w:rPr>
              <w:t>Artificial zero-return stretches can deflate estimated variance, though this is mitigated by the stale price filter</w:t>
            </w:r>
          </w:p>
        </w:tc>
      </w:tr>
    </w:tbl>
    <w:p w14:paraId="7BDED177" w14:textId="77777777" w:rsidR="005261A3" w:rsidRDefault="005261A3">
      <w:pPr>
        <w:spacing w:after="120"/>
      </w:pPr>
    </w:p>
    <w:p w14:paraId="2E16B5C5" w14:textId="77777777" w:rsidR="005261A3" w:rsidRDefault="00000000">
      <w:pPr>
        <w:spacing w:before="60" w:after="180"/>
      </w:pPr>
      <w:r>
        <w:rPr>
          <w:b/>
          <w:bCs/>
          <w:i/>
          <w:iCs/>
          <w:sz w:val="18"/>
          <w:szCs w:val="18"/>
        </w:rPr>
        <w:t xml:space="preserve">Source: </w:t>
      </w:r>
      <w:r>
        <w:rPr>
          <w:i/>
          <w:iCs/>
          <w:sz w:val="18"/>
          <w:szCs w:val="18"/>
        </w:rPr>
        <w:t>Project instructions, Section 1 ("I suggest using the number from the previous year"); Lecture 5, slide 19.</w:t>
      </w:r>
    </w:p>
    <w:p w14:paraId="38482401" w14:textId="77777777" w:rsidR="005261A3" w:rsidRDefault="00000000">
      <w:pPr>
        <w:pStyle w:val="Heading2"/>
      </w:pPr>
      <w:r>
        <w:t>2.3 Delisting Detection and -100% Returns</w:t>
      </w:r>
    </w:p>
    <w:p w14:paraId="429A013F" w14:textId="77777777" w:rsidR="005261A3" w:rsidRDefault="00000000">
      <w:pPr>
        <w:spacing w:before="60" w:after="60"/>
      </w:pPr>
      <w:r>
        <w:t>Firms whose last valid RI falls before the end of the sample are flagged as potential delistings. At the first month after the last valid price, a -100% return is applied. All subsequent returns are set to NaN, effectively removing the firm from the portfolio.</w:t>
      </w:r>
    </w:p>
    <w:p w14:paraId="292EA149" w14:textId="77777777" w:rsidR="005261A3" w:rsidRDefault="00000000">
      <w:pPr>
        <w:spacing w:before="60" w:after="60"/>
      </w:pPr>
      <w:r>
        <w:t>Additionally, delistings are detected during the out-of-sample (OOS) year via the fill_oos_returns() function. For each eligible firm in the OOS period, if the return is missing but the previous month had a valid RI price, this is treated as a mid-year delisting with a -100% return. If the previous month also had no valid price (leading NaN), the return defaults to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261A3" w14:paraId="0F2199B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EE275C" w14:textId="77777777" w:rsidR="005261A3" w:rsidRDefault="00000000">
            <w:r>
              <w:rPr>
                <w:b/>
                <w:bCs/>
                <w:sz w:val="20"/>
                <w:szCs w:val="20"/>
              </w:rPr>
              <w:t>Aspect</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68FD51" w14:textId="77777777" w:rsidR="005261A3" w:rsidRDefault="00000000">
            <w:r>
              <w:rPr>
                <w:b/>
                <w:bCs/>
                <w:sz w:val="20"/>
                <w:szCs w:val="20"/>
              </w:rPr>
              <w:t>Advantage</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CAE0DE" w14:textId="77777777" w:rsidR="005261A3" w:rsidRDefault="00000000">
            <w:r>
              <w:rPr>
                <w:b/>
                <w:bCs/>
                <w:sz w:val="20"/>
                <w:szCs w:val="20"/>
              </w:rPr>
              <w:t>Disadvantage</w:t>
            </w:r>
          </w:p>
        </w:tc>
      </w:tr>
      <w:tr w:rsidR="005261A3" w14:paraId="275AE11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11C44A" w14:textId="77777777" w:rsidR="005261A3" w:rsidRDefault="00000000">
            <w:r>
              <w:rPr>
                <w:sz w:val="18"/>
                <w:szCs w:val="18"/>
              </w:rPr>
              <w:t>Survivorship bias</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40C13" w14:textId="77777777" w:rsidR="005261A3" w:rsidRDefault="00000000">
            <w:r>
              <w:rPr>
                <w:sz w:val="18"/>
                <w:szCs w:val="18"/>
              </w:rPr>
              <w:t>Captures full delisting loss instead of silently dropping the firm, correcting upward bias in returns</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6FE96D" w14:textId="77777777" w:rsidR="005261A3" w:rsidRDefault="00000000">
            <w:r>
              <w:rPr>
                <w:sz w:val="18"/>
                <w:szCs w:val="18"/>
              </w:rPr>
              <w:t>May misclassify temporary data gaps as delistings (e.g., a reporting delay)</w:t>
            </w:r>
          </w:p>
        </w:tc>
      </w:tr>
      <w:tr w:rsidR="005261A3" w14:paraId="7322FB7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7A6880" w14:textId="77777777" w:rsidR="005261A3" w:rsidRDefault="00000000">
            <w:r>
              <w:rPr>
                <w:sz w:val="18"/>
                <w:szCs w:val="18"/>
              </w:rPr>
              <w:t>OOS coverage</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07F055" w14:textId="77777777" w:rsidR="005261A3" w:rsidRDefault="00000000">
            <w:r>
              <w:rPr>
                <w:sz w:val="18"/>
                <w:szCs w:val="18"/>
              </w:rPr>
              <w:t>Extends delisting detection into the out-of-sample year, not just the estimation window</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9BD40F" w14:textId="77777777" w:rsidR="005261A3" w:rsidRDefault="00000000">
            <w:r>
              <w:rPr>
                <w:sz w:val="18"/>
                <w:szCs w:val="18"/>
              </w:rPr>
              <w:t>Conservative: any disappearing price triggers -100%, even if the firm merges at a premium</w:t>
            </w:r>
          </w:p>
        </w:tc>
      </w:tr>
    </w:tbl>
    <w:p w14:paraId="20170BE2" w14:textId="77777777" w:rsidR="005261A3" w:rsidRDefault="005261A3">
      <w:pPr>
        <w:spacing w:after="120"/>
      </w:pPr>
    </w:p>
    <w:p w14:paraId="2F2FA15D" w14:textId="77777777" w:rsidR="005261A3" w:rsidRDefault="00000000">
      <w:pPr>
        <w:spacing w:before="60" w:after="180"/>
      </w:pPr>
      <w:r>
        <w:rPr>
          <w:b/>
          <w:bCs/>
          <w:i/>
          <w:iCs/>
          <w:sz w:val="18"/>
          <w:szCs w:val="18"/>
        </w:rPr>
        <w:t xml:space="preserve">Source: </w:t>
      </w:r>
      <w:r>
        <w:rPr>
          <w:i/>
          <w:iCs/>
          <w:sz w:val="18"/>
          <w:szCs w:val="18"/>
        </w:rPr>
        <w:t>Project instructions, Section 1 ("you should acknowledge that the price goes to 0 at the time of delisting, implying a realised return of -100%"); Shumway, T. (1997), "The Delisting Bias in CRSP Data", Journal of Finance, 52(1), 327-340.</w:t>
      </w:r>
    </w:p>
    <w:p w14:paraId="514E3278" w14:textId="77777777" w:rsidR="005261A3" w:rsidRDefault="00000000">
      <w:pPr>
        <w:pStyle w:val="Heading2"/>
      </w:pPr>
      <w:r>
        <w:t>2.4 Stale Price Filter</w:t>
      </w:r>
    </w:p>
    <w:p w14:paraId="3FF2FC96" w14:textId="77777777" w:rsidR="005261A3" w:rsidRDefault="00000000">
      <w:pPr>
        <w:spacing w:before="60" w:after="60"/>
      </w:pPr>
      <w:r>
        <w:t>For each firm, the fraction of months with zero return (|R| &lt; 1e-10) over the 10-year estimation window is computed. As per the teacher's instructions, firms exceeding 30% zero-return months are excluded from the investment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261A3" w14:paraId="2BFC894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D0DBE9" w14:textId="77777777" w:rsidR="005261A3" w:rsidRDefault="00000000">
            <w:r>
              <w:rPr>
                <w:b/>
                <w:bCs/>
                <w:sz w:val="20"/>
                <w:szCs w:val="20"/>
              </w:rPr>
              <w:t>Aspect</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291562E" w14:textId="77777777" w:rsidR="005261A3" w:rsidRDefault="00000000">
            <w:r>
              <w:rPr>
                <w:b/>
                <w:bCs/>
                <w:sz w:val="20"/>
                <w:szCs w:val="20"/>
              </w:rPr>
              <w:t>Advantage</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A40911" w14:textId="77777777" w:rsidR="005261A3" w:rsidRDefault="00000000">
            <w:r>
              <w:rPr>
                <w:b/>
                <w:bCs/>
                <w:sz w:val="20"/>
                <w:szCs w:val="20"/>
              </w:rPr>
              <w:t>Disadvantage</w:t>
            </w:r>
          </w:p>
        </w:tc>
      </w:tr>
      <w:tr w:rsidR="005261A3" w14:paraId="4E2FF4E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2C0453" w14:textId="77777777" w:rsidR="005261A3" w:rsidRDefault="00000000">
            <w:r>
              <w:rPr>
                <w:sz w:val="18"/>
                <w:szCs w:val="18"/>
              </w:rPr>
              <w:t>Illiquidity protection</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AEA437" w14:textId="77777777" w:rsidR="005261A3" w:rsidRDefault="00000000">
            <w:r>
              <w:rPr>
                <w:sz w:val="18"/>
                <w:szCs w:val="18"/>
              </w:rPr>
              <w:t>More aggressive filtering (30% vs 50%) prevents the optimizer from loading on illiquid stocks with artificially low variance</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DEB76E" w14:textId="77777777" w:rsidR="005261A3" w:rsidRDefault="00000000">
            <w:r>
              <w:rPr>
                <w:sz w:val="18"/>
                <w:szCs w:val="18"/>
              </w:rPr>
              <w:t>Smaller investment universe, which may reduce diversification</w:t>
            </w:r>
          </w:p>
        </w:tc>
      </w:tr>
      <w:tr w:rsidR="005261A3" w14:paraId="68A2113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D39BE3" w14:textId="77777777" w:rsidR="005261A3" w:rsidRDefault="00000000">
            <w:r>
              <w:rPr>
                <w:sz w:val="18"/>
                <w:szCs w:val="18"/>
              </w:rPr>
              <w:t>Robustness</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101600" w14:textId="77777777" w:rsidR="005261A3" w:rsidRDefault="00000000">
            <w:r>
              <w:rPr>
                <w:sz w:val="18"/>
                <w:szCs w:val="18"/>
              </w:rPr>
              <w:t>The threshold is computed on past data only (no look-ahead bias)</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28E33B" w14:textId="77777777" w:rsidR="005261A3" w:rsidRDefault="00000000">
            <w:r>
              <w:rPr>
                <w:sz w:val="18"/>
                <w:szCs w:val="18"/>
              </w:rPr>
              <w:t>Sensitivity to the exact cutoff: 30% vs 50% could meaningfully change the eligible set</w:t>
            </w:r>
          </w:p>
        </w:tc>
      </w:tr>
    </w:tbl>
    <w:p w14:paraId="2C7A7EEF" w14:textId="77777777" w:rsidR="005261A3" w:rsidRDefault="005261A3">
      <w:pPr>
        <w:spacing w:after="120"/>
      </w:pPr>
    </w:p>
    <w:p w14:paraId="72647382" w14:textId="77777777" w:rsidR="005261A3" w:rsidRDefault="00000000">
      <w:pPr>
        <w:spacing w:before="60" w:after="180"/>
      </w:pPr>
      <w:r>
        <w:rPr>
          <w:b/>
          <w:bCs/>
          <w:i/>
          <w:iCs/>
          <w:sz w:val="18"/>
          <w:szCs w:val="18"/>
        </w:rPr>
        <w:t xml:space="preserve">Source: </w:t>
      </w:r>
      <w:r>
        <w:rPr>
          <w:i/>
          <w:iCs/>
          <w:sz w:val="18"/>
          <w:szCs w:val="18"/>
        </w:rPr>
        <w:t>Lesmond, D., Ogden, J. &amp; Trzcinka, C. (1999), "A New Estimate of Transaction Costs", Review of Financial Studies, 12(5), 1113-1141.</w:t>
      </w:r>
    </w:p>
    <w:p w14:paraId="12B03685" w14:textId="77777777" w:rsidR="005261A3" w:rsidRDefault="00000000">
      <w:pPr>
        <w:pStyle w:val="Heading2"/>
      </w:pPr>
      <w:r>
        <w:t>2.5 Carbon and Revenue Data: Forward-Fill</w:t>
      </w:r>
    </w:p>
    <w:p w14:paraId="0D283C33" w14:textId="77777777" w:rsidR="005261A3" w:rsidRDefault="00000000">
      <w:pPr>
        <w:spacing w:before="60" w:after="60"/>
      </w:pPr>
      <w:r>
        <w:lastRenderedPageBreak/>
        <w:t>Annual CO2 emissions (Scope 1 and 2) and revenues are forward-filled along the time axis. This means if a year's value is missing but prior years are available, the most recent value is carried forward. Leading NaN are not filled: firms without initial carbon data remain excluded until data becomes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261A3" w14:paraId="3892AEB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9A26A0" w14:textId="77777777" w:rsidR="005261A3" w:rsidRDefault="00000000">
            <w:r>
              <w:rPr>
                <w:b/>
                <w:bCs/>
                <w:sz w:val="20"/>
                <w:szCs w:val="20"/>
              </w:rPr>
              <w:t>Aspect</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3C8A782" w14:textId="77777777" w:rsidR="005261A3" w:rsidRDefault="00000000">
            <w:r>
              <w:rPr>
                <w:b/>
                <w:bCs/>
                <w:sz w:val="20"/>
                <w:szCs w:val="20"/>
              </w:rPr>
              <w:t>Advantage</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3CF08D6" w14:textId="77777777" w:rsidR="005261A3" w:rsidRDefault="00000000">
            <w:r>
              <w:rPr>
                <w:b/>
                <w:bCs/>
                <w:sz w:val="20"/>
                <w:szCs w:val="20"/>
              </w:rPr>
              <w:t>Disadvantage</w:t>
            </w:r>
          </w:p>
        </w:tc>
      </w:tr>
      <w:tr w:rsidR="005261A3" w14:paraId="5B58F4B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458C6D" w14:textId="77777777" w:rsidR="005261A3" w:rsidRDefault="00000000">
            <w:r>
              <w:rPr>
                <w:sz w:val="18"/>
                <w:szCs w:val="18"/>
              </w:rPr>
              <w:t>Data availability</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292BA7" w14:textId="77777777" w:rsidR="005261A3" w:rsidRDefault="00000000">
            <w:r>
              <w:rPr>
                <w:sz w:val="18"/>
                <w:szCs w:val="18"/>
              </w:rPr>
              <w:t>Maximises the set of firms with carbon data, especially in earlier years when coverage is sparse</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7CA1D3" w14:textId="77777777" w:rsidR="005261A3" w:rsidRDefault="00000000">
            <w:r>
              <w:rPr>
                <w:sz w:val="18"/>
                <w:szCs w:val="18"/>
              </w:rPr>
              <w:t>Stale carbon data may not reflect actual emissions trends (e.g., a firm that doubled emissions)</w:t>
            </w:r>
          </w:p>
        </w:tc>
      </w:tr>
      <w:tr w:rsidR="005261A3" w14:paraId="7B34E2B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B1F5BC" w14:textId="77777777" w:rsidR="005261A3" w:rsidRDefault="00000000">
            <w:r>
              <w:rPr>
                <w:sz w:val="18"/>
                <w:szCs w:val="18"/>
              </w:rPr>
              <w:t>Revenue staleness</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2D2FE6" w14:textId="77777777" w:rsidR="005261A3" w:rsidRDefault="00000000">
            <w:r>
              <w:rPr>
                <w:sz w:val="18"/>
                <w:szCs w:val="18"/>
              </w:rPr>
              <w:t>Revenue can be volatile year-to-year; carrying a stale number for 2+ years distorts carbon intensity</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93551C" w14:textId="77777777" w:rsidR="005261A3" w:rsidRDefault="00000000">
            <w:r>
              <w:rPr>
                <w:sz w:val="18"/>
                <w:szCs w:val="18"/>
              </w:rPr>
              <w:t>No practical alternative without look-ahead bias</w:t>
            </w:r>
          </w:p>
        </w:tc>
      </w:tr>
    </w:tbl>
    <w:p w14:paraId="36EB8F7B" w14:textId="77777777" w:rsidR="005261A3" w:rsidRDefault="005261A3">
      <w:pPr>
        <w:spacing w:after="120"/>
      </w:pPr>
    </w:p>
    <w:p w14:paraId="05EC304A" w14:textId="77777777" w:rsidR="005261A3" w:rsidRDefault="00000000">
      <w:pPr>
        <w:spacing w:before="60" w:after="180"/>
      </w:pPr>
      <w:r>
        <w:rPr>
          <w:b/>
          <w:bCs/>
          <w:i/>
          <w:iCs/>
          <w:sz w:val="18"/>
          <w:szCs w:val="18"/>
        </w:rPr>
        <w:t xml:space="preserve">Source: </w:t>
      </w:r>
      <w:r>
        <w:rPr>
          <w:i/>
          <w:iCs/>
          <w:sz w:val="18"/>
          <w:szCs w:val="18"/>
        </w:rPr>
        <w:t>Project instructions, Section 1 ("When the missing value is between two available years or at the end of the sample, just use the number from the previous year").</w:t>
      </w:r>
    </w:p>
    <w:p w14:paraId="510528C0" w14:textId="77777777" w:rsidR="005261A3" w:rsidRDefault="00000000">
      <w:pPr>
        <w:pStyle w:val="Heading1"/>
      </w:pPr>
      <w:r>
        <w:t>3. Investment Set Construction</w:t>
      </w:r>
    </w:p>
    <w:p w14:paraId="4DF92B7C" w14:textId="77777777" w:rsidR="005261A3" w:rsidRDefault="00000000">
      <w:pPr>
        <w:spacing w:before="60" w:after="60"/>
      </w:pPr>
      <w:r>
        <w:t>At the end of each year Y, the investment set for year Y+1 is determined by applying four sequential filters to all EUR firms in the static file. All filters use information available up to and including December of year Y, ensuring no look-ahead bias.</w:t>
      </w:r>
    </w:p>
    <w:p w14:paraId="6B0616CD" w14:textId="77777777" w:rsidR="005261A3" w:rsidRDefault="00000000">
      <w:pPr>
        <w:pStyle w:val="Heading2"/>
      </w:pPr>
      <w:r>
        <w:t>3.1 Filter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261A3" w14:paraId="46BA010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3A59FBF" w14:textId="77777777" w:rsidR="005261A3" w:rsidRDefault="00000000">
            <w:r>
              <w:rPr>
                <w:b/>
                <w:bCs/>
                <w:sz w:val="20"/>
                <w:szCs w:val="20"/>
              </w:rPr>
              <w:t>Filter</w:t>
            </w:r>
          </w:p>
        </w:tc>
        <w:tc>
          <w:tcPr>
            <w:tcW w:w="69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3EE442B" w14:textId="77777777" w:rsidR="005261A3" w:rsidRDefault="00000000">
            <w:r>
              <w:rPr>
                <w:b/>
                <w:bCs/>
                <w:sz w:val="20"/>
                <w:szCs w:val="20"/>
              </w:rPr>
              <w:t>Description</w:t>
            </w:r>
          </w:p>
        </w:tc>
      </w:tr>
      <w:tr w:rsidR="005261A3" w14:paraId="62E7FD2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C680D2" w14:textId="77777777" w:rsidR="005261A3" w:rsidRDefault="00000000">
            <w:r>
              <w:rPr>
                <w:sz w:val="18"/>
                <w:szCs w:val="18"/>
              </w:rPr>
              <w:t>Region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48EE3A" w14:textId="77777777" w:rsidR="005261A3" w:rsidRDefault="00000000">
            <w:r>
              <w:rPr>
                <w:sz w:val="18"/>
                <w:szCs w:val="18"/>
              </w:rPr>
              <w:t>Firm belongs to EUR region (per Static_2025.xlsx assignment)</w:t>
            </w:r>
          </w:p>
        </w:tc>
      </w:tr>
      <w:tr w:rsidR="005261A3" w14:paraId="0C8E9E1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E802C8" w14:textId="77777777" w:rsidR="005261A3" w:rsidRDefault="00000000">
            <w:r>
              <w:rPr>
                <w:sz w:val="18"/>
                <w:szCs w:val="18"/>
              </w:rPr>
              <w:t>Valid price at Dec Y</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BF9A47" w14:textId="77777777" w:rsidR="005261A3" w:rsidRDefault="00000000">
            <w:r>
              <w:rPr>
                <w:sz w:val="18"/>
                <w:szCs w:val="18"/>
              </w:rPr>
              <w:t>RI at end of year Y is non-NaN (after low-price and forward-fill cleaning)</w:t>
            </w:r>
          </w:p>
        </w:tc>
      </w:tr>
      <w:tr w:rsidR="005261A3" w14:paraId="61CAA15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539B6A" w14:textId="77777777" w:rsidR="005261A3" w:rsidRDefault="00000000">
            <w:r>
              <w:rPr>
                <w:sz w:val="18"/>
                <w:szCs w:val="18"/>
              </w:rPr>
              <w:t>Sufficient returns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7E2126" w14:textId="77777777" w:rsidR="005261A3" w:rsidRDefault="00000000">
            <w:r>
              <w:rPr>
                <w:sz w:val="18"/>
                <w:szCs w:val="18"/>
              </w:rPr>
              <w:t>At least 36 valid monthly return observations in the 120-month estimation window ending Dec Y</w:t>
            </w:r>
          </w:p>
        </w:tc>
      </w:tr>
      <w:tr w:rsidR="005261A3" w14:paraId="164131B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9D88F0" w14:textId="77777777" w:rsidR="005261A3" w:rsidRDefault="00000000">
            <w:r>
              <w:rPr>
                <w:sz w:val="18"/>
                <w:szCs w:val="18"/>
              </w:rPr>
              <w:t>Stale price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9B2757" w14:textId="77777777" w:rsidR="005261A3" w:rsidRDefault="00000000">
            <w:r>
              <w:rPr>
                <w:sz w:val="18"/>
                <w:szCs w:val="18"/>
              </w:rPr>
              <w:t>Fraction of zero-return months in estimation window does not exceed 30%</w:t>
            </w:r>
          </w:p>
        </w:tc>
      </w:tr>
      <w:tr w:rsidR="005261A3" w14:paraId="46A5F71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1DE052" w14:textId="77777777" w:rsidR="005261A3" w:rsidRDefault="00000000">
            <w:r>
              <w:rPr>
                <w:sz w:val="18"/>
                <w:szCs w:val="18"/>
              </w:rPr>
              <w:t>Carbon data</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33A0A0" w14:textId="77777777" w:rsidR="005261A3" w:rsidRDefault="00000000">
            <w:r>
              <w:rPr>
                <w:sz w:val="18"/>
                <w:szCs w:val="18"/>
              </w:rPr>
              <w:t>Both Scope 1 and Scope 2 CO2 emissions available at end of year Y (after forward-fill)</w:t>
            </w:r>
          </w:p>
        </w:tc>
      </w:tr>
    </w:tbl>
    <w:p w14:paraId="6805D6F8" w14:textId="77777777" w:rsidR="005261A3" w:rsidRDefault="005261A3">
      <w:pPr>
        <w:spacing w:after="120"/>
      </w:pPr>
    </w:p>
    <w:p w14:paraId="4314D437" w14:textId="77777777" w:rsidR="005261A3" w:rsidRDefault="00000000">
      <w:pPr>
        <w:pStyle w:val="Heading2"/>
      </w:pPr>
      <w:r>
        <w:t>3.2 Carbon Data Requirement</w:t>
      </w:r>
    </w:p>
    <w:p w14:paraId="111E1FF2" w14:textId="77777777" w:rsidR="005261A3" w:rsidRDefault="00000000">
      <w:pPr>
        <w:spacing w:before="60" w:after="60"/>
      </w:pPr>
      <w:r>
        <w:t>The project instructs that the same investment set be used for both Part I (standard allocation) and Part II (carbon-constrained allocation). Therefore, even in Part I, firms without available carbon data at the end of year Y are excluded. This ensures portfolio comparability across parts.</w:t>
      </w:r>
    </w:p>
    <w:p w14:paraId="4BBC31D9" w14:textId="77777777" w:rsidR="005261A3" w:rsidRDefault="00000000">
      <w:pPr>
        <w:spacing w:before="60" w:after="180"/>
      </w:pPr>
      <w:r>
        <w:rPr>
          <w:b/>
          <w:bCs/>
          <w:i/>
          <w:iCs/>
          <w:sz w:val="18"/>
          <w:szCs w:val="18"/>
        </w:rPr>
        <w:t xml:space="preserve">Source: </w:t>
      </w:r>
      <w:r>
        <w:rPr>
          <w:i/>
          <w:iCs/>
          <w:sz w:val="18"/>
          <w:szCs w:val="18"/>
        </w:rPr>
        <w:t>Project instructions, Section 2.1 ("because we want to use the same investment set for both parts of the project, exclude firms without carbon data available at the end of year Y").</w:t>
      </w:r>
    </w:p>
    <w:p w14:paraId="0DD12EBF" w14:textId="77777777" w:rsidR="005261A3" w:rsidRDefault="00000000">
      <w:pPr>
        <w:pStyle w:val="Heading1"/>
      </w:pPr>
      <w:r>
        <w:t>4. Return and Covariance Estimation</w:t>
      </w:r>
    </w:p>
    <w:p w14:paraId="2CFB11DB" w14:textId="77777777" w:rsidR="005261A3" w:rsidRDefault="00000000">
      <w:pPr>
        <w:pStyle w:val="Heading2"/>
      </w:pPr>
      <w:r>
        <w:t>4.1 Expected Returns</w:t>
      </w:r>
    </w:p>
    <w:p w14:paraId="36E8C870" w14:textId="77777777" w:rsidR="005261A3" w:rsidRDefault="00000000">
      <w:pPr>
        <w:spacing w:before="60" w:after="60"/>
      </w:pPr>
      <w:r>
        <w:lastRenderedPageBreak/>
        <w:t>Expected returns are estimated as the per-firm sample mean of monthly simple returns over the 10-year rolling window ending at December of year Y. Each firm's mean is computed only over its available (non-NaN) observations. This is the ML estimator consistent with the project formula.</w:t>
      </w:r>
    </w:p>
    <w:p w14:paraId="1B5E4E47" w14:textId="77777777" w:rsidR="005261A3" w:rsidRDefault="00000000">
      <w:pPr>
        <w:spacing w:before="60" w:after="180"/>
      </w:pPr>
      <w:r>
        <w:rPr>
          <w:b/>
          <w:bCs/>
          <w:i/>
          <w:iCs/>
          <w:sz w:val="18"/>
          <w:szCs w:val="18"/>
        </w:rPr>
        <w:t xml:space="preserve">Source: </w:t>
      </w:r>
      <w:r>
        <w:rPr>
          <w:i/>
          <w:iCs/>
          <w:sz w:val="18"/>
          <w:szCs w:val="18"/>
        </w:rPr>
        <w:t>Project instructions, Section 2.1; Lecture 5, slides 19 and 33.</w:t>
      </w:r>
    </w:p>
    <w:p w14:paraId="0BEDA841" w14:textId="77777777" w:rsidR="005261A3" w:rsidRDefault="00000000">
      <w:pPr>
        <w:pStyle w:val="Heading2"/>
      </w:pPr>
      <w:r>
        <w:t>4.2 Pairwise-Complete Covariance Matrix (Step 1)</w:t>
      </w:r>
    </w:p>
    <w:p w14:paraId="375C6A67" w14:textId="77777777" w:rsidR="005261A3" w:rsidRDefault="00000000">
      <w:pPr>
        <w:spacing w:before="60" w:after="60"/>
      </w:pPr>
      <w:r>
        <w:t>The covariance matrix is constructed in two stages. The first stage follows the lecture method using pairwise complete observations. For each pair of firms (i, j), the correlation is computed over the months where both firms have valid returns. Each firm's variance is computed over its own full available sample. The covariance is then reconstructed as Cov(i,j) = Corr(i,j) * sqrt(Var(i) * Var(j)).</w:t>
      </w:r>
    </w:p>
    <w:p w14:paraId="6F6AD25F" w14:textId="77777777" w:rsidR="005261A3" w:rsidRDefault="00000000">
      <w:pPr>
        <w:spacing w:before="60" w:after="60"/>
      </w:pPr>
      <w:r>
        <w:t>This approach uses the ML estimator (dividing by n, not n-1), consistent with the project formula. Variances are computed over each firm's entire available sample, while correlations use the common sub-sample. This maximises data 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261A3" w14:paraId="2B85036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015885C" w14:textId="77777777" w:rsidR="005261A3" w:rsidRDefault="00000000">
            <w:r>
              <w:rPr>
                <w:b/>
                <w:bCs/>
                <w:sz w:val="20"/>
                <w:szCs w:val="20"/>
              </w:rPr>
              <w:t>Aspect</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51D2963" w14:textId="77777777" w:rsidR="005261A3" w:rsidRDefault="00000000">
            <w:r>
              <w:rPr>
                <w:b/>
                <w:bCs/>
                <w:sz w:val="20"/>
                <w:szCs w:val="20"/>
              </w:rPr>
              <w:t>Advantage</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C96719" w14:textId="77777777" w:rsidR="005261A3" w:rsidRDefault="00000000">
            <w:r>
              <w:rPr>
                <w:b/>
                <w:bCs/>
                <w:sz w:val="20"/>
                <w:szCs w:val="20"/>
              </w:rPr>
              <w:t>Disadvantage</w:t>
            </w:r>
          </w:p>
        </w:tc>
      </w:tr>
      <w:tr w:rsidR="005261A3" w14:paraId="119A92C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E02750" w14:textId="77777777" w:rsidR="005261A3" w:rsidRDefault="00000000">
            <w:r>
              <w:rPr>
                <w:sz w:val="18"/>
                <w:szCs w:val="18"/>
              </w:rPr>
              <w:t>Data efficiency</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50F7F0" w14:textId="77777777" w:rsidR="005261A3" w:rsidRDefault="00000000">
            <w:r>
              <w:rPr>
                <w:sz w:val="18"/>
                <w:szCs w:val="18"/>
              </w:rPr>
              <w:t>Uses all available observations per firm for variance, maximising estimation accuracy</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447DCA" w14:textId="77777777" w:rsidR="005261A3" w:rsidRDefault="00000000">
            <w:r>
              <w:rPr>
                <w:sz w:val="18"/>
                <w:szCs w:val="18"/>
              </w:rPr>
              <w:t>The resulting matrix is NOT guaranteed to be positive semi-definite (PSD)</w:t>
            </w:r>
          </w:p>
        </w:tc>
      </w:tr>
      <w:tr w:rsidR="005261A3" w14:paraId="4E88D30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FE1224" w14:textId="77777777" w:rsidR="005261A3" w:rsidRDefault="00000000">
            <w:r>
              <w:rPr>
                <w:sz w:val="18"/>
                <w:szCs w:val="18"/>
              </w:rPr>
              <w:t>Pairwise correlation</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0AE936" w14:textId="77777777" w:rsidR="005261A3" w:rsidRDefault="00000000">
            <w:r>
              <w:rPr>
                <w:sz w:val="18"/>
                <w:szCs w:val="18"/>
              </w:rPr>
              <w:t>Does not require all firms to have identical observation periods</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A19974" w14:textId="77777777" w:rsidR="005261A3" w:rsidRDefault="00000000">
            <w:r>
              <w:rPr>
                <w:sz w:val="18"/>
                <w:szCs w:val="18"/>
              </w:rPr>
              <w:t>Pairs with very few common observations produce noisy correlation estimates</w:t>
            </w:r>
          </w:p>
        </w:tc>
      </w:tr>
      <w:tr w:rsidR="005261A3" w14:paraId="21F29FA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139B5C" w14:textId="77777777" w:rsidR="005261A3" w:rsidRDefault="00000000">
            <w:r>
              <w:rPr>
                <w:sz w:val="18"/>
                <w:szCs w:val="18"/>
              </w:rPr>
              <w:t>ML estimator</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3C1BFE" w14:textId="77777777" w:rsidR="005261A3" w:rsidRDefault="00000000">
            <w:r>
              <w:rPr>
                <w:sz w:val="18"/>
                <w:szCs w:val="18"/>
              </w:rPr>
              <w:t>Consistent with the project formula (1/T divisor)</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0ADDFB" w14:textId="77777777" w:rsidR="005261A3" w:rsidRDefault="00000000">
            <w:r>
              <w:rPr>
                <w:sz w:val="18"/>
                <w:szCs w:val="18"/>
              </w:rPr>
              <w:t>Slightly biased downward in finite samples vs unbiased estimator (1/(T-1))</w:t>
            </w:r>
          </w:p>
        </w:tc>
      </w:tr>
    </w:tbl>
    <w:p w14:paraId="73E3AFB8" w14:textId="77777777" w:rsidR="005261A3" w:rsidRDefault="005261A3">
      <w:pPr>
        <w:spacing w:after="120"/>
      </w:pPr>
    </w:p>
    <w:p w14:paraId="00D90ED3" w14:textId="77777777" w:rsidR="005261A3" w:rsidRDefault="00000000">
      <w:pPr>
        <w:spacing w:before="60" w:after="180"/>
      </w:pPr>
      <w:r>
        <w:rPr>
          <w:b/>
          <w:bCs/>
          <w:i/>
          <w:iCs/>
          <w:sz w:val="18"/>
          <w:szCs w:val="18"/>
        </w:rPr>
        <w:t xml:space="preserve">Source: </w:t>
      </w:r>
      <w:r>
        <w:rPr>
          <w:i/>
          <w:iCs/>
          <w:sz w:val="18"/>
          <w:szCs w:val="18"/>
        </w:rPr>
        <w:t>Lecture 5, slides 20-21; Stambaugh, R.F. (1997), "Analyzing Investments Whose Histories Differ in Length", Journal of Financial Economics, 45(3), 285-331.</w:t>
      </w:r>
    </w:p>
    <w:p w14:paraId="221A5433" w14:textId="77777777" w:rsidR="005261A3" w:rsidRDefault="00000000">
      <w:pPr>
        <w:pStyle w:val="Heading2"/>
      </w:pPr>
      <w:r>
        <w:t>4.3 Ledoit-Wolf-Style Shrinkage with OAS Intensity (Step 2)</w:t>
      </w:r>
    </w:p>
    <w:p w14:paraId="671CEE0F" w14:textId="77777777" w:rsidR="005261A3" w:rsidRDefault="00000000">
      <w:pPr>
        <w:spacing w:before="60" w:after="60"/>
      </w:pPr>
      <w:r>
        <w:t>The pairwise-complete covariance matrix from Step 1 suffers from two problems: (a) it may not be PSD, making the optimization problem non-convex, and (b) it contains estimation error that the optimizer amplifies by overweighting assets with underestimated variance/covariance.</w:t>
      </w:r>
    </w:p>
    <w:p w14:paraId="5BE5B05E" w14:textId="77777777" w:rsidR="005261A3" w:rsidRDefault="00000000">
      <w:pPr>
        <w:spacing w:before="60" w:after="60"/>
      </w:pPr>
      <w:r>
        <w:t>To address both problems, we apply Ledoit-Wolf-style shrinkage. The shrinkage estimator blends the sample covariance S with a structured target F:</w:t>
      </w:r>
    </w:p>
    <w:p w14:paraId="15ABF27F" w14:textId="77777777" w:rsidR="005261A3" w:rsidRDefault="00000000">
      <w:pPr>
        <w:spacing w:before="80" w:after="80"/>
        <w:jc w:val="center"/>
      </w:pPr>
      <w:r>
        <w:rPr>
          <w:i/>
          <w:iCs/>
        </w:rPr>
        <w:t>Sigma_shrunk = delta * F + (1 - delta) * S</w:t>
      </w:r>
    </w:p>
    <w:p w14:paraId="0082BEA5" w14:textId="77777777" w:rsidR="005261A3" w:rsidRDefault="00000000">
      <w:pPr>
        <w:spacing w:before="60" w:after="60"/>
      </w:pPr>
      <w:r>
        <w:t>where F is the constant-correlation target matrix (each firm keeps its own variance, but all pairwise correlations are set to the average off-diagonal correlation), and delta is the shrinkage intensity.</w:t>
      </w:r>
    </w:p>
    <w:p w14:paraId="32D85E83" w14:textId="77777777" w:rsidR="005261A3" w:rsidRDefault="00000000">
      <w:pPr>
        <w:spacing w:before="60" w:after="60"/>
      </w:pPr>
      <w:r>
        <w:t>The shrinkage intensity delta is computed using the Oracle Approximating Shrinkage (OAS) formula (Chen et al., 2010), which approximates the Ledoit-Wolf optimal intensity in closed form. The effective sample size T_eff is set to the median pairwise observation count, accounting for the unbalanced panel. A floor of LW_SHRINK_FLOOR = 0.01 prevents zero shrinkage.</w:t>
      </w:r>
    </w:p>
    <w:p w14:paraId="31AEA5A1" w14:textId="77777777" w:rsidR="005261A3" w:rsidRDefault="00000000">
      <w:pPr>
        <w:spacing w:before="60" w:after="60"/>
      </w:pPr>
      <w:r>
        <w:t>As a final safety net, spectral clipping is applied: any remaining negative eigenvalues are set to a small positive floor (1e-10), guaranteeing PSD.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261A3" w14:paraId="550A8F5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14CEE5" w14:textId="77777777" w:rsidR="005261A3" w:rsidRDefault="00000000">
            <w:r>
              <w:rPr>
                <w:b/>
                <w:bCs/>
                <w:sz w:val="20"/>
                <w:szCs w:val="20"/>
              </w:rPr>
              <w:t>Aspect</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51E843" w14:textId="77777777" w:rsidR="005261A3" w:rsidRDefault="00000000">
            <w:r>
              <w:rPr>
                <w:b/>
                <w:bCs/>
                <w:sz w:val="20"/>
                <w:szCs w:val="20"/>
              </w:rPr>
              <w:t>Advantage</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485C52" w14:textId="77777777" w:rsidR="005261A3" w:rsidRDefault="00000000">
            <w:r>
              <w:rPr>
                <w:b/>
                <w:bCs/>
                <w:sz w:val="20"/>
                <w:szCs w:val="20"/>
              </w:rPr>
              <w:t>Disadvantage</w:t>
            </w:r>
          </w:p>
        </w:tc>
      </w:tr>
      <w:tr w:rsidR="005261A3" w14:paraId="0FD9FAA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2965AE" w14:textId="77777777" w:rsidR="005261A3" w:rsidRDefault="00000000">
            <w:r>
              <w:rPr>
                <w:sz w:val="18"/>
                <w:szCs w:val="18"/>
              </w:rPr>
              <w:lastRenderedPageBreak/>
              <w:t>PSD guarantee</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2E87B8" w14:textId="77777777" w:rsidR="005261A3" w:rsidRDefault="00000000">
            <w:r>
              <w:rPr>
                <w:sz w:val="18"/>
                <w:szCs w:val="18"/>
              </w:rPr>
              <w:t>Shrinkage + spectral clipping ensure the covariance matrix is always PSD, making the QP well-defined</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1990F0" w14:textId="77777777" w:rsidR="005261A3" w:rsidRDefault="00000000">
            <w:r>
              <w:rPr>
                <w:sz w:val="18"/>
                <w:szCs w:val="18"/>
              </w:rPr>
              <w:t>Shrinkage introduces bias toward the structured target</w:t>
            </w:r>
          </w:p>
        </w:tc>
      </w:tr>
      <w:tr w:rsidR="005261A3" w14:paraId="5F64597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721D6E" w14:textId="77777777" w:rsidR="005261A3" w:rsidRDefault="00000000">
            <w:r>
              <w:rPr>
                <w:sz w:val="18"/>
                <w:szCs w:val="18"/>
              </w:rPr>
              <w:t>Estimation error</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DFDE5B" w14:textId="77777777" w:rsidR="005261A3" w:rsidRDefault="00000000">
            <w:r>
              <w:rPr>
                <w:sz w:val="18"/>
                <w:szCs w:val="18"/>
              </w:rPr>
              <w:t>Systematically reduces the extreme coefficients that mislead the optimizer</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61F0ED" w14:textId="77777777" w:rsidR="005261A3" w:rsidRDefault="00000000">
            <w:r>
              <w:rPr>
                <w:sz w:val="18"/>
                <w:szCs w:val="18"/>
              </w:rPr>
              <w:t>The constant-correlation target assumes all correlations are equal, which is a simplification</w:t>
            </w:r>
          </w:p>
        </w:tc>
      </w:tr>
      <w:tr w:rsidR="005261A3" w14:paraId="0CBAD95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C9DC64" w14:textId="77777777" w:rsidR="005261A3" w:rsidRDefault="00000000">
            <w:r>
              <w:rPr>
                <w:sz w:val="18"/>
                <w:szCs w:val="18"/>
              </w:rPr>
              <w:t>Analytical delta</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18A2DA" w14:textId="77777777" w:rsidR="005261A3" w:rsidRDefault="00000000">
            <w:r>
              <w:rPr>
                <w:sz w:val="18"/>
                <w:szCs w:val="18"/>
              </w:rPr>
              <w:t>No cross-validation or tuning needed; the optimal intensity is derived in closed form</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C3359" w14:textId="77777777" w:rsidR="005261A3" w:rsidRDefault="00000000">
            <w:r>
              <w:rPr>
                <w:sz w:val="18"/>
                <w:szCs w:val="18"/>
              </w:rPr>
              <w:t>OAS is an approximation; the exact Ledoit-Wolf formula requires complete data</w:t>
            </w:r>
          </w:p>
        </w:tc>
      </w:tr>
      <w:tr w:rsidR="005261A3" w14:paraId="11C83DD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30A9C1" w14:textId="77777777" w:rsidR="005261A3" w:rsidRDefault="00000000">
            <w:r>
              <w:rPr>
                <w:sz w:val="18"/>
                <w:szCs w:val="18"/>
              </w:rPr>
              <w:t>Removes zero-substitution</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ED5870" w14:textId="77777777" w:rsidR="005261A3" w:rsidRDefault="00000000">
            <w:r>
              <w:rPr>
                <w:sz w:val="18"/>
                <w:szCs w:val="18"/>
              </w:rPr>
              <w:t>The old approach of zeroing covariances for thin-overlap pairs asserted zero correlation; shrinkage instead pulls these toward a plausible average</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6675F6" w14:textId="77777777" w:rsidR="005261A3" w:rsidRDefault="00000000">
            <w:r>
              <w:rPr>
                <w:sz w:val="18"/>
                <w:szCs w:val="18"/>
              </w:rPr>
              <w:t>Pairs with very few common observations still contribute noise, now partially dampened rather than eliminated</w:t>
            </w:r>
          </w:p>
        </w:tc>
      </w:tr>
    </w:tbl>
    <w:p w14:paraId="49F8B13A" w14:textId="77777777" w:rsidR="005261A3" w:rsidRDefault="005261A3">
      <w:pPr>
        <w:spacing w:after="120"/>
      </w:pPr>
    </w:p>
    <w:p w14:paraId="64B3D549" w14:textId="77777777" w:rsidR="005261A3" w:rsidRDefault="00000000">
      <w:pPr>
        <w:spacing w:before="60" w:after="180"/>
      </w:pPr>
      <w:r>
        <w:rPr>
          <w:b/>
          <w:bCs/>
          <w:i/>
          <w:iCs/>
          <w:sz w:val="18"/>
          <w:szCs w:val="18"/>
        </w:rPr>
        <w:t xml:space="preserve">Source: </w:t>
      </w:r>
      <w:r>
        <w:rPr>
          <w:i/>
          <w:iCs/>
          <w:sz w:val="18"/>
          <w:szCs w:val="18"/>
        </w:rPr>
        <w:t>Ledoit, O. &amp; Wolf, M. (2004), "A well-conditioned estimator for large-dimensional covariance matrices", Journal of Multivariate Analysis, 88(2), 365-411; Ledoit, O. &amp; Wolf, M. (2003), "Honey, I Shrunk the Sample Covariance Matrix", Journal of Portfolio Management, 30(4), 110-119; Chen, Y., Wiesel, A., Eldar, Y. &amp; Hero, A. (2010), "Shrinkage Algorithms for MMSE Covariance Estimation", IEEE Trans. Signal Processing, 58(10), 5016-5029.</w:t>
      </w:r>
    </w:p>
    <w:p w14:paraId="620A3BD7" w14:textId="77777777" w:rsidR="005261A3" w:rsidRDefault="00000000">
      <w:pPr>
        <w:pStyle w:val="Heading1"/>
      </w:pPr>
      <w:r>
        <w:t>5. Minimum-Variance Portfolio Optimisation</w:t>
      </w:r>
    </w:p>
    <w:p w14:paraId="3DA69DA4" w14:textId="77777777" w:rsidR="005261A3" w:rsidRDefault="00000000">
      <w:pPr>
        <w:pStyle w:val="Heading2"/>
      </w:pPr>
      <w:r>
        <w:t>5.1 Optimisation Problem</w:t>
      </w:r>
    </w:p>
    <w:p w14:paraId="3BFA840E" w14:textId="77777777" w:rsidR="005261A3" w:rsidRDefault="00000000">
      <w:pPr>
        <w:spacing w:before="60" w:after="60"/>
      </w:pPr>
      <w:r>
        <w:t>At the end of each year Y, we solve the following constrained quadratic program:</w:t>
      </w:r>
    </w:p>
    <w:p w14:paraId="14A8E102" w14:textId="77777777" w:rsidR="005261A3" w:rsidRDefault="00000000">
      <w:pPr>
        <w:spacing w:before="80" w:after="80"/>
        <w:jc w:val="center"/>
      </w:pPr>
      <w:r>
        <w:rPr>
          <w:i/>
          <w:iCs/>
        </w:rPr>
        <w:t>min alpha' * Sigma_Y * alpha    subject to    alpha' * e = 1,    alpha_i &gt;= 0 for all i</w:t>
      </w:r>
    </w:p>
    <w:p w14:paraId="2DCCCDFD" w14:textId="77777777" w:rsidR="005261A3" w:rsidRDefault="00000000">
      <w:pPr>
        <w:spacing w:before="60" w:after="60"/>
      </w:pPr>
      <w:r>
        <w:t>This is the long-only global minimum-variance (GMV) portfolio. The positivity constraint prevents short selling, which is required for institutional interpretability and for meaningful carbon footprint computation in Part II.</w:t>
      </w:r>
    </w:p>
    <w:p w14:paraId="25072898" w14:textId="77777777" w:rsidR="005261A3" w:rsidRDefault="00000000">
      <w:pPr>
        <w:spacing w:before="60" w:after="180"/>
      </w:pPr>
      <w:r>
        <w:rPr>
          <w:b/>
          <w:bCs/>
          <w:i/>
          <w:iCs/>
          <w:sz w:val="18"/>
          <w:szCs w:val="18"/>
        </w:rPr>
        <w:t xml:space="preserve">Source: </w:t>
      </w:r>
      <w:r>
        <w:rPr>
          <w:i/>
          <w:iCs/>
          <w:sz w:val="18"/>
          <w:szCs w:val="18"/>
        </w:rPr>
        <w:t>Project instructions, Section 2.2; Lecture 5, slides 24-25, 34.</w:t>
      </w:r>
    </w:p>
    <w:p w14:paraId="1EAD2636" w14:textId="77777777" w:rsidR="005261A3" w:rsidRDefault="00000000">
      <w:pPr>
        <w:pStyle w:val="Heading2"/>
      </w:pPr>
      <w:r>
        <w:t>5.2 Solver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261A3" w14:paraId="45ABD94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9FBB08" w14:textId="77777777" w:rsidR="005261A3" w:rsidRDefault="00000000">
            <w:r>
              <w:rPr>
                <w:b/>
                <w:bCs/>
                <w:sz w:val="20"/>
                <w:szCs w:val="20"/>
              </w:rPr>
              <w:t>Setting</w:t>
            </w:r>
          </w:p>
        </w:tc>
        <w:tc>
          <w:tcPr>
            <w:tcW w:w="69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D724CE" w14:textId="77777777" w:rsidR="005261A3" w:rsidRDefault="00000000">
            <w:r>
              <w:rPr>
                <w:b/>
                <w:bCs/>
                <w:sz w:val="20"/>
                <w:szCs w:val="20"/>
              </w:rPr>
              <w:t>Value / Rationale</w:t>
            </w:r>
          </w:p>
        </w:tc>
      </w:tr>
      <w:tr w:rsidR="005261A3" w14:paraId="631B051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BAC4CA" w14:textId="77777777" w:rsidR="005261A3" w:rsidRDefault="00000000">
            <w:r>
              <w:rPr>
                <w:sz w:val="18"/>
                <w:szCs w:val="18"/>
              </w:rPr>
              <w:t>Method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1C7756" w14:textId="77777777" w:rsidR="005261A3" w:rsidRDefault="00000000">
            <w:r>
              <w:rPr>
                <w:sz w:val="18"/>
                <w:szCs w:val="18"/>
              </w:rPr>
              <w:t>SLSQP (Sequential Least Squares Quadratic Programming) via scipy.optimize.minimize</w:t>
            </w:r>
          </w:p>
        </w:tc>
      </w:tr>
      <w:tr w:rsidR="005261A3" w14:paraId="0AB1FF4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A038CD" w14:textId="77777777" w:rsidR="005261A3" w:rsidRDefault="00000000">
            <w:r>
              <w:rPr>
                <w:sz w:val="18"/>
                <w:szCs w:val="18"/>
              </w:rPr>
              <w:t>Jacobian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AFCF57" w14:textId="77777777" w:rsidR="005261A3" w:rsidRDefault="00000000">
            <w:r>
              <w:rPr>
                <w:sz w:val="18"/>
                <w:szCs w:val="18"/>
              </w:rPr>
              <w:t>Analytical gradient: 2 * Sigma @ w (avoids finite-difference approximation)</w:t>
            </w:r>
          </w:p>
        </w:tc>
      </w:tr>
      <w:tr w:rsidR="005261A3" w14:paraId="0A09ED2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BAD0C" w14:textId="77777777" w:rsidR="005261A3" w:rsidRDefault="00000000">
            <w:r>
              <w:rPr>
                <w:sz w:val="18"/>
                <w:szCs w:val="18"/>
              </w:rPr>
              <w:t>Bounds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4A862B" w14:textId="77777777" w:rsidR="005261A3" w:rsidRDefault="00000000">
            <w:r>
              <w:rPr>
                <w:sz w:val="18"/>
                <w:szCs w:val="18"/>
              </w:rPr>
              <w:t>[0, None] for all weights (long-only, no upper bound)</w:t>
            </w:r>
          </w:p>
        </w:tc>
      </w:tr>
      <w:tr w:rsidR="005261A3" w14:paraId="5AA1E9A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DC8AC0" w14:textId="77777777" w:rsidR="005261A3" w:rsidRDefault="00000000">
            <w:r>
              <w:rPr>
                <w:sz w:val="18"/>
                <w:szCs w:val="18"/>
              </w:rPr>
              <w:t>Equality constraint</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C3B274" w14:textId="77777777" w:rsidR="005261A3" w:rsidRDefault="00000000">
            <w:r>
              <w:rPr>
                <w:sz w:val="18"/>
                <w:szCs w:val="18"/>
              </w:rPr>
              <w:t>sum(w) = 1 (full investment)</w:t>
            </w:r>
          </w:p>
        </w:tc>
      </w:tr>
      <w:tr w:rsidR="005261A3" w14:paraId="0A7F2B7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8D7986" w14:textId="77777777" w:rsidR="005261A3" w:rsidRDefault="00000000">
            <w:r>
              <w:rPr>
                <w:sz w:val="18"/>
                <w:szCs w:val="18"/>
              </w:rPr>
              <w:t>Tolerance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7BB298" w14:textId="77777777" w:rsidR="005261A3" w:rsidRDefault="00000000">
            <w:r>
              <w:rPr>
                <w:sz w:val="18"/>
                <w:szCs w:val="18"/>
              </w:rPr>
              <w:t>ftol = 1e-10 (tight convergence)</w:t>
            </w:r>
          </w:p>
        </w:tc>
      </w:tr>
      <w:tr w:rsidR="005261A3" w14:paraId="1EDE355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B246B2" w14:textId="77777777" w:rsidR="005261A3" w:rsidRDefault="00000000">
            <w:r>
              <w:rPr>
                <w:sz w:val="18"/>
                <w:szCs w:val="18"/>
              </w:rPr>
              <w:t>Max iterations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4F00CB" w14:textId="77777777" w:rsidR="005261A3" w:rsidRDefault="00000000">
            <w:r>
              <w:rPr>
                <w:sz w:val="18"/>
                <w:szCs w:val="18"/>
              </w:rPr>
              <w:t>1000</w:t>
            </w:r>
          </w:p>
        </w:tc>
      </w:tr>
      <w:tr w:rsidR="005261A3" w14:paraId="2DD3CB8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B0993A" w14:textId="77777777" w:rsidR="005261A3" w:rsidRDefault="00000000">
            <w:r>
              <w:rPr>
                <w:sz w:val="18"/>
                <w:szCs w:val="18"/>
              </w:rPr>
              <w:t>Initial guess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F32B60" w14:textId="77777777" w:rsidR="005261A3" w:rsidRDefault="00000000">
            <w:r>
              <w:rPr>
                <w:sz w:val="18"/>
                <w:szCs w:val="18"/>
              </w:rPr>
              <w:t>Drifted weights from previous year (warm start), or 1/N for first year</w:t>
            </w:r>
          </w:p>
        </w:tc>
      </w:tr>
    </w:tbl>
    <w:p w14:paraId="3133E917" w14:textId="77777777" w:rsidR="005261A3" w:rsidRDefault="005261A3">
      <w:pPr>
        <w:spacing w:after="120"/>
      </w:pPr>
    </w:p>
    <w:p w14:paraId="2F81D22D" w14:textId="77777777" w:rsidR="005261A3" w:rsidRDefault="00000000">
      <w:pPr>
        <w:pStyle w:val="Heading2"/>
      </w:pPr>
      <w:r>
        <w:t>5.3 Warm Start from Drifted Weights</w:t>
      </w:r>
    </w:p>
    <w:p w14:paraId="2268D261" w14:textId="77777777" w:rsidR="005261A3" w:rsidRDefault="00000000">
      <w:pPr>
        <w:spacing w:before="60" w:after="60"/>
      </w:pPr>
      <w:r>
        <w:lastRenderedPageBreak/>
        <w:t>Instead of always starting from equal weights (1/N), the optimizer is initialised with the portfolio's actual weight composition at the end of the previous year (after 12 months of price-driven weight drift). This reflects the investor's current holdings before rebalancing.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261A3" w14:paraId="5264C50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A5B9866" w14:textId="77777777" w:rsidR="005261A3" w:rsidRDefault="00000000">
            <w:r>
              <w:rPr>
                <w:b/>
                <w:bCs/>
                <w:sz w:val="20"/>
                <w:szCs w:val="20"/>
              </w:rPr>
              <w:t>Aspect</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6F24DA2" w14:textId="77777777" w:rsidR="005261A3" w:rsidRDefault="00000000">
            <w:r>
              <w:rPr>
                <w:b/>
                <w:bCs/>
                <w:sz w:val="20"/>
                <w:szCs w:val="20"/>
              </w:rPr>
              <w:t>Advantage</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8990BC0" w14:textId="77777777" w:rsidR="005261A3" w:rsidRDefault="00000000">
            <w:r>
              <w:rPr>
                <w:b/>
                <w:bCs/>
                <w:sz w:val="20"/>
                <w:szCs w:val="20"/>
              </w:rPr>
              <w:t>Disadvantage</w:t>
            </w:r>
          </w:p>
        </w:tc>
      </w:tr>
      <w:tr w:rsidR="005261A3" w14:paraId="6EFDDD0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E7762E" w14:textId="77777777" w:rsidR="005261A3" w:rsidRDefault="00000000">
            <w:r>
              <w:rPr>
                <w:sz w:val="18"/>
                <w:szCs w:val="18"/>
              </w:rPr>
              <w:t>Convergence speed</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ADBE59" w14:textId="77777777" w:rsidR="005261A3" w:rsidRDefault="00000000">
            <w:r>
              <w:rPr>
                <w:sz w:val="18"/>
                <w:szCs w:val="18"/>
              </w:rPr>
              <w:t>Starting closer to the solution reduces iterations and avoids local-minimum traps in the non-convex landscape</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6C04B7" w14:textId="77777777" w:rsidR="005261A3" w:rsidRDefault="00000000">
            <w:r>
              <w:rPr>
                <w:sz w:val="18"/>
                <w:szCs w:val="18"/>
              </w:rPr>
              <w:t>If the drifted portfolio is far from optimal (e.g., due to a structural break), the warm start may bias the optimizer</w:t>
            </w:r>
          </w:p>
        </w:tc>
      </w:tr>
      <w:tr w:rsidR="005261A3" w14:paraId="6874F7C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1491BC" w14:textId="77777777" w:rsidR="005261A3" w:rsidRDefault="00000000">
            <w:r>
              <w:rPr>
                <w:sz w:val="18"/>
                <w:szCs w:val="18"/>
              </w:rPr>
              <w:t>Practical relevance</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27A473" w14:textId="77777777" w:rsidR="005261A3" w:rsidRDefault="00000000">
            <w:r>
              <w:rPr>
                <w:sz w:val="18"/>
                <w:szCs w:val="18"/>
              </w:rPr>
              <w:t>Mirrors real portfolio management: the rebalancing starts from where the portfolio actually is</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DCB0BB" w14:textId="77777777" w:rsidR="005261A3" w:rsidRDefault="00000000">
            <w:r>
              <w:rPr>
                <w:sz w:val="18"/>
                <w:szCs w:val="18"/>
              </w:rPr>
              <w:t>Introduces path dependence into the optimisation sequence</w:t>
            </w:r>
          </w:p>
        </w:tc>
      </w:tr>
    </w:tbl>
    <w:p w14:paraId="6A52AB9D" w14:textId="77777777" w:rsidR="005261A3" w:rsidRDefault="005261A3">
      <w:pPr>
        <w:spacing w:after="120"/>
      </w:pPr>
    </w:p>
    <w:p w14:paraId="008E9ED3" w14:textId="77777777" w:rsidR="005261A3" w:rsidRDefault="00000000">
      <w:pPr>
        <w:spacing w:before="60" w:after="180"/>
      </w:pPr>
      <w:r>
        <w:rPr>
          <w:b/>
          <w:bCs/>
          <w:i/>
          <w:iCs/>
          <w:sz w:val="18"/>
          <w:szCs w:val="18"/>
        </w:rPr>
        <w:t xml:space="preserve">Source: </w:t>
      </w:r>
      <w:r>
        <w:rPr>
          <w:i/>
          <w:iCs/>
          <w:sz w:val="18"/>
          <w:szCs w:val="18"/>
        </w:rPr>
        <w:t>Standard practice in rolling portfolio optimisation; Jagannathan, R. &amp; Ma, T. (2003), "Risk Reduction in Large Portfolios: Why Imposing the Wrong Constraints Helps", Journal of Finance, 58(4), 1651-1684.</w:t>
      </w:r>
    </w:p>
    <w:p w14:paraId="7A6FB0A2" w14:textId="77777777" w:rsidR="005261A3" w:rsidRDefault="00000000">
      <w:pPr>
        <w:pStyle w:val="Heading2"/>
      </w:pPr>
      <w:r>
        <w:t>5.4 No Upper Bound on Individual Weights</w:t>
      </w:r>
    </w:p>
    <w:p w14:paraId="29D82898" w14:textId="77777777" w:rsidR="005261A3" w:rsidRDefault="00000000">
      <w:pPr>
        <w:spacing w:before="60" w:after="60"/>
      </w:pPr>
      <w:r>
        <w:t>The optimisation imposes no maximum weight per firm. In principle, a single stock could receive 50%+ of the portfolio. This is technically correct per the project instructions, which only require non-negativity. However, it creates concentration risk.</w:t>
      </w:r>
    </w:p>
    <w:p w14:paraId="649A2A41" w14:textId="77777777" w:rsidR="005261A3" w:rsidRDefault="00000000">
      <w:pPr>
        <w:spacing w:before="60" w:after="60"/>
      </w:pPr>
      <w:r>
        <w:rPr>
          <w:b/>
          <w:bCs/>
        </w:rPr>
        <w:t xml:space="preserve">Flag: </w:t>
      </w:r>
      <w:r>
        <w:t>In practice, the long-only constraint combined with shrinkage partially mitigates extreme concentration. Jagannathan &amp; Ma (2003) show that the non-negativity constraint acts as an implicit form of shrinkage, improving out-of-sample performance even without explicit covariance regularisation. However, adding an upper bound (e.g., 5% or 10%) per firm would be a useful robustness check.</w:t>
      </w:r>
    </w:p>
    <w:p w14:paraId="0953F40E" w14:textId="77777777" w:rsidR="005261A3" w:rsidRDefault="00000000">
      <w:pPr>
        <w:spacing w:before="60" w:after="180"/>
      </w:pPr>
      <w:r>
        <w:rPr>
          <w:b/>
          <w:bCs/>
          <w:i/>
          <w:iCs/>
          <w:sz w:val="18"/>
          <w:szCs w:val="18"/>
        </w:rPr>
        <w:t xml:space="preserve">Source: </w:t>
      </w:r>
      <w:r>
        <w:rPr>
          <w:i/>
          <w:iCs/>
          <w:sz w:val="18"/>
          <w:szCs w:val="18"/>
        </w:rPr>
        <w:t>Jagannathan, R. &amp; Ma, T. (2003), "Risk Reduction in Large Portfolios: Why Imposing the Wrong Constraints Helps", Journal of Finance, 58(4), 1651-1684.</w:t>
      </w:r>
    </w:p>
    <w:p w14:paraId="74C67AE6" w14:textId="77777777" w:rsidR="005261A3" w:rsidRDefault="00000000">
      <w:pPr>
        <w:pStyle w:val="Heading1"/>
      </w:pPr>
      <w:r>
        <w:t>6. Ex-Post Performance Computation</w:t>
      </w:r>
    </w:p>
    <w:p w14:paraId="7D65C422" w14:textId="77777777" w:rsidR="005261A3" w:rsidRDefault="00000000">
      <w:pPr>
        <w:pStyle w:val="Heading2"/>
      </w:pPr>
      <w:r>
        <w:t>6.1 Monthly Weight Drift</w:t>
      </w:r>
    </w:p>
    <w:p w14:paraId="442252D9" w14:textId="77777777" w:rsidR="005261A3" w:rsidRDefault="00000000">
      <w:pPr>
        <w:spacing w:before="60" w:after="60"/>
      </w:pPr>
      <w:r>
        <w:t>After the allocation is determined at end of year Y, the portfolio is held for 12 months without rebalancing. Each month, weights drift according to the relative price changes of the constituent securities:</w:t>
      </w:r>
    </w:p>
    <w:p w14:paraId="73D12A77" w14:textId="77777777" w:rsidR="005261A3" w:rsidRDefault="00000000">
      <w:pPr>
        <w:spacing w:before="80" w:after="80"/>
        <w:jc w:val="center"/>
      </w:pPr>
      <w:r>
        <w:rPr>
          <w:i/>
          <w:iCs/>
        </w:rPr>
        <w:t>alpha_{i,t+k} = alpha_{i,t+k-1} * (1 + R_{i,t+k}) / (1 + R_{p,t+k})</w:t>
      </w:r>
    </w:p>
    <w:p w14:paraId="3A571D0E" w14:textId="77777777" w:rsidR="005261A3" w:rsidRDefault="00000000">
      <w:pPr>
        <w:spacing w:before="60" w:after="60"/>
      </w:pPr>
      <w:r>
        <w:t xml:space="preserve">The monthly portfolio return is: </w:t>
      </w:r>
      <w:r>
        <w:rPr>
          <w:b/>
          <w:bCs/>
          <w:i/>
          <w:iCs/>
        </w:rPr>
        <w:t>R_{p,t+k} = alpha'_{t+k-1} * R_{t+k}</w:t>
      </w:r>
    </w:p>
    <w:p w14:paraId="3B026572" w14:textId="77777777" w:rsidR="005261A3" w:rsidRDefault="00000000">
      <w:pPr>
        <w:spacing w:before="60" w:after="60"/>
      </w:pPr>
      <w:r>
        <w:t>This buy-and-hold approach between annual rebalancing dates is standard and consistent with the project specification. Transaction costs are implicitly zero within each year.</w:t>
      </w:r>
    </w:p>
    <w:p w14:paraId="65FAAB91" w14:textId="77777777" w:rsidR="005261A3" w:rsidRDefault="00000000">
      <w:pPr>
        <w:spacing w:before="60" w:after="180"/>
      </w:pPr>
      <w:r>
        <w:rPr>
          <w:b/>
          <w:bCs/>
          <w:i/>
          <w:iCs/>
          <w:sz w:val="18"/>
          <w:szCs w:val="18"/>
        </w:rPr>
        <w:t xml:space="preserve">Source: </w:t>
      </w:r>
      <w:r>
        <w:rPr>
          <w:i/>
          <w:iCs/>
          <w:sz w:val="18"/>
          <w:szCs w:val="18"/>
        </w:rPr>
        <w:t>Project instructions, Section 2.2; Lecture 5, slides 35-36.</w:t>
      </w:r>
    </w:p>
    <w:p w14:paraId="5C94BBC1" w14:textId="77777777" w:rsidR="005261A3" w:rsidRDefault="00000000">
      <w:pPr>
        <w:pStyle w:val="Heading2"/>
      </w:pPr>
      <w:r>
        <w:t>6.2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261A3" w14:paraId="61EA537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F3D266" w14:textId="77777777" w:rsidR="005261A3" w:rsidRDefault="00000000">
            <w:r>
              <w:rPr>
                <w:b/>
                <w:bCs/>
                <w:sz w:val="20"/>
                <w:szCs w:val="20"/>
              </w:rPr>
              <w:t>Metric</w:t>
            </w:r>
          </w:p>
        </w:tc>
        <w:tc>
          <w:tcPr>
            <w:tcW w:w="6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DB737D" w14:textId="77777777" w:rsidR="005261A3" w:rsidRDefault="00000000">
            <w:r>
              <w:rPr>
                <w:b/>
                <w:bCs/>
                <w:sz w:val="20"/>
                <w:szCs w:val="20"/>
              </w:rPr>
              <w:t>Formula / Method</w:t>
            </w:r>
          </w:p>
        </w:tc>
      </w:tr>
      <w:tr w:rsidR="005261A3" w14:paraId="5EB2612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91840D" w14:textId="77777777" w:rsidR="005261A3" w:rsidRDefault="00000000">
            <w:r>
              <w:rPr>
                <w:sz w:val="18"/>
                <w:szCs w:val="18"/>
              </w:rPr>
              <w:t>Annualised arithmetic return</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83D5EA" w14:textId="77777777" w:rsidR="005261A3" w:rsidRDefault="00000000">
            <w:r>
              <w:rPr>
                <w:sz w:val="18"/>
                <w:szCs w:val="18"/>
              </w:rPr>
              <w:t>12 * mean(R_monthly) — Lecture 5, slide 12</w:t>
            </w:r>
          </w:p>
        </w:tc>
      </w:tr>
      <w:tr w:rsidR="005261A3" w14:paraId="536E388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44F0C6" w14:textId="77777777" w:rsidR="005261A3" w:rsidRDefault="00000000">
            <w:r>
              <w:rPr>
                <w:sz w:val="18"/>
                <w:szCs w:val="18"/>
              </w:rPr>
              <w:t>Annualised geometric return</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D5C833" w14:textId="77777777" w:rsidR="005261A3" w:rsidRDefault="00000000">
            <w:r>
              <w:rPr>
                <w:sz w:val="18"/>
                <w:szCs w:val="18"/>
              </w:rPr>
              <w:t>(1 + R_cumulative)^(12/T) - 1 — Lecture 5, slide 13</w:t>
            </w:r>
          </w:p>
        </w:tc>
      </w:tr>
      <w:tr w:rsidR="005261A3" w14:paraId="1931A666"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7A5699" w14:textId="77777777" w:rsidR="005261A3" w:rsidRDefault="00000000">
            <w:r>
              <w:rPr>
                <w:sz w:val="18"/>
                <w:szCs w:val="18"/>
              </w:rPr>
              <w:t>Annualised volatility</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590C17" w14:textId="77777777" w:rsidR="005261A3" w:rsidRDefault="00000000">
            <w:r>
              <w:rPr>
                <w:sz w:val="18"/>
                <w:szCs w:val="18"/>
              </w:rPr>
              <w:t>std(R_monthly) * sqrt(12) — Lecture 5, slide 12</w:t>
            </w:r>
          </w:p>
        </w:tc>
      </w:tr>
      <w:tr w:rsidR="005261A3" w14:paraId="499B0FB6"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C95AF1" w14:textId="77777777" w:rsidR="005261A3" w:rsidRDefault="00000000">
            <w:r>
              <w:rPr>
                <w:sz w:val="18"/>
                <w:szCs w:val="18"/>
              </w:rPr>
              <w:lastRenderedPageBreak/>
              <w:t>Sharpe ratio</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B298C1" w14:textId="77777777" w:rsidR="005261A3" w:rsidRDefault="00000000">
            <w:r>
              <w:rPr>
                <w:sz w:val="18"/>
                <w:szCs w:val="18"/>
              </w:rPr>
              <w:t>(mu_arith_ann - RF_ann) / sigma_ann — Lecture 5, slide 12</w:t>
            </w:r>
          </w:p>
        </w:tc>
      </w:tr>
      <w:tr w:rsidR="005261A3" w14:paraId="2A5D116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B68CA9" w14:textId="77777777" w:rsidR="005261A3" w:rsidRDefault="00000000">
            <w:r>
              <w:rPr>
                <w:sz w:val="18"/>
                <w:szCs w:val="18"/>
              </w:rPr>
              <w:t>Maximum drawdown</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3F1D8A" w14:textId="77777777" w:rsidR="005261A3" w:rsidRDefault="00000000">
            <w:r>
              <w:rPr>
                <w:sz w:val="18"/>
                <w:szCs w:val="18"/>
              </w:rPr>
              <w:t>max peak-to-trough loss from cumulative return series — Lecture 5, slide 10</w:t>
            </w:r>
          </w:p>
        </w:tc>
      </w:tr>
      <w:tr w:rsidR="005261A3" w14:paraId="1C45F9A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72315A" w14:textId="77777777" w:rsidR="005261A3" w:rsidRDefault="00000000">
            <w:r>
              <w:rPr>
                <w:sz w:val="18"/>
                <w:szCs w:val="18"/>
              </w:rPr>
              <w:t>Min / Max monthly return</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DC30B8" w14:textId="77777777" w:rsidR="005261A3" w:rsidRDefault="00000000">
            <w:r>
              <w:rPr>
                <w:sz w:val="18"/>
                <w:szCs w:val="18"/>
              </w:rPr>
              <w:t>Simple extrema of the monthly return series</w:t>
            </w:r>
          </w:p>
        </w:tc>
      </w:tr>
    </w:tbl>
    <w:p w14:paraId="43886559" w14:textId="77777777" w:rsidR="005261A3" w:rsidRDefault="005261A3">
      <w:pPr>
        <w:spacing w:after="120"/>
      </w:pPr>
    </w:p>
    <w:p w14:paraId="62A4D8B4" w14:textId="77777777" w:rsidR="005261A3" w:rsidRDefault="00000000">
      <w:pPr>
        <w:pStyle w:val="Heading2"/>
      </w:pPr>
      <w:r>
        <w:t>6.3 Risk-Free Rate Treatment</w:t>
      </w:r>
    </w:p>
    <w:p w14:paraId="691A5545" w14:textId="77777777" w:rsidR="005261A3" w:rsidRDefault="00000000">
      <w:pPr>
        <w:spacing w:before="60" w:after="60"/>
      </w:pPr>
      <w:r>
        <w:t>The risk-free rate is sourced from the Fama-French research data file (</w:t>
      </w:r>
      <w:r>
        <w:rPr>
          <w:i/>
          <w:iCs/>
        </w:rPr>
        <w:t>F-F_Research_Data_Factors</w:t>
      </w:r>
      <w:r>
        <w:t xml:space="preserve">, column </w:t>
      </w:r>
      <w:r>
        <w:rPr>
          <w:i/>
          <w:iCs/>
        </w:rPr>
        <w:t>RF</w:t>
      </w:r>
      <w:r>
        <w:t xml:space="preserve">). Per explicit instructor guidance, the raw values are interpreted as </w:t>
      </w:r>
      <w:r>
        <w:rPr>
          <w:b/>
          <w:bCs/>
        </w:rPr>
        <w:t>monthly</w:t>
      </w:r>
      <w:r>
        <w:t xml:space="preserve"> returns expressed in percentage points and are converted to monthly decimals by dividing by 100:</w:t>
      </w:r>
    </w:p>
    <w:p w14:paraId="324616C7" w14:textId="77777777" w:rsidR="005261A3" w:rsidRDefault="00000000">
      <w:pPr>
        <w:spacing w:before="80" w:after="80"/>
        <w:jc w:val="center"/>
      </w:pPr>
      <w:r>
        <w:rPr>
          <w:i/>
          <w:iCs/>
        </w:rPr>
        <w:t>RF_monthly = RF_pct / 100</w:t>
      </w:r>
    </w:p>
    <w:p w14:paraId="45E49A8C" w14:textId="77777777" w:rsidR="005261A3" w:rsidRDefault="00000000">
      <w:pPr>
        <w:spacing w:before="60" w:after="60"/>
      </w:pPr>
      <w:r>
        <w:t>For the Sharpe ratio, the monthly RF is annualised by simple multiplication: RF_annual = 12 * mean(RF_monthly). This matches the convention used for the annualised portfolio return, which is also 12 * mean(R_monthly). The Sharpe ratio is then computed as (mu_arith_ann - RF_ann) / sigma_ann.</w:t>
      </w:r>
    </w:p>
    <w:p w14:paraId="6E09C6EC" w14:textId="77777777" w:rsidR="005261A3" w:rsidRDefault="00000000">
      <w:pPr>
        <w:spacing w:before="60" w:after="60"/>
      </w:pPr>
      <w:r>
        <w:rPr>
          <w:b/>
          <w:bCs/>
        </w:rPr>
        <w:t xml:space="preserve">Sanity check: </w:t>
      </w:r>
      <w:r>
        <w:t>Over the sample period January 2014 to December 2025, the average monthly RF is 0.1456%, annualising to 1.7475%. This is consistent with the average US 3-month T-bill yield over the period and validates the unit interpretation. A runtime assertion in the code (</w:t>
      </w:r>
      <w:r>
        <w:rPr>
          <w:i/>
          <w:iCs/>
        </w:rPr>
        <w:t>0.005 &lt; rf_ann &lt; 0.05</w:t>
      </w:r>
      <w:r>
        <w:t>) enforces this check at every run.</w:t>
      </w:r>
    </w:p>
    <w:p w14:paraId="08213251" w14:textId="77777777" w:rsidR="005261A3" w:rsidRDefault="00000000">
      <w:pPr>
        <w:spacing w:before="60" w:after="180"/>
      </w:pPr>
      <w:r>
        <w:rPr>
          <w:b/>
          <w:bCs/>
          <w:i/>
          <w:iCs/>
          <w:sz w:val="18"/>
          <w:szCs w:val="18"/>
        </w:rPr>
        <w:t xml:space="preserve">Source: </w:t>
      </w:r>
      <w:r>
        <w:rPr>
          <w:i/>
          <w:iCs/>
          <w:sz w:val="18"/>
          <w:szCs w:val="18"/>
        </w:rPr>
        <w:t>Instructor directive (treat RF as monthly rate); Fama, E.F. &amp; French, K.R., Kenneth R. French Data Library — the RF column is documented as monthly returns in percent.</w:t>
      </w:r>
    </w:p>
    <w:p w14:paraId="7C93F429" w14:textId="77777777" w:rsidR="005261A3" w:rsidRDefault="00000000">
      <w:pPr>
        <w:pStyle w:val="Heading2"/>
      </w:pPr>
      <w:r>
        <w:t>6.4 Volatility Estimator Convention</w:t>
      </w:r>
    </w:p>
    <w:p w14:paraId="530AC593" w14:textId="77777777" w:rsidR="005261A3" w:rsidRDefault="00000000">
      <w:pPr>
        <w:spacing w:before="60" w:after="60"/>
      </w:pPr>
      <w:r>
        <w:t>The ex-post volatility uses the pandas .std() default, which divides by (T-1) (unbiased estimator), while the covariance matrix estimation uses the ML estimator (divides by T). This is a minor inconsistency. The project formula for the covariance matrix explicitly uses 1/T, while the lecture slides for ex-post volatility use 1/(T-1). We follow each specification in its respective context.</w:t>
      </w:r>
    </w:p>
    <w:p w14:paraId="5F4A7BD5" w14:textId="77777777" w:rsidR="005261A3" w:rsidRDefault="00000000">
      <w:pPr>
        <w:spacing w:before="60" w:after="180"/>
      </w:pPr>
      <w:r>
        <w:rPr>
          <w:b/>
          <w:bCs/>
          <w:i/>
          <w:iCs/>
          <w:sz w:val="18"/>
          <w:szCs w:val="18"/>
        </w:rPr>
        <w:t xml:space="preserve">Source: </w:t>
      </w:r>
      <w:r>
        <w:rPr>
          <w:i/>
          <w:iCs/>
          <w:sz w:val="18"/>
          <w:szCs w:val="18"/>
        </w:rPr>
        <w:t>Lecture 5, slides 6-7 (both estimators discussed); Project formula, Section 2.1 (ML for covariance).</w:t>
      </w:r>
    </w:p>
    <w:p w14:paraId="477D75A4" w14:textId="77777777" w:rsidR="005261A3" w:rsidRDefault="00000000">
      <w:pPr>
        <w:pStyle w:val="Heading1"/>
      </w:pPr>
      <w:r>
        <w:t>7. Value-Weighted Benchmark</w:t>
      </w:r>
    </w:p>
    <w:p w14:paraId="3316F78F" w14:textId="77777777" w:rsidR="005261A3" w:rsidRDefault="00000000">
      <w:pPr>
        <w:spacing w:before="60" w:after="60"/>
      </w:pPr>
      <w:r>
        <w:t>The value-weighted portfolio uses the same investment set as the minimum-variance portfolio (same eligible firms per year). Each month t, the weight of firm i is proportional to its market capitalisation at the end of month t-1:</w:t>
      </w:r>
    </w:p>
    <w:p w14:paraId="132400C5" w14:textId="77777777" w:rsidR="005261A3" w:rsidRDefault="00000000">
      <w:pPr>
        <w:spacing w:before="80" w:after="80"/>
        <w:jc w:val="center"/>
      </w:pPr>
      <w:r>
        <w:rPr>
          <w:i/>
          <w:iCs/>
        </w:rPr>
        <w:t>w_{i,t} = Cap_{i,t-1} / sum_j(Cap_{j,t-1})</w:t>
      </w:r>
    </w:p>
    <w:p w14:paraId="673E348B" w14:textId="77777777" w:rsidR="005261A3" w:rsidRDefault="00000000">
      <w:pPr>
        <w:spacing w:before="60" w:after="60"/>
      </w:pPr>
      <w:r>
        <w:t>Firms with missing market cap at month t-1 receive zero weight (effectively excluded for that month). The same OOS delisting-aware return matrix (fill_oos_returns) is used for both the MV and VW portfolios, ensuring consistent treatment of delistings.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261A3" w14:paraId="1441D38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72B46D" w14:textId="77777777" w:rsidR="005261A3" w:rsidRDefault="00000000">
            <w:r>
              <w:rPr>
                <w:b/>
                <w:bCs/>
                <w:sz w:val="20"/>
                <w:szCs w:val="20"/>
              </w:rPr>
              <w:t>Aspect</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380A412" w14:textId="77777777" w:rsidR="005261A3" w:rsidRDefault="00000000">
            <w:r>
              <w:rPr>
                <w:b/>
                <w:bCs/>
                <w:sz w:val="20"/>
                <w:szCs w:val="20"/>
              </w:rPr>
              <w:t>Advantage</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2324A6" w14:textId="77777777" w:rsidR="005261A3" w:rsidRDefault="00000000">
            <w:r>
              <w:rPr>
                <w:b/>
                <w:bCs/>
                <w:sz w:val="20"/>
                <w:szCs w:val="20"/>
              </w:rPr>
              <w:t>Disadvantage</w:t>
            </w:r>
          </w:p>
        </w:tc>
      </w:tr>
      <w:tr w:rsidR="005261A3" w14:paraId="505B107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D29CD" w14:textId="77777777" w:rsidR="005261A3" w:rsidRDefault="00000000">
            <w:r>
              <w:rPr>
                <w:sz w:val="18"/>
                <w:szCs w:val="18"/>
              </w:rPr>
              <w:t>Reweighting frequency</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19810D" w14:textId="77777777" w:rsidR="005261A3" w:rsidRDefault="00000000">
            <w:r>
              <w:rPr>
                <w:sz w:val="18"/>
                <w:szCs w:val="18"/>
              </w:rPr>
              <w:t>Monthly reweighting reflects actual market values (as an investor would hold)</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78B8EC" w14:textId="77777777" w:rsidR="005261A3" w:rsidRDefault="00000000">
            <w:r>
              <w:rPr>
                <w:sz w:val="18"/>
                <w:szCs w:val="18"/>
              </w:rPr>
              <w:t>Monthly turnover is higher than annual; however, no transaction costs are applied</w:t>
            </w:r>
          </w:p>
        </w:tc>
      </w:tr>
      <w:tr w:rsidR="005261A3" w14:paraId="315A432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93CA86" w14:textId="77777777" w:rsidR="005261A3" w:rsidRDefault="00000000">
            <w:r>
              <w:rPr>
                <w:sz w:val="18"/>
                <w:szCs w:val="18"/>
              </w:rPr>
              <w:t>Same universe</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CD44FB" w14:textId="77777777" w:rsidR="005261A3" w:rsidRDefault="00000000">
            <w:r>
              <w:rPr>
                <w:sz w:val="18"/>
                <w:szCs w:val="18"/>
              </w:rPr>
              <w:t>Direct comparability with the MV portfolio: same eligible firms, same return data</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DC23E7" w14:textId="77777777" w:rsidR="005261A3" w:rsidRDefault="00000000">
            <w:r>
              <w:rPr>
                <w:sz w:val="18"/>
                <w:szCs w:val="18"/>
              </w:rPr>
              <w:t>The VW benchmark is restricted to the EUR carbon-data universe, not a standard market index</w:t>
            </w:r>
          </w:p>
        </w:tc>
      </w:tr>
      <w:tr w:rsidR="005261A3" w14:paraId="2B3B6D6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CE770B" w14:textId="77777777" w:rsidR="005261A3" w:rsidRDefault="00000000">
            <w:r>
              <w:rPr>
                <w:sz w:val="18"/>
                <w:szCs w:val="18"/>
              </w:rPr>
              <w:lastRenderedPageBreak/>
              <w:t>Missing cap treatment</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B9DF54" w14:textId="77777777" w:rsidR="005261A3" w:rsidRDefault="00000000">
            <w:r>
              <w:rPr>
                <w:sz w:val="18"/>
                <w:szCs w:val="18"/>
              </w:rPr>
              <w:t>fillna(0) on market cap effectively drops firms with missing data for that month</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B95695" w14:textId="77777777" w:rsidR="005261A3" w:rsidRDefault="00000000">
            <w:r>
              <w:rPr>
                <w:sz w:val="18"/>
                <w:szCs w:val="18"/>
              </w:rPr>
              <w:t>A firm temporarily missing cap data gets zero weight, then may re-enter next month</w:t>
            </w:r>
          </w:p>
        </w:tc>
      </w:tr>
    </w:tbl>
    <w:p w14:paraId="21E08F50" w14:textId="77777777" w:rsidR="005261A3" w:rsidRDefault="005261A3">
      <w:pPr>
        <w:spacing w:after="120"/>
      </w:pPr>
    </w:p>
    <w:p w14:paraId="3EE6BED0" w14:textId="77777777" w:rsidR="005261A3" w:rsidRDefault="00000000">
      <w:pPr>
        <w:spacing w:before="60" w:after="180"/>
      </w:pPr>
      <w:r>
        <w:rPr>
          <w:b/>
          <w:bCs/>
          <w:i/>
          <w:iCs/>
          <w:sz w:val="18"/>
          <w:szCs w:val="18"/>
        </w:rPr>
        <w:t xml:space="preserve">Source: </w:t>
      </w:r>
      <w:r>
        <w:rPr>
          <w:i/>
          <w:iCs/>
          <w:sz w:val="18"/>
          <w:szCs w:val="18"/>
        </w:rPr>
        <w:t>Project instructions, Section 2.3; Lecture 5, slide 38.</w:t>
      </w:r>
    </w:p>
    <w:p w14:paraId="353307BB" w14:textId="77777777" w:rsidR="005261A3" w:rsidRDefault="00000000">
      <w:pPr>
        <w:pStyle w:val="Heading1"/>
      </w:pPr>
      <w:r>
        <w:t>8. Summary: Design Choices vs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000"/>
        <w:gridCol w:w="2360"/>
        <w:gridCol w:w="1400"/>
      </w:tblGrid>
      <w:tr w:rsidR="005261A3" w14:paraId="070E0A2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1BC666E" w14:textId="77777777" w:rsidR="005261A3" w:rsidRDefault="00000000">
            <w:r>
              <w:rPr>
                <w:b/>
                <w:bCs/>
                <w:sz w:val="20"/>
                <w:szCs w:val="20"/>
              </w:rPr>
              <w:t>Choice</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B2471A" w14:textId="77777777" w:rsidR="005261A3" w:rsidRDefault="00000000">
            <w:r>
              <w:rPr>
                <w:b/>
                <w:bCs/>
                <w:sz w:val="20"/>
                <w:szCs w:val="20"/>
              </w:rPr>
              <w:t>Our Approach</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5E92AD" w14:textId="77777777" w:rsidR="005261A3" w:rsidRDefault="00000000">
            <w:r>
              <w:rPr>
                <w:b/>
                <w:bCs/>
                <w:sz w:val="20"/>
                <w:szCs w:val="20"/>
              </w:rPr>
              <w:t>Alternative</w:t>
            </w:r>
          </w:p>
        </w:tc>
        <w:tc>
          <w:tcPr>
            <w:tcW w:w="2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2DECB6" w14:textId="77777777" w:rsidR="005261A3" w:rsidRDefault="00000000">
            <w:r>
              <w:rPr>
                <w:b/>
                <w:bCs/>
                <w:sz w:val="20"/>
                <w:szCs w:val="20"/>
              </w:rPr>
              <w:t>Why Ours</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8DED13E" w14:textId="77777777" w:rsidR="005261A3" w:rsidRDefault="00000000">
            <w:r>
              <w:rPr>
                <w:b/>
                <w:bCs/>
                <w:sz w:val="20"/>
                <w:szCs w:val="20"/>
              </w:rPr>
              <w:t>Flag</w:t>
            </w:r>
          </w:p>
        </w:tc>
      </w:tr>
      <w:tr w:rsidR="005261A3" w14:paraId="43D73B8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A8FADF" w14:textId="77777777" w:rsidR="005261A3" w:rsidRDefault="00000000">
            <w:r>
              <w:rPr>
                <w:sz w:val="18"/>
                <w:szCs w:val="18"/>
              </w:rPr>
              <w:t>Cov estimation</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AD2264" w14:textId="77777777" w:rsidR="005261A3" w:rsidRDefault="00000000">
            <w:r>
              <w:rPr>
                <w:sz w:val="18"/>
                <w:szCs w:val="18"/>
              </w:rPr>
              <w:t>Pairwise-complete + Ledoit-Wolf shrinkage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0D26F3" w14:textId="77777777" w:rsidR="005261A3" w:rsidRDefault="00000000">
            <w:r>
              <w:rPr>
                <w:sz w:val="18"/>
                <w:szCs w:val="18"/>
              </w:rPr>
              <w:t>Listwise deletion or factor model</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9C2334" w14:textId="77777777" w:rsidR="005261A3" w:rsidRDefault="00000000">
            <w:r>
              <w:rPr>
                <w:sz w:val="18"/>
                <w:szCs w:val="18"/>
              </w:rPr>
              <w:t>Maximises data; shrinkage guarantees PSD</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FF3D15" w14:textId="77777777" w:rsidR="005261A3" w:rsidRDefault="00000000">
            <w:r>
              <w:rPr>
                <w:sz w:val="18"/>
                <w:szCs w:val="18"/>
              </w:rPr>
              <w:t>None</w:t>
            </w:r>
          </w:p>
        </w:tc>
      </w:tr>
      <w:tr w:rsidR="005261A3" w14:paraId="2A1225D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12747E" w14:textId="77777777" w:rsidR="005261A3" w:rsidRDefault="00000000">
            <w:r>
              <w:rPr>
                <w:sz w:val="18"/>
                <w:szCs w:val="18"/>
              </w:rPr>
              <w:t>Shrinkage target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0BDB31" w14:textId="77777777" w:rsidR="005261A3" w:rsidRDefault="00000000">
            <w:r>
              <w:rPr>
                <w:sz w:val="18"/>
                <w:szCs w:val="18"/>
              </w:rPr>
              <w:t>Constant-correlation</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E4C356" w14:textId="77777777" w:rsidR="005261A3" w:rsidRDefault="00000000">
            <w:r>
              <w:rPr>
                <w:sz w:val="18"/>
                <w:szCs w:val="18"/>
              </w:rPr>
              <w:t>Identity matrix (Ledoit-Wolf 2004b) or single-factor (Sharpe)</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26A098" w14:textId="77777777" w:rsidR="005261A3" w:rsidRDefault="00000000">
            <w:r>
              <w:rPr>
                <w:sz w:val="18"/>
                <w:szCs w:val="18"/>
              </w:rPr>
              <w:t>Preserves average dependence structure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EBC5DB" w14:textId="77777777" w:rsidR="005261A3" w:rsidRDefault="00000000">
            <w:r>
              <w:rPr>
                <w:sz w:val="18"/>
                <w:szCs w:val="18"/>
              </w:rPr>
              <w:t>Compared in Appendix A.1; result: target irrelevant (see §8.1)</w:t>
            </w:r>
          </w:p>
        </w:tc>
      </w:tr>
      <w:tr w:rsidR="005261A3" w14:paraId="7D2825F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42ADA9" w14:textId="77777777" w:rsidR="005261A3" w:rsidRDefault="00000000">
            <w:r>
              <w:rPr>
                <w:sz w:val="18"/>
                <w:szCs w:val="18"/>
              </w:rPr>
              <w:t>Stale threshold</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0CDCE0" w14:textId="77777777" w:rsidR="005261A3" w:rsidRDefault="00000000">
            <w:r>
              <w:rPr>
                <w:sz w:val="18"/>
                <w:szCs w:val="18"/>
              </w:rPr>
              <w:t>30%</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244DC" w14:textId="77777777" w:rsidR="005261A3" w:rsidRDefault="00000000">
            <w:r>
              <w:rPr>
                <w:sz w:val="18"/>
                <w:szCs w:val="18"/>
              </w:rPr>
              <w:t>50% (project suggestion)</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986A57" w14:textId="77777777" w:rsidR="005261A3" w:rsidRDefault="00000000">
            <w:r>
              <w:rPr>
                <w:sz w:val="18"/>
                <w:szCs w:val="18"/>
              </w:rPr>
              <w:t>Per teacher's instruction; stronger illiquidity filter</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344AD7" w14:textId="77777777" w:rsidR="005261A3" w:rsidRDefault="00000000">
            <w:r>
              <w:rPr>
                <w:sz w:val="18"/>
                <w:szCs w:val="18"/>
              </w:rPr>
              <w:t>Report sensitivity</w:t>
            </w:r>
          </w:p>
        </w:tc>
      </w:tr>
      <w:tr w:rsidR="005261A3" w14:paraId="68D7DC3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468646" w14:textId="77777777" w:rsidR="005261A3" w:rsidRDefault="00000000">
            <w:r>
              <w:rPr>
                <w:sz w:val="18"/>
                <w:szCs w:val="18"/>
              </w:rPr>
              <w:t>Delisting returns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99EECB" w14:textId="77777777" w:rsidR="005261A3" w:rsidRDefault="00000000">
            <w:r>
              <w:rPr>
                <w:sz w:val="18"/>
                <w:szCs w:val="18"/>
              </w:rPr>
              <w:t>-100% including OOS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6AA089" w14:textId="77777777" w:rsidR="005261A3" w:rsidRDefault="00000000">
            <w:r>
              <w:rPr>
                <w:sz w:val="18"/>
                <w:szCs w:val="18"/>
              </w:rPr>
              <w:t>-100% only in estimation window</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9D89DA" w14:textId="77777777" w:rsidR="005261A3" w:rsidRDefault="00000000">
            <w:r>
              <w:rPr>
                <w:sz w:val="18"/>
                <w:szCs w:val="18"/>
              </w:rPr>
              <w:t>Eliminates survivorship bias in OOS period</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BE4131" w14:textId="77777777" w:rsidR="005261A3" w:rsidRDefault="00000000">
            <w:r>
              <w:rPr>
                <w:sz w:val="18"/>
                <w:szCs w:val="18"/>
              </w:rPr>
              <w:t>None</w:t>
            </w:r>
          </w:p>
        </w:tc>
      </w:tr>
      <w:tr w:rsidR="005261A3" w14:paraId="51AB523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2783D8" w14:textId="77777777" w:rsidR="005261A3" w:rsidRDefault="00000000">
            <w:r>
              <w:rPr>
                <w:sz w:val="18"/>
                <w:szCs w:val="18"/>
              </w:rPr>
              <w:t>OOS missing returns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F9BDD9" w14:textId="77777777" w:rsidR="005261A3" w:rsidRDefault="00000000">
            <w:r>
              <w:rPr>
                <w:sz w:val="18"/>
                <w:szCs w:val="18"/>
              </w:rPr>
              <w:t>Delisting-aware fill (fill_oos_returns)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F51981" w14:textId="77777777" w:rsidR="005261A3" w:rsidRDefault="00000000">
            <w:r>
              <w:rPr>
                <w:sz w:val="18"/>
                <w:szCs w:val="18"/>
              </w:rPr>
              <w:t>Blind fillna(0)</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E04460" w14:textId="77777777" w:rsidR="005261A3" w:rsidRDefault="00000000">
            <w:r>
              <w:rPr>
                <w:sz w:val="18"/>
                <w:szCs w:val="18"/>
              </w:rPr>
              <w:t>Distinguishes suspension from delisting</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AC00E6" w14:textId="77777777" w:rsidR="005261A3" w:rsidRDefault="00000000">
            <w:r>
              <w:rPr>
                <w:sz w:val="18"/>
                <w:szCs w:val="18"/>
              </w:rPr>
              <w:t>None</w:t>
            </w:r>
          </w:p>
        </w:tc>
      </w:tr>
      <w:tr w:rsidR="005261A3" w14:paraId="670D4CC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7DFFF1" w14:textId="77777777" w:rsidR="005261A3" w:rsidRDefault="00000000">
            <w:r>
              <w:rPr>
                <w:sz w:val="18"/>
                <w:szCs w:val="18"/>
              </w:rPr>
              <w:t>Optimiser</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D092F8" w14:textId="77777777" w:rsidR="005261A3" w:rsidRDefault="00000000">
            <w:r>
              <w:rPr>
                <w:sz w:val="18"/>
                <w:szCs w:val="18"/>
              </w:rPr>
              <w:t>SLSQP with analytical Jacobian</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A32CCE" w14:textId="77777777" w:rsidR="005261A3" w:rsidRDefault="00000000">
            <w:r>
              <w:rPr>
                <w:sz w:val="18"/>
                <w:szCs w:val="18"/>
              </w:rPr>
              <w:t>cvxpy / quadprog</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FAA636" w14:textId="77777777" w:rsidR="005261A3" w:rsidRDefault="00000000">
            <w:r>
              <w:rPr>
                <w:sz w:val="18"/>
                <w:szCs w:val="18"/>
              </w:rPr>
              <w:t>Sufficient for QP with inequality constraints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C75B7A" w14:textId="77777777" w:rsidR="005261A3" w:rsidRDefault="00000000">
            <w:r>
              <w:rPr>
                <w:sz w:val="18"/>
                <w:szCs w:val="18"/>
              </w:rPr>
              <w:t>None</w:t>
            </w:r>
          </w:p>
        </w:tc>
      </w:tr>
      <w:tr w:rsidR="005261A3" w14:paraId="13441E3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4873D9" w14:textId="77777777" w:rsidR="005261A3" w:rsidRDefault="00000000">
            <w:r>
              <w:rPr>
                <w:sz w:val="18"/>
                <w:szCs w:val="18"/>
              </w:rPr>
              <w:t>Weight bounds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910CB8" w14:textId="77777777" w:rsidR="005261A3" w:rsidRDefault="00000000">
            <w:r>
              <w:rPr>
                <w:sz w:val="18"/>
                <w:szCs w:val="18"/>
              </w:rPr>
              <w:t>[0, None]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A1D438" w14:textId="77777777" w:rsidR="005261A3" w:rsidRDefault="00000000">
            <w:r>
              <w:rPr>
                <w:sz w:val="18"/>
                <w:szCs w:val="18"/>
              </w:rPr>
              <w:t>[0, 0.05] or [0, 0.10]</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575F55" w14:textId="77777777" w:rsidR="005261A3" w:rsidRDefault="00000000">
            <w:r>
              <w:rPr>
                <w:sz w:val="18"/>
                <w:szCs w:val="18"/>
              </w:rPr>
              <w:t>Matches project specification</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10471" w14:textId="77777777" w:rsidR="005261A3" w:rsidRDefault="00000000">
            <w:r>
              <w:rPr>
                <w:sz w:val="18"/>
                <w:szCs w:val="18"/>
              </w:rPr>
              <w:t>Discuss concentration</w:t>
            </w:r>
          </w:p>
        </w:tc>
      </w:tr>
      <w:tr w:rsidR="005261A3" w14:paraId="2D433B5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491D65" w14:textId="77777777" w:rsidR="005261A3" w:rsidRDefault="00000000">
            <w:r>
              <w:rPr>
                <w:sz w:val="18"/>
                <w:szCs w:val="18"/>
              </w:rPr>
              <w:t>RF treatment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F9829D" w14:textId="77777777" w:rsidR="005261A3" w:rsidRDefault="00000000">
            <w:r>
              <w:rPr>
                <w:sz w:val="18"/>
                <w:szCs w:val="18"/>
              </w:rPr>
              <w:t>Monthly % / 100, annualised via 12 × mean</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146920" w14:textId="77777777" w:rsidR="005261A3" w:rsidRDefault="00000000">
            <w:r>
              <w:rPr>
                <w:sz w:val="18"/>
                <w:szCs w:val="18"/>
              </w:rPr>
              <w:t>Compound (1+r_m)^12 - 1 (would be wrong here)</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11AAEC" w14:textId="77777777" w:rsidR="005261A3" w:rsidRDefault="00000000">
            <w:r>
              <w:rPr>
                <w:sz w:val="18"/>
                <w:szCs w:val="18"/>
              </w:rPr>
              <w:t>Matches Fama-French convention; consistent with portfolio return annualisation</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D6DF59" w14:textId="77777777" w:rsidR="005261A3" w:rsidRDefault="00000000">
            <w:r>
              <w:rPr>
                <w:sz w:val="18"/>
                <w:szCs w:val="18"/>
              </w:rPr>
              <w:t>None</w:t>
            </w:r>
          </w:p>
        </w:tc>
      </w:tr>
      <w:tr w:rsidR="005261A3" w14:paraId="2CEF024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484290" w14:textId="77777777" w:rsidR="005261A3" w:rsidRDefault="00000000">
            <w:r>
              <w:rPr>
                <w:sz w:val="18"/>
                <w:szCs w:val="18"/>
              </w:rPr>
              <w:t>Vol estimator</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E4C80" w14:textId="77777777" w:rsidR="005261A3" w:rsidRDefault="00000000">
            <w:r>
              <w:rPr>
                <w:sz w:val="18"/>
                <w:szCs w:val="18"/>
              </w:rPr>
              <w:t>1/(T-1) ex-post, 1/T for covariance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39C18F" w14:textId="77777777" w:rsidR="005261A3" w:rsidRDefault="00000000">
            <w:r>
              <w:rPr>
                <w:sz w:val="18"/>
                <w:szCs w:val="18"/>
              </w:rPr>
              <w:t>Consistent 1/T everywhere</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C37CEB" w14:textId="77777777" w:rsidR="005261A3" w:rsidRDefault="00000000">
            <w:r>
              <w:rPr>
                <w:sz w:val="18"/>
                <w:szCs w:val="18"/>
              </w:rPr>
              <w:t>Follows each source formula</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9C0169" w14:textId="77777777" w:rsidR="005261A3" w:rsidRDefault="00000000">
            <w:r>
              <w:rPr>
                <w:sz w:val="18"/>
                <w:szCs w:val="18"/>
              </w:rPr>
              <w:t>Minor inconsistency</w:t>
            </w:r>
          </w:p>
        </w:tc>
      </w:tr>
    </w:tbl>
    <w:p w14:paraId="11AA0001" w14:textId="77777777" w:rsidR="005261A3" w:rsidRDefault="005261A3">
      <w:pPr>
        <w:spacing w:after="120"/>
      </w:pPr>
    </w:p>
    <w:p w14:paraId="11AA0002" w14:textId="77777777" w:rsidR="005261A3" w:rsidRDefault="00000000">
      <w:pPr>
        <w:pStyle w:val="Heading1"/>
      </w:pPr>
      <w:r>
        <w:t>8.1 Robustness Checks on the TE-Min Estimator (Section 3.3)</w:t>
      </w:r>
    </w:p>
    <w:p w14:paraId="11AA0003" w14:textId="77777777" w:rsidR="005261A3" w:rsidRDefault="005261A3">
      <w:pPr>
        <w:spacing w:after="120"/>
      </w:pPr>
      <w:r>
        <w:t xml:space="preserve">The single-pass TE-min results in Section 3.3 of the findings document show a 16× ratio between mean ex-ante annualised tracking error (0.05%) and realised tracking error (0.80%) for </w:t>
      </w:r>
      <w:r>
        <w:rPr>
          <w:i/>
          <w:iCs/>
        </w:rPr>
        <w:t>P^(vw)_oos(0.5)</w:t>
      </w:r>
      <w:r>
        <w:t xml:space="preserve">. We diagnose the source of this gap with three complementary checks. Full results, tables, and replication code are reported in Appendix A of the findings document.</w:t>
      </w:r>
    </w:p>
    <w:p w14:paraId="11AA0004" w14:textId="77777777" w:rsidR="005261A3" w:rsidRDefault="005261A3">
      <w:pPr>
        <w:spacing w:after="120"/>
      </w:pPr>
      <w:r>
        <w:rPr>
          <w:b/>
          <w:bCs/>
        </w:rPr>
        <w:t xml:space="preserve">A.1 Single-index shrinkage. </w:t>
      </w:r>
      <w:r>
        <w:t xml:space="preserve">Section 3.3 was re-run end-to-end with a single-index Ledoit–Wolf target (LW-SI), where the index is the value-weighted benchmark used in the optimisation. The OAS-style intensity formula is held constant across LW-CC and LW-SI to isolate the effect of target structure. Result: realised performance is essentially invariant (IR moves from -0.407 to -0.412; top-10 cuts overlap 9-10 of 10 every year), and the ex-ante / realised ratio actually rises slightly (15.6× → 16.7×). The shrinkage target is therefore not the source of the gap. Mechanism: the active vector is dollar-neutral by construction and has near-zero loading on the market eigendirection that LW-SI preserves.</w:t>
      </w:r>
    </w:p>
    <w:p w14:paraId="11AA0005" w14:textId="77777777" w:rsidR="005261A3" w:rsidRDefault="005261A3">
      <w:pPr>
        <w:spacing w:after="120"/>
      </w:pPr>
      <w:r>
        <w:rPr>
          <w:b/>
          <w:bCs/>
        </w:rPr>
        <w:t xml:space="preserve">A.2 Realised factor attribution. </w:t>
      </w:r>
      <w:r>
        <w:t xml:space="preserve">Eigendecomposition of the realised covariance shows that the active vector loads on diffuse non-market eigendirections that are underpriced by Σ_LW by factors of 3 to 5. A cross-sectional regression confirms the active vector is structured along the carbon-intensity axis (mean correlation -0.45 with the winsorised CI z-score; region dummies add no incremental R²). This is the canonical alpha–Σ misalignment problem (Lee &amp; Stefek 2008): with T = 120 monthly observations and N ≈ 550 firms, the sample covariance has at least 420 near-zero eigenvalues and the constraint pushes the optimiser onto directions the risk model does not see. This is the residual model error that any sample-based estimator at this T/N regime would exhibit.</w:t>
      </w:r>
    </w:p>
    <w:p w14:paraId="11AA0006" w14:textId="77777777" w:rsidR="005261A3" w:rsidRDefault="005261A3">
      <w:pPr>
        <w:spacing w:after="120"/>
      </w:pPr>
      <w:r>
        <w:rPr>
          <w:b/>
          <w:bCs/>
        </w:rPr>
        <w:t xml:space="preserve">A.3 Apples-to-apples benchmark consistency. </w:t>
      </w:r>
      <w:r>
        <w:t xml:space="preserve">The dominant driver of the 16× gap is a methodological asymmetry inherited from the project specification. The optimisation in §3.3 minimises a static-weight tracking error against the annual benchmark vector w_vw,Y, but the realised TE is evaluated against the monthly cap-weighted benchmark prescribed in §2.3 of the project. Re-evaluating realised TE against a drift-matched (annually-rebalanced) value-weighted benchmark drops the realised TE from 0.797% to 0.238% and the ex-ante / realised ratio from 15.6× to 4.7×. The active return drops from -0.32%/year to -0.08%/year. The two convention paths differ by 0.833% in annualised standard deviation, which is the baseline TE that any annually-rebalanced portfolio incurs against the monthly-rebalanced value-weighted index, regardless of any carbon constraint.</w:t>
      </w:r>
    </w:p>
    <w:p w14:paraId="11AA0007" w14:textId="77777777" w:rsidR="005261A3" w:rsidRDefault="005261A3">
      <w:pPr>
        <w:spacing w:after="120"/>
      </w:pPr>
      <w:r>
        <w:rPr>
          <w:b/>
          <w:bCs/>
        </w:rPr>
        <w:t xml:space="preserve">Variance decomposition. </w:t>
      </w:r>
      <w:r>
        <w:t xml:space="preserve">Treating the two effects as approximately independent, the realised active variance decomposes as TE²_total ≈ TE²_factor + TE²_convention, or 0.797² ≈ 0.238² + 0.760². Approximately 91% of the apparent variance gap is attributable to the static-vs-monthly benchmark asymmetry; the residual 9% is genuine factor mis-pricing in Σ_LW. The qualitative findings of §3.3 (composition stability, sign of IR, identity of cut firms) are unchanged under both interpretations.</w:t>
      </w:r>
    </w:p>
    <w:p w14:paraId="11AA0008" w14:textId="77777777" w:rsidR="005261A3" w:rsidRDefault="005261A3">
      <w:pPr>
        <w:spacing w:after="120"/>
      </w:pPr>
      <w:r>
        <w:rPr>
          <w:b/>
          <w:bCs/>
        </w:rPr>
        <w:t xml:space="preserve">Reporting convention. </w:t>
      </w:r>
      <w:r>
        <w:t xml:space="preserve">The findings document reports the project-spec numbers in Sections 5 and 6 (IR = -0.41) for compliance with the prescribed evaluation methodology, and the apples-to-apples comparison in Appendix A (IR = -0.35). Either modification recommended in A.4 — reformulating §3.3 as a monthly-rebalanced problem, or replacing LW with a designed factor risk model with explicit sector and CI factor blocks — would deliver a tighter ex-ante TE forecast; the qualitative cost-of-decarbonisation conclusion is robust to neither modification mattering.</w:t>
      </w:r>
    </w:p>
    <w:p w14:paraId="1CF5C26E" w14:textId="77777777" w:rsidR="005261A3" w:rsidRDefault="00000000">
      <w:pPr>
        <w:pStyle w:val="Heading1"/>
      </w:pPr>
      <w:r>
        <w:t>9. References</w:t>
      </w:r>
    </w:p>
    <w:p w14:paraId="1B30C3E4" w14:textId="77777777" w:rsidR="005261A3" w:rsidRDefault="00000000">
      <w:pPr>
        <w:spacing w:before="60" w:after="60"/>
        <w:ind w:left="360" w:hanging="360"/>
      </w:pPr>
      <w:r>
        <w:rPr>
          <w:sz w:val="20"/>
          <w:szCs w:val="20"/>
        </w:rPr>
        <w:t>Chen, Y., Wiesel, A., Eldar, Y. &amp; Hero, A. (2010). Shrinkage Algorithms for MMSE Covariance Estimation. IEEE Transactions on Signal Processing, 58(10), 5016-5029.</w:t>
      </w:r>
    </w:p>
    <w:p w14:paraId="38D7B1B5" w14:textId="77777777" w:rsidR="005261A3" w:rsidRDefault="00000000">
      <w:pPr>
        <w:spacing w:before="60" w:after="60"/>
        <w:ind w:left="360" w:hanging="360"/>
      </w:pPr>
      <w:r>
        <w:rPr>
          <w:sz w:val="20"/>
          <w:szCs w:val="20"/>
        </w:rPr>
        <w:t>Jagannathan, R. &amp; Ma, T. (2003). Risk Reduction in Large Portfolios: Why Imposing the Wrong Constraints Helps. Journal of Finance, 58(4), 1651-1684.</w:t>
      </w:r>
    </w:p>
    <w:p w14:paraId="45C94937" w14:textId="77777777" w:rsidR="005261A3" w:rsidRDefault="00000000">
      <w:pPr>
        <w:spacing w:before="60" w:after="60"/>
        <w:ind w:left="360" w:hanging="360"/>
      </w:pPr>
      <w:r>
        <w:rPr>
          <w:sz w:val="20"/>
          <w:szCs w:val="20"/>
        </w:rPr>
        <w:t>Jondeau, E. (2026). SAAM Project: Portfolio Allocation with a Carbon Objective. Universite de Lausanne, HEC.</w:t>
      </w:r>
    </w:p>
    <w:p w14:paraId="560AA25D" w14:textId="77777777" w:rsidR="005261A3" w:rsidRDefault="00000000">
      <w:pPr>
        <w:spacing w:before="60" w:after="60"/>
        <w:ind w:left="360" w:hanging="360"/>
      </w:pPr>
      <w:r>
        <w:rPr>
          <w:sz w:val="20"/>
          <w:szCs w:val="20"/>
        </w:rPr>
        <w:t>Jondeau, E. (2026). Lecture 5: Investment Project. Universite de Lausanne, HEC.</w:t>
      </w:r>
    </w:p>
    <w:p w14:paraId="7103AC63" w14:textId="77777777" w:rsidR="005261A3" w:rsidRDefault="00000000">
      <w:pPr>
        <w:spacing w:before="60" w:after="60"/>
        <w:ind w:left="360" w:hanging="360"/>
      </w:pPr>
      <w:r>
        <w:rPr>
          <w:sz w:val="20"/>
          <w:szCs w:val="20"/>
        </w:rPr>
        <w:t>Ledoit, O. &amp; Wolf, M. (2003). Honey, I Shrunk the Sample Covariance Matrix. Journal of Portfolio Management, 30(4), 110-119.</w:t>
      </w:r>
    </w:p>
    <w:p w14:paraId="34F953AB" w14:textId="77777777" w:rsidR="005261A3" w:rsidRDefault="00000000">
      <w:pPr>
        <w:spacing w:before="60" w:after="60"/>
        <w:ind w:left="360" w:hanging="360"/>
      </w:pPr>
      <w:r>
        <w:rPr>
          <w:sz w:val="20"/>
          <w:szCs w:val="20"/>
        </w:rPr>
        <w:t>Ledoit, O. &amp; Wolf, M. (2004). A well-conditioned estimator for large-dimensional covariance matrices. Journal of Multivariate Analysis, 88(2), 365-411.</w:t>
      </w:r>
    </w:p>
    <w:p w14:paraId="5C0B8AC8" w14:textId="77777777" w:rsidR="005261A3" w:rsidRDefault="00000000">
      <w:pPr>
        <w:spacing w:before="60" w:after="60"/>
        <w:ind w:left="360" w:hanging="360"/>
      </w:pPr>
      <w:r>
        <w:rPr>
          <w:sz w:val="20"/>
          <w:szCs w:val="20"/>
        </w:rPr>
        <w:t>Lesmond, D., Ogden, J. &amp; Trzcinka, C. (1999). A New Estimate of Transaction Costs. Review of Financial Studies, 12(5), 1113-1141.</w:t>
      </w:r>
    </w:p>
    <w:p w14:paraId="41D7F552" w14:textId="77777777" w:rsidR="005261A3" w:rsidRDefault="00000000">
      <w:pPr>
        <w:spacing w:before="60" w:after="60"/>
        <w:ind w:left="360" w:hanging="360"/>
      </w:pPr>
      <w:r>
        <w:rPr>
          <w:sz w:val="20"/>
          <w:szCs w:val="20"/>
        </w:rPr>
        <w:t>Shumway, T. (1997). The Delisting Bias in CRSP Data. Journal of Finance, 52(1), 327-340.</w:t>
      </w:r>
    </w:p>
    <w:p w14:paraId="14EB1C64" w14:textId="77777777" w:rsidR="005261A3" w:rsidRDefault="00000000">
      <w:pPr>
        <w:spacing w:before="60" w:after="60"/>
        <w:ind w:left="360" w:hanging="360"/>
      </w:pPr>
      <w:r>
        <w:rPr>
          <w:sz w:val="20"/>
          <w:szCs w:val="20"/>
        </w:rPr>
        <w:t>Stambaugh, R.F. (1997). Analyzing Investments Whose Histories Differ in Length. Journal of Financial Economics, 45(3), 285-331.</w:t>
      </w:r>
    </w:p>
    <w:sectPr w:rsidR="005261A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87DB4" w14:textId="77777777" w:rsidR="005B7874" w:rsidRDefault="005B7874">
      <w:r>
        <w:separator/>
      </w:r>
    </w:p>
  </w:endnote>
  <w:endnote w:type="continuationSeparator" w:id="0">
    <w:p w14:paraId="409674FE" w14:textId="77777777" w:rsidR="005B7874" w:rsidRDefault="005B7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299D6" w14:textId="77777777" w:rsidR="005261A3"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35E22">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35E22">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BB4C4" w14:textId="77777777" w:rsidR="005B7874" w:rsidRDefault="005B7874">
      <w:r>
        <w:separator/>
      </w:r>
    </w:p>
  </w:footnote>
  <w:footnote w:type="continuationSeparator" w:id="0">
    <w:p w14:paraId="1F93F0A2" w14:textId="77777777" w:rsidR="005B7874" w:rsidRDefault="005B78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1FBF" w14:textId="77777777" w:rsidR="005261A3" w:rsidRDefault="00000000">
    <w:pPr>
      <w:jc w:val="right"/>
    </w:pPr>
    <w:r>
      <w:rPr>
        <w:color w:val="595959"/>
        <w:sz w:val="18"/>
        <w:szCs w:val="18"/>
      </w:rPr>
      <w:t>SAAM 2026 — Methodology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B6598"/>
    <w:multiLevelType w:val="hybridMultilevel"/>
    <w:tmpl w:val="85325AA6"/>
    <w:lvl w:ilvl="0" w:tplc="1DFE1EC0">
      <w:start w:val="1"/>
      <w:numFmt w:val="bullet"/>
      <w:lvlText w:val="●"/>
      <w:lvlJc w:val="left"/>
      <w:pPr>
        <w:ind w:left="720" w:hanging="360"/>
      </w:pPr>
    </w:lvl>
    <w:lvl w:ilvl="1" w:tplc="28B4D6AE">
      <w:start w:val="1"/>
      <w:numFmt w:val="bullet"/>
      <w:lvlText w:val="○"/>
      <w:lvlJc w:val="left"/>
      <w:pPr>
        <w:ind w:left="1440" w:hanging="360"/>
      </w:pPr>
    </w:lvl>
    <w:lvl w:ilvl="2" w:tplc="52DAF742">
      <w:start w:val="1"/>
      <w:numFmt w:val="bullet"/>
      <w:lvlText w:val="■"/>
      <w:lvlJc w:val="left"/>
      <w:pPr>
        <w:ind w:left="2160" w:hanging="360"/>
      </w:pPr>
    </w:lvl>
    <w:lvl w:ilvl="3" w:tplc="2BCA589A">
      <w:start w:val="1"/>
      <w:numFmt w:val="bullet"/>
      <w:lvlText w:val="●"/>
      <w:lvlJc w:val="left"/>
      <w:pPr>
        <w:ind w:left="2880" w:hanging="360"/>
      </w:pPr>
    </w:lvl>
    <w:lvl w:ilvl="4" w:tplc="90383484">
      <w:start w:val="1"/>
      <w:numFmt w:val="bullet"/>
      <w:lvlText w:val="○"/>
      <w:lvlJc w:val="left"/>
      <w:pPr>
        <w:ind w:left="3600" w:hanging="360"/>
      </w:pPr>
    </w:lvl>
    <w:lvl w:ilvl="5" w:tplc="1C8C7A86">
      <w:start w:val="1"/>
      <w:numFmt w:val="bullet"/>
      <w:lvlText w:val="■"/>
      <w:lvlJc w:val="left"/>
      <w:pPr>
        <w:ind w:left="4320" w:hanging="360"/>
      </w:pPr>
    </w:lvl>
    <w:lvl w:ilvl="6" w:tplc="0032C462">
      <w:start w:val="1"/>
      <w:numFmt w:val="bullet"/>
      <w:lvlText w:val="●"/>
      <w:lvlJc w:val="left"/>
      <w:pPr>
        <w:ind w:left="5040" w:hanging="360"/>
      </w:pPr>
    </w:lvl>
    <w:lvl w:ilvl="7" w:tplc="9348AC42">
      <w:start w:val="1"/>
      <w:numFmt w:val="bullet"/>
      <w:lvlText w:val="●"/>
      <w:lvlJc w:val="left"/>
      <w:pPr>
        <w:ind w:left="5760" w:hanging="360"/>
      </w:pPr>
    </w:lvl>
    <w:lvl w:ilvl="8" w:tplc="0CF8F1B6">
      <w:start w:val="1"/>
      <w:numFmt w:val="bullet"/>
      <w:lvlText w:val="●"/>
      <w:lvlJc w:val="left"/>
      <w:pPr>
        <w:ind w:left="6480" w:hanging="360"/>
      </w:pPr>
    </w:lvl>
  </w:abstractNum>
  <w:num w:numId="1" w16cid:durableId="1305156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1A3"/>
    <w:rsid w:val="001C6586"/>
    <w:rsid w:val="005261A3"/>
    <w:rsid w:val="005B7874"/>
    <w:rsid w:val="00860099"/>
    <w:rsid w:val="008D6164"/>
    <w:rsid w:val="00D35E2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C0DCC"/>
  <w15:docId w15:val="{B90CB8E8-13BD-4835-BBCB-44D63AE12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H" w:eastAsia="en-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unhideWhenUsed/>
    <w:qFormat/>
    <w:pPr>
      <w:spacing w:before="240" w:after="120"/>
      <w:outlineLvl w:val="1"/>
    </w:pPr>
    <w:rPr>
      <w:b/>
      <w:bCs/>
      <w:color w:val="2E5496"/>
      <w:sz w:val="26"/>
      <w:szCs w:val="26"/>
    </w:rPr>
  </w:style>
  <w:style w:type="paragraph" w:styleId="Heading3">
    <w:name w:val="heading 3"/>
    <w:uiPriority w:val="9"/>
    <w:semiHidden/>
    <w:unhideWhenUsed/>
    <w:qFormat/>
    <w:pPr>
      <w:spacing w:before="180" w:after="100"/>
      <w:outlineLvl w:val="2"/>
    </w:pPr>
    <w:rPr>
      <w:b/>
      <w:bCs/>
      <w:color w:val="2E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10</Pages>
  <Words>3649</Words>
  <Characters>20804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SAAM 2026 — Methodology Document</vt:lpstr>
    </vt:vector>
  </TitlesOfParts>
  <Company/>
  <LinksUpToDate>false</LinksUpToDate>
  <CharactersWithSpaces>24405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SAAM 2026 — Methodology Document</dc:title>
  <dc:creator>SAAM Project Team</dc:creator>
  <cp:lastModifiedBy>Mustafa Ahmed</cp:lastModifiedBy>
  <cp:revision>3</cp:revision>
  <dcterms:created xsi:type="dcterms:W3CDTF">2026-04-29T09:04:00Z</dcterms:created>
  <dcterms:modified xsi:type="dcterms:W3CDTF">2026-05-05T17:29:00Z</dcterms:modified>
</cp:coreProperties>
</file>