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 A</w:t>
      </w:r>
    </w:p>
    <w:p>
      <w:pPr>
        <w:spacing w:after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Robustness Checks on §3.3 — Tracking-Error Minimization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Section 9 of the main report flags a 16× ratio between ex-ante and realized tracking error for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P^(vw)_oos(0.5)</w:t>
      </w:r>
      <w:r>
        <w:rPr>
          <w:rFonts w:ascii="Arial" w:cs="Arial" w:eastAsia="Arial" w:hAnsi="Arial"/>
          <w:sz w:val="22"/>
          <w:szCs w:val="22"/>
        </w:rPr>
        <w:t xml:space="preserve">. This appendix tests whether that ratio reflects an estimator-level flaw, a structural alpha-Σ misalignment, or a methodological asymmetry in the project specification. Three diagnostics are reported. The headline finding is that approximately 91% of the apparent ex-ante / realized variance gap is attributable to the asymmetry between the static-weight optimization objective and the monthly-cap-weighted benchmark formula prescribed in §2.3 of the project; the residual ~9% reflects genuine factor mis-pricing in Σ_LW.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A.1 — Single-Index Shrinkage as a Robustness Check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constant-correlation Ledoit–Wolf target (LW-CC) used in the main analysis preserves a single rho-bar correlation block. By construction, this target imposes no sectoral or systematic-factor structure. We re-ran §3.3 in full with a single-index target (LW-SI) where the market portfolio is the value-weighted benchmark used in the optimization. The single-index target preserves the dominant systematic axis explicitly. We also report results for the pure pairwise-complete sample covariance (no shrinkage) as a lower bound. To isolate the effect of target structure, we hold the shrinkage intensity formula constant across LW-CC and LW-SI (OAS-style) rather than implementing the proper LW (2003) single-index intensity, which would require fourth-moment summations. This is a deliberate scope choice and is acknowledged.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Table A.1 reports the comparison.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Table A.1. P^(vw)_oos(0.5) under three covariance estimators, 2014–2025.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LW-CC (main)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LW-SI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Sample (δ=0)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Mean ex-ante TE (% ann.)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0.051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0.048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Realized TE (% ann.)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0.797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0.796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Realized AR (%/year)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−0.325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−0.330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Information ratio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−0.407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−0.412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Ex-ante / realized ratio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15.6×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16.7×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Top-10 cuts overlap with LW-CC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9–10 / 10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shrinkage target is irrelevant for this problem. The realized performance, the active vector composition, and even the ex-ante / realized ratio are essentially invariant across LW-CC and LW-SI. Two reasons explain this. First, the active vector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w_a = α* − w_vw</w:t>
      </w:r>
      <w:r>
        <w:rPr>
          <w:rFonts w:ascii="Arial" w:cs="Arial" w:eastAsia="Arial" w:hAnsi="Arial"/>
          <w:sz w:val="22"/>
          <w:szCs w:val="22"/>
        </w:rPr>
        <w:t xml:space="preserve"> is dollar-neutral by construction, so it has near-zero loading on the market eigendirection that LW-SI preserves. Second, the OAS-style intensity at this T/N regime delivers a low δ (≈ 0.06 in 2018), which leaves both estimators 94% pairwise-complete sample covariance with only the ridge-direction differing. These results rule out the shrinkage target as the source of the ex-ante / realized gap and motivate the deeper diagnostics in A.2 and A.3.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A.2 — Realized Factor Attribution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We test whether the active vector loads on eigendirections that Σ_LW underprices. For a representative year (Y = 2018), we eigendecompose the raw pairwise-complete sample covariance and project the active vector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w_a</w:t>
      </w:r>
      <w:r>
        <w:rPr>
          <w:rFonts w:ascii="Arial" w:cs="Arial" w:eastAsia="Arial" w:hAnsi="Arial"/>
          <w:sz w:val="22"/>
          <w:szCs w:val="22"/>
        </w:rPr>
        <w:t xml:space="preserve"> onto the eigenbasis. The result is unambiguous: 38% of the squared loading mass sits in the bottom 20% of eigenvalues (numerical null space and finite-sample noise) and 0% sits in the top 20%. The quadratic form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w_a' Σ_sample w_a</w:t>
      </w:r>
      <w:r>
        <w:rPr>
          <w:rFonts w:ascii="Arial" w:cs="Arial" w:eastAsia="Arial" w:hAnsi="Arial"/>
          <w:sz w:val="22"/>
          <w:szCs w:val="22"/>
        </w:rPr>
        <w:t xml:space="preserve"> is negative (−7.5×10⁻⁹) before PSD repair, indicating the active direction projects predominantly onto the unidentified part of the spectrum. This is the canonical alpha-Σ misalignment problem (Lee &amp; Stefek 2008): when T = 120 &lt; N ≈ 550, the sample covariance has at least 420 near-zero eigenvalues and the optimization will load on whichever directions the constraints permit.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We then construct the realized factor structure from the OOS year (12 monthly returns of Y+1) and project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w_a</w:t>
      </w:r>
      <w:r>
        <w:rPr>
          <w:rFonts w:ascii="Arial" w:cs="Arial" w:eastAsia="Arial" w:hAnsi="Arial"/>
          <w:sz w:val="22"/>
          <w:szCs w:val="22"/>
        </w:rPr>
        <w:t xml:space="preserve"> onto its eigenbasis. Comparing with the same projection under Σ_LW gives Table A.2.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Table A.2. Top realized eigendirections, Y=2018. Columns show the variance assigned to each direction by realized vs. ex-ante Σ_LW, the Herfindahl-equivalent N (1/Σv⁴), and the percent of the active variance the direction explains.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1500"/>
        <w:gridCol w:w="900"/>
        <w:gridCol w:w="1200"/>
        <w:gridCol w:w="1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σ_real (% ann.)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σ_LW (% ann.)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Understatement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Eff. 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% of active var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423.7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431.9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1.0×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factor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48.0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221.9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4.3×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few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207.1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52.8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3.9×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factor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188.9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2.8×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factor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184.1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4.3×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few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4.6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market eigendirection (k=1) is correctly priced by Σ_LW because both LW-CC and LW-SI preserve a market-like axis, and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w_a</w:t>
      </w:r>
      <w:r>
        <w:rPr>
          <w:rFonts w:ascii="Arial" w:cs="Arial" w:eastAsia="Arial" w:hAnsi="Arial"/>
          <w:sz w:val="22"/>
          <w:szCs w:val="22"/>
        </w:rPr>
        <w:t xml:space="preserve"> has small loading on it. The next eigendirections, which are diffuse non-market factors, carry meaningful active variance and are underpriced by Σ_LW by factors of 3–5×. The Herfindahl-equivalent N values rule out single-stock dominance; these are real factors, not delisting events.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complementary regression confirms the active vector is structured along the carbon-intensity axis. Regressing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w_a</w:t>
      </w:r>
      <w:r>
        <w:rPr>
          <w:rFonts w:ascii="Arial" w:cs="Arial" w:eastAsia="Arial" w:hAnsi="Arial"/>
          <w:sz w:val="22"/>
          <w:szCs w:val="22"/>
        </w:rPr>
        <w:t xml:space="preserve"> cross-sectionally on a winsorized z-scored carbon intensity yields R² of 32.3%, 16.8%, and 14.8% in 2018, 2022, and 2024 respectively (correlation: −0.57, −0.41, −0.39). Adding region dummies adds essentially zero explanatory power. The active vector is a CI-driven tilt of moderate-to-strong magnitude (mean correlation −0.45 with CI), and Σ_LW does not encode the CI-axis structure.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A.3 — Apples-to-Apples Benchmark Consistency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diagnostic in A.2 explains a residual portion of the ex-ante / realized gap, but not its full magnitude. The dominant driver is a methodological asymmetry inherited from the project specification. The optimization problem in §3.3 is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static-weight </w:t>
      </w:r>
      <w:r>
        <w:rPr>
          <w:rFonts w:ascii="Arial" w:cs="Arial" w:eastAsia="Arial" w:hAnsi="Arial"/>
          <w:sz w:val="22"/>
          <w:szCs w:val="22"/>
        </w:rPr>
        <w:t xml:space="preserve">tracking-error minimization against the annual benchmark vector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w_vw,Y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min  (α_Y − w_vw,Y)' Σ_Y (α_Y − w_vw,Y)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realized benchmark used to evaluate this portfolio, however, is monthly cap-weighted: per §2.3 of the project specification,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R^(vw)_{t+1} = Σ_i w_{i,t} R_{i,t+1}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w_{i,t} = Cap_{i,t} / Σ_j Cap_{j,t}</w:t>
      </w:r>
      <w:r>
        <w:rPr>
          <w:rFonts w:ascii="Arial" w:cs="Arial" w:eastAsia="Arial" w:hAnsi="Arial"/>
          <w:sz w:val="22"/>
          <w:szCs w:val="22"/>
        </w:rPr>
        <w:t xml:space="preserve">. The optimized portfolio is annually rebalanced (drift only between rebalances), while the benchmark effectively rebalances monthly. These conventions describe different quantities, and the optimizer never had a chance to minimize the realized TE that the comparison produces.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We isolate the contribution of this asymmetry by re-evaluating realized TE against a drift-matched benchmark — a value-weighted portfolio that uses the same annual cap weights and the same drift convention as the optimized portfolio. The two benchmarks differ at construction by 0.833% in annualized standard deviation, which provides a baseline of TE that any annually-rebalanced portfolio incurs against the monthly-rebalanced VW, regardless of any carbon constraint. Table A.3 summarizes.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Table A.3. P^(vw)_oos(0.5) realized statistics under both benchmark conventions, 2014–2025.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vs P^(vw) (project spec)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vs P^(vw)_static (drift-matched)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Realized TE (% ann.)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0.238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Realized AR (% /year)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−0.325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−0.083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Information ratio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−0.407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−0.350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Ex-ante / realized TE ratio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15.6×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4.7×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Three points follow. First, 70% of the apparent realized TE disappears once the benchmark convention is matched to the optimization's static-weight assumption. The 4.7× residual ratio is consistent with finite-T estimation noise on top of the factor mis-pricing identified in A.2. Second, the −24 bp/year of the apparent −32 bp/year decarbonization cost is convention drag: any annually-rebalanced portfolio (carbon-constrained or not) pays it against a monthly-rebalanced benchmark. The carbon tilt itself contributes only −8 bp/year of return, statistically indistinguishable from zero. Third, the sanity check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w_a' Σ_real_full w_a ≈ Var(P^(vw)_oos(0.5) − P^(vw)_static)</w:t>
      </w:r>
      <w:r>
        <w:rPr>
          <w:rFonts w:ascii="Arial" w:cs="Arial" w:eastAsia="Arial" w:hAnsi="Arial"/>
          <w:sz w:val="22"/>
          <w:szCs w:val="22"/>
        </w:rPr>
        <w:t xml:space="preserve"> holds within ±15% per year and within 2% on aggregate, confirming the variance decomposition is internally consistent.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A.4 — Synthesis: Variance Decomposition of the Ex-Ante / Realized Gap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Combining A.1, A.2, and A.3 yields a clean variance decomposition. Treating the convention-mismatch and factor-mispricing components as approximately independent (justified by the near-zero correlation between the two benchmark differences and the active position), the realized active variance decomposes as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TE²_total ≈ TE²_factor + TE²_convention</w:t>
      </w:r>
      <w:r>
        <w:rPr>
          <w:rFonts w:ascii="Arial" w:cs="Arial" w:eastAsia="Arial" w:hAnsi="Arial"/>
          <w:sz w:val="22"/>
          <w:szCs w:val="22"/>
        </w:rPr>
        <w:t xml:space="preserve">, or 0.797² ≈ 0.238² + 0.760². The empirical 0.760% from A.3 closely matches the cross-benchmark vol of 0.833%, confirming the decomposition.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Table A.4. Decomposition of the apparent 16× ex-ante / realized TE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1500"/>
        <w:gridCol w:w="30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Component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TE contribution (% ann.)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Variance share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Factor mis-pricing (Σ_LW)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0.238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Active vector loads on bottom-spectrum eigendirections of Σ_LW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Benchmark convention mismatch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91%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Static-weight optimization vs monthly-cap-weighted benchmark (§2.3)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realized 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implication for the §3.3 results is conservative. The −0.41 information ratio and −32 bp/year active return reported in the main report are correct under the project's prescribed evaluation methodology. They overstate the genuine cost of decarbonization by approximately a factor of four. A consistent-methodology recomputation yields IR = −0.350 and AR = −0.083% per year — economically indistinguishable from zero, statistically indistinguishable from zero. The qualitative conclusions of §3.3 — that decarbonization is roughly free for the passive investor, that the same names get cut every year (Holcim, Heidelberg, RWE, ENEL, Maersk), and that the active position is constraint-driven rather than estimator-driven — are unchanged.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recommendations for future work. (i) Resolve the asymmetry at source by reformulating the optimization as a monthly-rebalanced problem, which would require a multi-period or rolling formulation with monthly Σ. (ii) Replace LW shrinkage with a designed factor risk model containing explicit sector and CI factor blocks, which would close the residual 4.7× ratio. Either modification would deliver a tighter ex-ante TE forecast; the qualitative cost-of-decarbonization finding is robust to neither modification mattering.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2026-05-06T13:15:29.503Z</dcterms:created>
  <dcterms:modified xsi:type="dcterms:W3CDTF">2026-05-06T13:15:29.503Z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