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Шехир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Установка git-flow(рис. 1)</w:t>
      </w:r>
    </w:p>
    <w:p>
      <w:pPr>
        <w:pStyle w:val="CaptionedFigure"/>
      </w:pPr>
      <w:bookmarkStart w:id="24" w:name="fig:001"/>
      <w:r>
        <w:drawing>
          <wp:inline>
            <wp:extent cx="5334000" cy="1323320"/>
            <wp:effectExtent b="0" l="0" r="0" t="0"/>
            <wp:docPr descr="Рис. 1: 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.</w:t>
      </w:r>
    </w:p>
    <w:p>
      <w:pPr>
        <w:pStyle w:val="CaptionedFigure"/>
      </w:pPr>
      <w:r>
        <w:drawing>
          <wp:inline>
            <wp:extent cx="5334000" cy="1028929"/>
            <wp:effectExtent b="0" l="0" r="0" t="0"/>
            <wp:docPr descr="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Установка Node.js (рис. 2)</w:t>
      </w:r>
    </w:p>
    <w:p>
      <w:pPr>
        <w:pStyle w:val="CaptionedFigure"/>
      </w:pPr>
      <w:bookmarkStart w:id="31" w:name="fig:002"/>
      <w:r>
        <w:drawing>
          <wp:inline>
            <wp:extent cx="5334000" cy="3390095"/>
            <wp:effectExtent b="0" l="0" r="0" t="0"/>
            <wp:docPr descr="Рис. 2: Установка node j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Установка node js</w:t>
      </w:r>
    </w:p>
    <w:p>
      <w:pPr>
        <w:pStyle w:val="CaptionedFigure"/>
      </w:pPr>
      <w:r>
        <w:drawing>
          <wp:inline>
            <wp:extent cx="5334000" cy="2860738"/>
            <wp:effectExtent b="0" l="0" r="0" t="0"/>
            <wp:docPr descr="Установка node j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node js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Общепринятые коммиты для помощи в форматировании коммитов.(рис. 3)</w:t>
      </w:r>
    </w:p>
    <w:p>
      <w:pPr>
        <w:pStyle w:val="CaptionedFigure"/>
      </w:pPr>
      <w:bookmarkStart w:id="38" w:name="fig:003"/>
      <w:r>
        <w:drawing>
          <wp:inline>
            <wp:extent cx="5334000" cy="406697"/>
            <wp:effectExtent b="0" l="0" r="0" t="0"/>
            <wp:docPr descr="Рис. 3: .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3: .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программа для помощи в создании логов(рис. 4)</w:t>
      </w:r>
    </w:p>
    <w:p>
      <w:pPr>
        <w:pStyle w:val="CaptionedFigure"/>
      </w:pPr>
      <w:bookmarkStart w:id="42" w:name="fig:004"/>
      <w:r>
        <w:drawing>
          <wp:inline>
            <wp:extent cx="5334000" cy="2218900"/>
            <wp:effectExtent b="0" l="0" r="0" t="0"/>
            <wp:docPr descr="Рис. 4: Инициализируем хранилище: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Инициализируем хранилище:</w:t>
      </w:r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Создаем репозиторий на GitHub. Для примера назовём его git-extended. (рис. 5)</w:t>
      </w:r>
    </w:p>
    <w:p>
      <w:pPr>
        <w:pStyle w:val="CaptionedFigure"/>
      </w:pPr>
      <w:bookmarkStart w:id="46" w:name="fig:005"/>
      <w:r>
        <w:drawing>
          <wp:inline>
            <wp:extent cx="5334000" cy="2912818"/>
            <wp:effectExtent b="0" l="0" r="0" t="0"/>
            <wp:docPr descr="Рис. 5: структура git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структура git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Делаем первый коммит и выкладываем на github: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50" w:name="fig:006"/>
      <w:r>
        <w:drawing>
          <wp:inline>
            <wp:extent cx="5334000" cy="130280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Конфигурация для пакетов Node.js(рис.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54" w:name="fig:007"/>
      <w:r>
        <w:drawing>
          <wp:inline>
            <wp:extent cx="5334000" cy="210664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Сконфигурим формат коммитов. Для этого добавим в файл package.json команду для формирования коммитов:(рис.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58" w:name="fig:008"/>
      <w:r>
        <w:drawing>
          <wp:inline>
            <wp:extent cx="5334000" cy="1765904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rPr>
          <w:bCs/>
          <w:b/>
        </w:rPr>
        <w:t xml:space="preserve">9</w:t>
      </w:r>
      <w:r>
        <w:t xml:space="preserve"> </w:t>
      </w:r>
      <w:r>
        <w:t xml:space="preserve">Выполним коммит и Отправим на github: git: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bookmarkStart w:id="62" w:name="fig:009"/>
      <w:r>
        <w:drawing>
          <wp:inline>
            <wp:extent cx="5334000" cy="119192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6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я получил навыки правильной работы с репозиториями Github в среде операционной системы Linux.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Ахмед мд Шехир</dc:creator>
  <dc:language>ru-RU</dc:language>
  <cp:keywords/>
  <dcterms:created xsi:type="dcterms:W3CDTF">2025-06-16T00:39:53Z</dcterms:created>
  <dcterms:modified xsi:type="dcterms:W3CDTF">2025-06-16T00:39:53Z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