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Evaluation of machine learning methods that predict colorectal cancer progression with microbiota-associated biomarkers</w:t>
      </w:r>
    </w:p>
    <w:p>
      <w:pPr>
        <w:pStyle w:val="BodyText"/>
      </w:pPr>
      <w:r>
        <w:t xml:space="preserve">Begüm D. Topçuoğlu, Jenna Wiens, Mack Ruffin, Patrick D. Schloss</w:t>
      </w:r>
    </w:p>
    <w:p>
      <w:pPr>
        <w:pStyle w:val="BodyText"/>
      </w:pPr>
      <w:r>
        <w:t xml:space="preserve">As gut microbiome field continues to grow, there will be an ever-increasing demand for reproducible machine learning methods to determine association of the microbiome with a continuous or categorical phenotype of interest. Currently, the use of machine learning in microbiome research lack clarity and consistency over the training, validation and testing of models. There is a need for guidance on how to properly implement good machine learning practices to generate reproducible and robust models.</w:t>
      </w:r>
    </w:p>
    <w:p>
      <w:pPr>
        <w:pStyle w:val="BodyText"/>
      </w:pPr>
      <w:r>
        <w:t xml:space="preserve">Recently, there has been growing interest in using machine learning to predict colorectal cancer progression with microbiota-associated biomarkers. Colorectal cancer is one of the leading cause of death among cancers in the United States. Colonoscopy as a screening tool is effective, however it is invasive, expensive and have a low rate of patient adherence. Previous studies have shown that bacterial population abundances in the stool can predict screen relevant growth in the colon and can be used as a non-invasive screening tool. However, the prediction performance of these models vary greatly, with areas under the receiver operating characteristic curve (AUC) of 0.7-0.9</w:t>
      </w:r>
      <w:r>
        <w:t xml:space="preserve"> </w:t>
      </w:r>
      <w:r>
        <w:t xml:space="preserve">(1–4)</w:t>
      </w:r>
      <w:r>
        <w:t xml:space="preserve">. The variation in prediction performance is based in part on differences in the study populations, and in part on the differences in training, validation and testing pipelines.</w:t>
      </w:r>
    </w:p>
    <w:p>
      <w:pPr>
        <w:pStyle w:val="BodyText"/>
      </w:pPr>
      <w:r>
        <w:t xml:space="preserve">In this study, hemoglobin levels and bacterial population abundances in the stool were used to predict colorectal disease status of 490 patients. The colorectal disease status was defined as showing screen-relevant colonic growth or not. Training, validation and testing pipelines were established for L2-regularized Logistic Regression, L1 and L2 Linear Support Vector Machines (SVM), Radial Basis Function (RBF) SVM, Decision Tree, Random Forest and XGBoost binary classifiers. L2-regularized Logistic Regression, L1 Linear SVM, L2 Linear SVM, and RBF SVM had mean AUCs of 0.68 ± 0.04, 0.76 ± 0.05, 0.68 ± 0.05, and 0.69 ± 0.05, respectively. Decision Tree, Random Forest and XGBoost had mean AUCs of 0.7 ± 0.05, 0.76 ± 0.06, 0.76 ± 0.04, respectively. Tree-based models were less susceptible to overfitting and in general had higher sensitivity and specificity for colonic screen-relevant growth. Aside from evaluating generalization and classification performance of each classifier, this study established standards for training, validation and testing of the microbiome-associated machine learning models.</w:t>
      </w:r>
    </w:p>
    <w:p>
      <w:pPr>
        <w:pStyle w:val="BodyText"/>
      </w:pPr>
      <w:r>
        <w:rPr>
          <w:b/>
        </w:rPr>
        <w:t xml:space="preserve">References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</w:rPr>
        <w:t xml:space="preserve">Sze MA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2018. Leveraging existing 16S rRNA gene surveys to identify reproducible biomarkers in individuals with colorectal tumors. mBio</w:t>
      </w:r>
      <w:r>
        <w:t xml:space="preserve"> </w:t>
      </w:r>
      <w:r>
        <w:rPr>
          <w:b/>
        </w:rPr>
        <w:t xml:space="preserve">9</w:t>
      </w:r>
      <w:r>
        <w:t xml:space="preserve">:e00630–18. doi:</w:t>
      </w:r>
      <w:hyperlink r:id="rId21">
        <w:r>
          <w:rPr>
            <w:rStyle w:val="Hyperlink"/>
          </w:rPr>
          <w:t xml:space="preserve">10.1128/mBio.00630-18</w:t>
        </w:r>
      </w:hyperlink>
      <w:r>
        <w:t xml:space="preserve">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Microbiota-based model improves the sensitivity of fecal immunochemical test for detecting colonic lesions. Genome Medicine</w:t>
      </w:r>
      <w:r>
        <w:t xml:space="preserve"> </w:t>
      </w:r>
      <w:r>
        <w:rPr>
          <w:b/>
        </w:rPr>
        <w:t xml:space="preserve">8</w:t>
      </w:r>
      <w:r>
        <w:t xml:space="preserve">:37. doi:</w:t>
      </w:r>
      <w:hyperlink r:id="rId22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r>
        <w:t xml:space="preserve">3.</w:t>
      </w:r>
      <w:r>
        <w:t xml:space="preserve"> </w:t>
      </w: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Koumpouras CC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DNA from fecal immunochemical test can replace stool for detection of colonic lesions using a microbiota-based model. Microbiome</w:t>
      </w:r>
      <w:r>
        <w:t xml:space="preserve"> </w:t>
      </w:r>
      <w:r>
        <w:rPr>
          <w:b/>
        </w:rPr>
        <w:t xml:space="preserve">4</w:t>
      </w:r>
      <w:r>
        <w:t xml:space="preserve">. doi:</w:t>
      </w:r>
      <w:hyperlink r:id="rId23">
        <w:r>
          <w:rPr>
            <w:rStyle w:val="Hyperlink"/>
          </w:rPr>
          <w:t xml:space="preserve">10.1186/s40168-016-0205-y</w:t>
        </w:r>
      </w:hyperlink>
      <w:r>
        <w:t xml:space="preserve">.</w:t>
      </w:r>
    </w:p>
    <w:p>
      <w:pPr>
        <w:pStyle w:val="BodyText"/>
      </w:pPr>
      <w:r>
        <w:t xml:space="preserve">4.</w:t>
      </w:r>
      <w:r>
        <w:t xml:space="preserve"> </w:t>
      </w:r>
      <w:r>
        <w:rPr>
          <w:b/>
        </w:rPr>
        <w:t xml:space="preserve">Zackular JP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2014. The human gut microbiome as a screening tool for colorectal cancer. Cancer Prev Res</w:t>
      </w:r>
      <w:r>
        <w:t xml:space="preserve"> </w:t>
      </w:r>
      <w:r>
        <w:rPr>
          <w:b/>
        </w:rPr>
        <w:t xml:space="preserve">7</w:t>
      </w:r>
      <w:r>
        <w:t xml:space="preserve">:1112–1121. doi:</w:t>
      </w:r>
      <w:hyperlink r:id="rId24">
        <w:r>
          <w:rPr>
            <w:rStyle w:val="Hyperlink"/>
          </w:rPr>
          <w:t xml:space="preserve">10.1158/1940-6207.CAPR-14-0129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33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doi.org/10.1128/mBio.00630-18" TargetMode="External" /><Relationship Type="http://schemas.openxmlformats.org/officeDocument/2006/relationships/hyperlink" Id="rId24" Target="https://doi.org/10.1158/1940-6207.CAPR-14-0129" TargetMode="External" /><Relationship Type="http://schemas.openxmlformats.org/officeDocument/2006/relationships/hyperlink" Id="rId22" Target="https://doi.org/10.1186/s13073-016-0290-3" TargetMode="External" /><Relationship Type="http://schemas.openxmlformats.org/officeDocument/2006/relationships/hyperlink" Id="rId23" Target="https://doi.org/10.1186/s40168-016-0205-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128/mBio.00630-18" TargetMode="External" /><Relationship Type="http://schemas.openxmlformats.org/officeDocument/2006/relationships/hyperlink" Id="rId24" Target="https://doi.org/10.1158/1940-6207.CAPR-14-0129" TargetMode="External" /><Relationship Type="http://schemas.openxmlformats.org/officeDocument/2006/relationships/hyperlink" Id="rId22" Target="https://doi.org/10.1186/s13073-016-0290-3" TargetMode="External" /><Relationship Type="http://schemas.openxmlformats.org/officeDocument/2006/relationships/hyperlink" Id="rId23" Target="https://doi.org/10.1186/s40168-016-0205-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2018-11-28T22:14:01Z</dcterms:created>
  <dcterms:modified xsi:type="dcterms:W3CDTF">2018-11-28T22:14:01Z</dcterms:modified>
</cp:coreProperties>
</file>