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As the number of people represented in human microbiome datasets grow, there is an increasing desire to use microbiome data to diagnose diseases. However, the structure of the human microbiome is remarkably variable between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individually. Recently, machine learning models have grown in popularity among microbiome researchers because of the large amount of data that can now be generated and because the models are effective at accounting for the interpersonal microbiome variation and the ecology of the disease.</w:t>
      </w:r>
    </w:p>
    <w:p>
      <w:pPr>
        <w:pStyle w:val="BodyText"/>
      </w:pPr>
      <w:r>
        <w:t xml:space="preserve">ML models are useful for understanding the variation in the structure of existing data and to apply that knowledge to make predictions about new data. Researchers have used ML models to diagnose and understand the ecological basis of diseases such as liver cirrhosis, colorectal cancer, inflammatory bowel diseases (IBD), obesity, and type 2 diabetes</w:t>
      </w:r>
      <w:r>
        <w:t xml:space="preserve"> </w:t>
      </w:r>
      <w:r>
        <w:t xml:space="preserve">(1–16, 16–18)</w:t>
      </w:r>
      <w:r>
        <w:t xml:space="preserve">. The task of diagnosing an individual with high confidence relies on a ML model that is built with rigorous methods. However, there are common methodological problems across many of these studies that need to be addressed as the field progresses. These include a lack of transparency in which methods are used and how these methods are implemented; developing and evaluating models without a separate held-out test data; large variation between the predictive performance on different folds of cross-validation; and large variation between cross-validation and testing performances. Nevertheless, the microbiome field is making progress to avoid some of these pitfalls including validating their models on independent datasets</w:t>
      </w:r>
      <w:r>
        <w:t xml:space="preserve"> </w:t>
      </w:r>
      <w:r>
        <w:t xml:space="preserve">(7, 18, 19)</w:t>
      </w:r>
      <w:r>
        <w:t xml:space="preserve"> </w:t>
      </w:r>
      <w:r>
        <w:t xml:space="preserve">and introducing analysis frameworks to better use ML tools</w:t>
      </w:r>
      <w:r>
        <w:t xml:space="preserve"> </w:t>
      </w:r>
      <w:r>
        <w:t xml:space="preserve">(20–23)</w:t>
      </w:r>
      <w:r>
        <w:t xml:space="preserve">. More work is needed to further improve reproducibility and minimize over-optimism for model performance.</w:t>
      </w:r>
    </w:p>
    <w:p>
      <w:pPr>
        <w:pStyle w:val="BodyText"/>
      </w:pPr>
      <w:r>
        <w:t xml:space="preserve">Among microbiome researchers the lack of transparency in justifying a modelling approach has been due to an implicit assumption that more complex models are better because they are more complex. This has resulted in a trend towards using models such as random forest and neural networks</w:t>
      </w:r>
      <w:r>
        <w:t xml:space="preserve"> </w:t>
      </w:r>
      <w:r>
        <w:t xml:space="preserve">(2, 11, 24–26)</w:t>
      </w:r>
      <w:r>
        <w:t xml:space="preserve"> </w:t>
      </w:r>
      <w:r>
        <w:t xml:space="preserve">over simpler models such as logistic regression or other linear models</w:t>
      </w:r>
      <w:r>
        <w:t xml:space="preserve"> </w:t>
      </w:r>
      <w:r>
        <w:t xml:space="preserve">(18, 22, 27)</w:t>
      </w:r>
      <w:r>
        <w:t xml:space="preserve">. Although the more complex models may be better at incorporating non-linear relationships or yield better predictions, they are considered to be black box models because they are not inherently interpretable. These models require post hoc explanations to quantify the importance of each feature in making a prediction and they do not show the structure of how the features are used. Depending on the application of the model, researchers may choose to use different modeling approaches. For example, researchers trying to identify the populations causing a disease would likely want a more interpretable model whereas clinicians may emphasize performance. Although one may feel that they are sacrificing interpretability for performance, that tradeoff may be minimal</w:t>
      </w:r>
      <w:r>
        <w:t xml:space="preserve"> </w:t>
      </w:r>
      <w:r>
        <w:t xml:space="preserve">(28, 29)</w:t>
      </w:r>
      <w:r>
        <w:t xml:space="preserve">. Regardless, it is important for researchers to articulate why they have selected a specific modelling approach or even compare multiple approaches in the same study.</w:t>
      </w:r>
    </w:p>
    <w:p>
      <w:pPr>
        <w:pStyle w:val="BodyText"/>
      </w:pPr>
      <w:r>
        <w:t xml:space="preserve">To showcase a rigorous ML pipeline and to shed light on how ML model selection can affect modeling results, we performed an empirical analysis comparing 7 modeling approaches with the same dataset and pipeline. We built three linear models with different forms of regularization: L2-regularized logistic regression and L1 and L2-regularized support vector machines (SVM) with a linear kernel. We also built four non-linear models: SVM with radial basis function kernel, a decision tree, random forest and XGBoost. We compared the predictive performance, interpretability, and computational efficiency. To demonstrate the performance of these modeling approaches and our pipeline, we used data from a previously published study that sought to classifiy individuals as having normal colons or colonic lesions based on the 16S rRNA gene sequences collected from fecal samples</w:t>
      </w:r>
      <w:r>
        <w:t xml:space="preserve"> </w:t>
      </w:r>
      <w:r>
        <w:t xml:space="preserve">(3)</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(1, 3, 4, 30)</w:t>
      </w:r>
      <w:r>
        <w:t xml:space="preserve">. With this dataset we developed a framework that implementf a ML pipeline that can be used for any modeling approach, evaluates predictive performance, and demonstrates how to interpret these models. This framework can be easily applied to other host-associated and environmental microbiome datasets.</w:t>
      </w:r>
    </w:p>
    <w:p>
      <w:pPr>
        <w:pStyle w:val="Heading2"/>
      </w:pPr>
      <w:bookmarkStart w:id="25" w:name="results"/>
      <w:bookmarkEnd w:id="25"/>
      <w:r>
        <w:t xml:space="preserve">Results</w:t>
      </w:r>
    </w:p>
    <w:p>
      <w:pPr>
        <w:pStyle w:val="FirstParagraph"/>
      </w:pPr>
      <w:r>
        <w:rPr>
          <w:b/>
        </w:rPr>
        <w:t xml:space="preserve">Model selection and pipeline construction</w:t>
      </w:r>
      <w:r>
        <w:t xml:space="preserve"> </w:t>
      </w:r>
      <w:r>
        <w:t xml:space="preserve">We established a ML pipeline where we trained and validated each of the seven models using a common approach that is based on standard methods within the ML community (REFS)[Figure 1].</w:t>
      </w:r>
    </w:p>
    <w:p>
      <w:pPr>
        <w:pStyle w:val="BodyText"/>
      </w:pPr>
      <w:r>
        <w:t xml:space="preserve">First, we randomly split the data into training and test sets so that the training set consisted of 80% of the full dataset while the test set was composed of the remaining 20% of the data [Figure 1]. To maintain the distribution of controls and cases that was found with the full dataset, we performed stratified splits. For example, our full dataset included 490 individuals. Of these, 261 had normal colons (53%) and 229 had a screen relevant neoplasia (SRN; 46.7%). A training set included 393 individuals, of which 209 had an SRN (53%), while the test set was composed of 97 individuals of which 52 had an SRN (54%). The training data was used to build the models and the test set was used for evaluating predictive performance.</w:t>
      </w:r>
    </w:p>
    <w:p>
      <w:pPr>
        <w:pStyle w:val="BodyText"/>
      </w:pPr>
      <w:r>
        <w:t xml:space="preserve">Second, we trained seven different models using the training data. We selected models with different classification algorithms and regularization methods. Regularization is a technique that discourages overfitting by penalizing the model for learning the training data too well. For regularized logistic regression and SVM with linear kernel, we used L2 regularization to keep all potentially important features. For comparison, we also trained an L1 regularized SVM model with linear kernel. L1-regularization on microbiome data led to a sparser solution (i.e., force many coefficients to zero). To explore the potential for non-linear relationships among features to improve classification, we trained tree-based models including decision tree, random forest, and XGBoost and we trained an SVM model with non-linear kernel.</w:t>
      </w:r>
    </w:p>
    <w:p>
      <w:pPr>
        <w:pStyle w:val="BodyText"/>
      </w:pPr>
      <w:r>
        <w:t xml:space="preserve">Third, fitting of these models require selecting appropriate hyperparameters. Hyperparameters are the rules that are learned from the training set in a classification algorithm. For example, in the linear models the regularization term (C) is a hyperparameter that indicates the penalty for overfitting. Similar to regularization term C, all hyperparameters are tuned to find the best model. We selected hyperparameters by performing 100 five-fold cross-validation (CV) repeats on the training set [Figure 1]. The five-fold CV was also stratified to maintain the overall case and control distribution. We chose the best hyperparameter values for each model based on its CV predictive performance using the area under the receiver operating characteristic curve (AUROC) metric [Figure S1 and S2]. The AUROC ranges from 1.0, where the model perfectly distinguishes between cases and controls, to 0.50, where the model’s predictions are no different from random chance.</w:t>
      </w:r>
    </w:p>
    <w:p>
      <w:pPr>
        <w:pStyle w:val="BodyText"/>
      </w:pPr>
      <w:r>
        <w:t xml:space="preserve">Finally, we trained the full training dataset with the selected hyperparameter values and applied the model to the held-out data to evaluate the testing predictive performance of each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r>
        <w:t xml:space="preserve"> </w:t>
      </w:r>
      <w:r>
        <w:t xml:space="preserve">We evaluated the predictive performance of seven models to classify individuals as having normal colons or SRNs [Figure 2]. The random forest model had significantly higher test AUROC values than the other models for detecting SRNs (Wilcoxon rank sum test, p &lt; 0.01). The median AUROC of the random forest model was 0.695 (IQR 0.044). L2-regularized logistic regression, XGBoost, L2-regularized SVM with linear and radial basis function kernel AUROC values were not significantly different from one another and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Interestingly, these results demonstrate that the most complex model (XGBoost) did not have the best performance and that the most interpretable models (L2-regularlized logistic regression and linear SVM) performed nearly as well as random forest.</w:t>
      </w:r>
    </w:p>
    <w:p>
      <w:pPr>
        <w:pStyle w:val="BodyText"/>
      </w:pPr>
      <w:r>
        <w:t xml:space="preserve">To evaluate the generalizability of each model, we compared the median cross-validation AUROC to the median testing AUROC. If the difference between the cross-validation and testing AUROCs is large, then that would indicate that the models were overfit. difference in median AUROCs was 0.021 in L1-regularized SVM with linear kernel, followed by SVM with radial basis function kernel and decision tree with a difference of 0.007 and 0.006, respectively [Figure 2]; however, these differences are relatively small and would not indicate a problem with overfitting.</w:t>
      </w:r>
    </w:p>
    <w:p>
      <w:pPr>
        <w:pStyle w:val="BodyText"/>
      </w:pPr>
      <w:r>
        <w:t xml:space="preserve">To evaluate the risk for over-optimism of each model, we calculated the range for each model using 100 splits. The range among the testing AUROC values within each model varied by 0.23 on average across the seven models. If we had only done a single split, then there is a risk that we could gotten lucky or unlucky with the performance of the model. For instance, the lowest AUROC value of the random forest model was 0.59 whereas the highest was 0.81. These results showed that depending on the data-split, the testing AUROC values showed great variability [Figure 2]. Therefore, it is important to employ the hierarchical data splits that were included in our pipeline to minimize the risk of over-optimism.</w:t>
      </w:r>
    </w:p>
    <w:p>
      <w:pPr>
        <w:pStyle w:val="BodyText"/>
      </w:pPr>
      <w:r>
        <w:rPr>
          <w:b/>
        </w:rPr>
        <w:t xml:space="preserve">Interpretation of each ML model.</w:t>
      </w:r>
      <w:r>
        <w:t xml:space="preserve"> </w:t>
      </w:r>
      <w:r>
        <w:t xml:space="preserve">Interpretability is the degree to which humans can understand the reasons behind a model prediction</w:t>
      </w:r>
      <w:r>
        <w:t xml:space="preserve"> </w:t>
      </w:r>
      <w:r>
        <w:t xml:space="preserve">(31)</w:t>
      </w:r>
      <w:r>
        <w:t xml:space="preserve">. Because we often use ML models not just to predict a health outcome but also to learn the ecology behind a disease, model interpretation becomes crucial for microbiome studies. ML models decrease in interpretability as they increase in complexity. In this study we used two methods to interpret models with varying complexity.</w:t>
      </w:r>
    </w:p>
    <w:p>
      <w:pPr>
        <w:pStyle w:val="BodyText"/>
      </w:pPr>
      <w:r>
        <w:t xml:space="preserve">We interpreted linear models (L1 and L2-regularized SVM with linear kernel and L2-regularized logistic regression) using the absolute feature weights of the trained models. We ranked the absolute values of the weights of all the OTUs for each data-split [Figure 3]. We calculated the median ranks of these features over the 100 data-splits. In the three linear models, the OTUs that had the largest median rank and drove the detection of SRNs contained sequences that were most similar to members of the Lachnospiraceae (OTU 1239, OTU 742), Roseburia (OTU00822, OTU00768), Clostridium (OTU00609), Blautia (OTU00659, OTU00012), Faecalibacterium (OTU00015), Gamella (OTU00426) and Peptostreptococcus (OTU00367) [Figure 3]. Among the five highest ranked OTUs across these three models, it was encouraging that OTU 1239 was shared among each of the models and that … were shared among both of the L2-regularized models.</w:t>
      </w:r>
    </w:p>
    <w:p>
      <w:pPr>
        <w:pStyle w:val="BodyText"/>
      </w:pPr>
      <w:r>
        <w:t xml:space="preserve">We explained the feature importances in non-linear models; SVM with radial basis kernel, decision tree, random forest and XGBoost, using a method called permutation importance on the held-out test data. Permutation importance analysis is a posthoc explanation of the model where we randomly permute non-correlated features individually and groups of highly correlated features together. We then calculate how much the predictive performance of the model (i.e AUROC values) decrease when each OTU or group of OTUs is permuted randomly. We ranked the OTUs based on how much they decreased the median testing AUROC; the OTU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4]. Decision tree, random forest and XGBoost models’ predictive performance dropped from 0.6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L1-regularized SVM with linear kernel picked out some of the same OTUs (OTU00822, OTU01239, OTU00609) as important in feature rankings based on weights [Figure 3] and permutation importance [Figure S3]. Similarly, L2-regularized SVM and L2-regularized logistic regression picked out some of the same OTUs in both interpretation methods, OTU00659 and OTU00012, respectively. However, for all the linear models, the rankings of these features were different due to the collinearity in microbial communities. Collinearity in a microbial dataset is when one OTU is dependant on another OTU. The feature weights of correlated OTUs are influenced by one another which makes it difficult to interpret models using feature weights. Our interpretation of L2-regularized logistic regression based on feature weight rankings, showed that an OTU that belongs to</w:t>
      </w:r>
      <w:r>
        <w:t xml:space="preserve"> </w:t>
      </w:r>
      <w:r>
        <w:rPr>
          <w:i/>
        </w:rPr>
        <w:t xml:space="preserve">Lachnospiraceae</w:t>
      </w:r>
      <w:r>
        <w:t xml:space="preserve"> </w:t>
      </w:r>
      <w:r>
        <w:t xml:space="preserve">(OTU00056) was not among the most important OTUs in making a prediction [Figure 3C]. However, it was picked out as important when the same model was interpreted using permutation importance [Figure S3C]. This is due to collinearity in the dataset, where</w:t>
      </w:r>
      <w:r>
        <w:t xml:space="preserve"> </w:t>
      </w:r>
      <w:r>
        <w:rPr>
          <w:i/>
        </w:rPr>
        <w:t xml:space="preserve">Lachnospiraceae</w:t>
      </w:r>
      <w:r>
        <w:t xml:space="preserve"> </w:t>
      </w:r>
      <w:r>
        <w:t xml:space="preserve">(OTU00056) is significantly correlated with</w:t>
      </w:r>
      <w:r>
        <w:t xml:space="preserve"> </w:t>
      </w:r>
      <w:r>
        <w:rPr>
          <w:i/>
        </w:rPr>
        <w:t xml:space="preserve">Feacalibacterium</w:t>
      </w:r>
      <w:r>
        <w:t xml:space="preserve"> </w:t>
      </w:r>
      <w:r>
        <w:t xml:space="preserve">(OTU00015) which has the highest ranked feature weights [Figure 3C]. We need to investigate the relationships among features to identify the true underlying factors when making a prediction.</w:t>
      </w:r>
    </w:p>
    <w:p>
      <w:pPr>
        <w:pStyle w:val="BodyText"/>
      </w:pPr>
      <w:r>
        <w:rPr>
          <w:b/>
        </w:rPr>
        <w:t xml:space="preserve">The computational efficiency of each ML model.</w:t>
      </w:r>
    </w:p>
    <w:p>
      <w:pPr>
        <w:pStyle w:val="BodyText"/>
      </w:pPr>
      <w:r>
        <w:t xml:space="preserve">We compared the training times of the seven ML models. As the complexity of a ML model and the number of tuned hyperparameter settings increased [Figures S1-S2], its training times increased as well [Figure 5]. Linear models trained faster than non-linear models. L1 and L2-regularized SVM with linear kernel and L2-regularized logistic regression had the shortest training times with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ML models, to identify and overcome potential pitfalls. Previous studies generated workflows to allow ML to be widely used by the microbiome researchers</w:t>
      </w:r>
      <w:r>
        <w:t xml:space="preserve"> </w:t>
      </w:r>
      <w:r>
        <w:t xml:space="preserve">(20–23)</w:t>
      </w:r>
      <w:r>
        <w:t xml:space="preserve">. This study sets-up standards for developing and evaluating rigorous ML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methods such as permutation importance. On the other hand, L2-regularized logistic regression was easier to interpret by ranking absolute feature weights of the trained model.</w:t>
      </w:r>
    </w:p>
    <w:p>
      <w:pPr>
        <w:pStyle w:val="BodyText"/>
      </w:pPr>
      <w:r>
        <w:t xml:space="preserve">Even with interpretable models such as L2-regularized logistic regression, there are potential pitfalls when it comes to identifying biomarkers of a disease. As domain experts, we know that human-associated microbial communities have complex correlation structures that creates collinearity in the dataset. Collinearity is a severe problem and needs to be addressed to reliably interpret ML models</w:t>
      </w:r>
      <w:r>
        <w:t xml:space="preserve"> </w:t>
      </w:r>
      <w:r>
        <w:t xml:space="preserve">(32)</w:t>
      </w:r>
      <w:r>
        <w:t xml:space="preserve">.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To avoid misinterpreting the models, once we identify the most important microbes, we should check for their relationships with other microbes as well. These relationships will help us generate new hypotheses about the ecology of the disease. These hypotheses needs to be tested with follow-up experiments to identify the true biomarkers of a disease.</w:t>
      </w:r>
    </w:p>
    <w:p>
      <w:pPr>
        <w:pStyle w:val="BodyText"/>
      </w:pPr>
      <w:r>
        <w:t xml:space="preserve">In this study, we also established a rigorous ML pipeline to use 16S rRNA sequence counts to predict a binary health outcome. First of all, we used a held-out test set to illustrate the difference between cross-validation and testing AUROC values. When the difference between cross-validation and test performance is low, this suggest the models are not overfit and that they will perform similar with similar data. In all the models, the difference between median cross-validation and testing AUROC values did not exceed 0.021 which suggests that these models are generalizable and can be used to test similar new data. Furthermore, we performed the initial 80%-20% random datasplit 100 times in our ML pipeline. Depending on how the data is split, there is the chance of being overoptimistic about the predictive performance of a model. We showed that there was variability in AUROC values between different random data-splits in each of the models we tested. Our results showed that the testing AUROC values varied 0.23 on average between different data-splits. The randomization and resampling of the initial data-split to create a held-out test set is a crucial step in the ML pipeline to develop robust ML models and to report reliable performance metrics. Additionally, we performed a full grid search for hyperparameter settings when training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We used a balanced CRC dataset to develop ML models with a binary classification task. We did not evaluate multicategory classification methods or regression analyses to predict non-binary outcomes. However, the principles highlighted throughout this study [Table 1] apply to all ML modeling tasks with microbiome data. The models we built were generalizable despite the high number of features microbiome datasets usually have. The generalization performance of ML models depends on sample size. The more complex the model, the more data it will need. Our dataset had 490 samples, however microbiome studies that have smaller sample sizes would benefit from using less complex models. Our analysis was limited to shallow learning methods and did not explore deep learning methods such as neural networks. Microbiome datasets often suffer from having high dimensionality but low sample sizes which makes deep learning models prone to overfitting. There are studies that address overcoming these challenges in biomedical datasets</w:t>
      </w:r>
      <w:r>
        <w:t xml:space="preserve"> </w:t>
      </w:r>
      <w:r>
        <w:t xml:space="preserve">(11, 33, 34)</w:t>
      </w:r>
      <w:r>
        <w:t xml:space="preserve">, however sudies that estalish frameworks with microbiome data are lacking. This would be an interesting direction for future work in microbiome studies.</w:t>
      </w:r>
    </w:p>
    <w:p>
      <w:pPr>
        <w:pStyle w:val="BodyText"/>
      </w:pPr>
      <w:r>
        <w:t xml:space="preserve">Paragraph about deploying a model.</w:t>
      </w:r>
    </w:p>
    <w:p>
      <w:pPr>
        <w:pStyle w:val="BodyText"/>
      </w:pPr>
      <w:r>
        <w:t xml:space="preserve">This study highlighted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(35)</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(36–38)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colorectal health of the patients. For each patient, we had 6920 features (fecal bacterial abundances) and a two-class label that defines their colorectal health (normal or SRN colorectal lesions as defined by colonoscopies). We established modeling pipelines for a binary prediction task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(39)</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3">
        <w:r>
          <w:rPr>
            <w:rStyle w:val="Hyperlink"/>
          </w:rPr>
          <w:t xml:space="preserve">10.1186/s13073-016-0301-4</w:t>
        </w:r>
      </w:hyperlink>
      <w:r>
        <w:t xml:space="preserve">.</w:t>
      </w:r>
    </w:p>
    <w:p>
      <w:pPr>
        <w:pStyle w:val="BodyText"/>
      </w:pPr>
      <w:r>
        <w:t xml:space="preserve">16.</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4">
        <w:r>
          <w:rPr>
            <w:rStyle w:val="Hyperlink"/>
          </w:rPr>
          <w:t xml:space="preserve">10.18632/oncotarget.14488</w:t>
        </w:r>
      </w:hyperlink>
      <w:r>
        <w:t xml:space="preserve">.</w:t>
      </w:r>
    </w:p>
    <w:p>
      <w:pPr>
        <w:pStyle w:val="BodyText"/>
      </w:pPr>
      <w:r>
        <w:t xml:space="preserve">17.</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5">
        <w:r>
          <w:rPr>
            <w:rStyle w:val="Hyperlink"/>
          </w:rPr>
          <w:t xml:space="preserve">10.1186/s40168-018-0451-2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7">
        <w:r>
          <w:rPr>
            <w:rStyle w:val="Hyperlink"/>
          </w:rPr>
          <w:t xml:space="preserve">10.1136/gutjnl-2016-312766</w:t>
        </w:r>
      </w:hyperlink>
      <w:r>
        <w:t xml:space="preserve">.</w:t>
      </w:r>
    </w:p>
    <w:p>
      <w:pPr>
        <w:pStyle w:val="BodyText"/>
      </w:pPr>
      <w:r>
        <w:t xml:space="preserve">20.</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8">
        <w:r>
          <w:rPr>
            <w:rStyle w:val="Hyperlink"/>
          </w:rPr>
          <w:t xml:space="preserve">10.1186/2049-2618-1-11</w:t>
        </w:r>
      </w:hyperlink>
      <w:r>
        <w:t xml:space="preserve">.</w:t>
      </w:r>
    </w:p>
    <w:p>
      <w:pPr>
        <w:pStyle w:val="BodyText"/>
      </w:pPr>
      <w:r>
        <w:t xml:space="preserve">21.</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49">
        <w:r>
          <w:rPr>
            <w:rStyle w:val="Hyperlink"/>
          </w:rPr>
          <w:t xml:space="preserve">10.1111/j.1574-6976.2010.00251.x</w:t>
        </w:r>
      </w:hyperlink>
      <w:r>
        <w:t xml:space="preserve">.</w:t>
      </w:r>
    </w:p>
    <w:p>
      <w:pPr>
        <w:pStyle w:val="BodyText"/>
      </w:pPr>
      <w:r>
        <w:t xml:space="preserve">22.</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0">
        <w:r>
          <w:rPr>
            <w:rStyle w:val="Hyperlink"/>
          </w:rPr>
          <w:t xml:space="preserve">10.1038/s41591-019-0406-6</w:t>
        </w:r>
      </w:hyperlink>
      <w:r>
        <w:t xml:space="preserve">.</w:t>
      </w:r>
    </w:p>
    <w:p>
      <w:pPr>
        <w:pStyle w:val="BodyText"/>
      </w:pPr>
      <w:r>
        <w:t xml:space="preserve">23.</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1">
        <w:r>
          <w:rPr>
            <w:rStyle w:val="Hyperlink"/>
          </w:rPr>
          <w:t xml:space="preserve">10.1093/gigascience/giz042</w:t>
        </w:r>
      </w:hyperlink>
      <w:r>
        <w:t xml:space="preserve">.</w:t>
      </w:r>
    </w:p>
    <w:p>
      <w:pPr>
        <w:pStyle w:val="BodyText"/>
      </w:pPr>
      <w:r>
        <w:t xml:space="preserve">24.</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25.</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26.</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27.</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3">
        <w:r>
          <w:rPr>
            <w:rStyle w:val="Hyperlink"/>
          </w:rPr>
          <w:t xml:space="preserve">10.1038/s41591-019-0405-7</w:t>
        </w:r>
      </w:hyperlink>
      <w:r>
        <w:t xml:space="preserve">.</w:t>
      </w:r>
    </w:p>
    <w:p>
      <w:pPr>
        <w:pStyle w:val="BodyText"/>
      </w:pPr>
      <w:r>
        <w:t xml:space="preserve">28.</w:t>
      </w:r>
      <w:r>
        <w:t xml:space="preserve"> </w:t>
      </w:r>
      <w:r>
        <w:rPr>
          <w:b/>
        </w:rPr>
        <w:t xml:space="preserve">Rudin C</w:t>
      </w:r>
      <w:r>
        <w:t xml:space="preserve">. 2018. Please stop explaining black box models for high stakes decisions. arXiv:181110154 [cs, stat].</w:t>
      </w:r>
    </w:p>
    <w:p>
      <w:pPr>
        <w:pStyle w:val="BodyText"/>
      </w:pPr>
      <w:r>
        <w:t xml:space="preserve">29.</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4">
        <w:r>
          <w:rPr>
            <w:rStyle w:val="Hyperlink"/>
          </w:rPr>
          <w:t xml:space="preserve">10.1287/inte.2018.0957</w:t>
        </w:r>
      </w:hyperlink>
      <w:r>
        <w:t xml:space="preserve">.</w:t>
      </w:r>
    </w:p>
    <w:p>
      <w:pPr>
        <w:pStyle w:val="BodyText"/>
      </w:pPr>
      <w:r>
        <w:t xml:space="preserve">30.</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5">
        <w:r>
          <w:rPr>
            <w:rStyle w:val="Hyperlink"/>
          </w:rPr>
          <w:t xml:space="preserve">10.1016/j.chom.2011.09.003</w:t>
        </w:r>
      </w:hyperlink>
      <w:r>
        <w:t xml:space="preserve">.</w:t>
      </w:r>
    </w:p>
    <w:p>
      <w:pPr>
        <w:pStyle w:val="BodyText"/>
      </w:pPr>
      <w:r>
        <w:t xml:space="preserve">31.</w:t>
      </w:r>
      <w:r>
        <w:t xml:space="preserve"> </w:t>
      </w:r>
      <w:r>
        <w:rPr>
          <w:b/>
        </w:rPr>
        <w:t xml:space="preserve">Miller T</w:t>
      </w:r>
      <w:r>
        <w:t xml:space="preserve">. 2017. Explanation in artificial intelligence: Insights from the social sciences. arXiv:170607269 [cs].</w:t>
      </w:r>
    </w:p>
    <w:p>
      <w:pPr>
        <w:pStyle w:val="BodyText"/>
      </w:pPr>
      <w:r>
        <w:t xml:space="preserve">32.</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6">
        <w:r>
          <w:rPr>
            <w:rStyle w:val="Hyperlink"/>
          </w:rPr>
          <w:t xml:space="preserve">10.1111/j.1600-0587.2012.07348.x</w:t>
        </w:r>
      </w:hyperlink>
      <w:r>
        <w:t xml:space="preserve">.</w:t>
      </w:r>
    </w:p>
    <w:p>
      <w:pPr>
        <w:pStyle w:val="BodyText"/>
      </w:pPr>
      <w:r>
        <w:t xml:space="preserve">33.</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7">
        <w:r>
          <w:rPr>
            <w:rStyle w:val="Hyperlink"/>
          </w:rPr>
          <w:t xml:space="preserve">10.1007/s10479-018-2891-2</w:t>
        </w:r>
      </w:hyperlink>
      <w:r>
        <w:t xml:space="preserve">.</w:t>
      </w:r>
    </w:p>
    <w:p>
      <w:pPr>
        <w:pStyle w:val="BodyText"/>
      </w:pPr>
      <w:r>
        <w:t xml:space="preserve">34.</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58">
        <w:r>
          <w:rPr>
            <w:rStyle w:val="Hyperlink"/>
          </w:rPr>
          <w:t xml:space="preserve">10.3390/genes9100478</w:t>
        </w:r>
      </w:hyperlink>
      <w:r>
        <w:t xml:space="preserve">.</w:t>
      </w:r>
    </w:p>
    <w:p>
      <w:pPr>
        <w:pStyle w:val="BodyText"/>
      </w:pPr>
      <w:r>
        <w:t xml:space="preserve">35.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9">
        <w:r>
          <w:rPr>
            <w:rStyle w:val="Hyperlink"/>
          </w:rPr>
          <w:t xml:space="preserve">10.1128/mBio.00630-18</w:t>
        </w:r>
      </w:hyperlink>
      <w:r>
        <w:t xml:space="preserve">.</w:t>
      </w:r>
    </w:p>
    <w:p>
      <w:pPr>
        <w:pStyle w:val="BodyText"/>
      </w:pPr>
      <w:r>
        <w:t xml:space="preserve">36.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0">
        <w:r>
          <w:rPr>
            <w:rStyle w:val="Hyperlink"/>
          </w:rPr>
          <w:t xml:space="preserve">10.1128/mSphereDirect.00073-17</w:t>
        </w:r>
      </w:hyperlink>
      <w:r>
        <w:t xml:space="preserve">.</w:t>
      </w:r>
    </w:p>
    <w:p>
      <w:pPr>
        <w:pStyle w:val="BodyText"/>
      </w:pPr>
      <w:r>
        <w:t xml:space="preserve">38.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1">
        <w:r>
          <w:rPr>
            <w:rStyle w:val="Hyperlink"/>
          </w:rPr>
          <w:t xml:space="preserve">10.7717/peerj.2584</w:t>
        </w:r>
      </w:hyperlink>
      <w:r>
        <w:t xml:space="preserve">.</w:t>
      </w:r>
    </w:p>
    <w:p>
      <w:pPr>
        <w:pStyle w:val="BodyText"/>
      </w:pPr>
      <w:r>
        <w:t xml:space="preserve">39.</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45f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2019-08-06T22:08:53Z</dcterms:created>
  <dcterms:modified xsi:type="dcterms:W3CDTF">2019-08-06T22:08:53Z</dcterms:modified>
</cp:coreProperties>
</file>