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83D40" w14:textId="77777777" w:rsidR="000257C0" w:rsidRDefault="00000000">
      <w:pPr>
        <w:spacing w:before="800"/>
        <w:jc w:val="center"/>
      </w:pPr>
      <w:r>
        <w:rPr>
          <w:color w:val="667EEA"/>
        </w:rPr>
        <w:t>━━━━━━━━━━━━━━━━━━━━━━━━━━━━━━━━━━━━━━━━━━━━━━━━━━</w:t>
      </w:r>
    </w:p>
    <w:p w14:paraId="1322C2DA" w14:textId="77777777" w:rsidR="000257C0" w:rsidRDefault="00000000">
      <w:pPr>
        <w:spacing w:before="400"/>
        <w:jc w:val="center"/>
      </w:pPr>
      <w:r>
        <w:rPr>
          <w:b/>
          <w:color w:val="0A192F"/>
        </w:rPr>
        <w:t>AGENTIC RAG LEGAL AI ASSISTANT</w:t>
      </w:r>
    </w:p>
    <w:p w14:paraId="3799EFC0" w14:textId="77777777" w:rsidR="000257C0" w:rsidRDefault="00000000">
      <w:pPr>
        <w:spacing w:after="200"/>
        <w:jc w:val="center"/>
      </w:pPr>
      <w:r>
        <w:rPr>
          <w:i/>
          <w:color w:val="667EEA"/>
        </w:rPr>
        <w:t>Production-Grade Case Law Retrieval, Stateful Multi-Step</w:t>
      </w:r>
      <w:r>
        <w:rPr>
          <w:i/>
          <w:color w:val="667EEA"/>
        </w:rPr>
        <w:br/>
        <w:t>Contract Reasoning &amp; LLM-as-a-Judge Evaluation Framework</w:t>
      </w:r>
    </w:p>
    <w:p w14:paraId="278F6853" w14:textId="77777777" w:rsidR="000257C0" w:rsidRDefault="00000000">
      <w:pPr>
        <w:spacing w:after="600"/>
        <w:jc w:val="center"/>
      </w:pPr>
      <w:r>
        <w:rPr>
          <w:color w:val="667EEA"/>
        </w:rPr>
        <w:t>━━━━━━━━━━━━━━━━━━━━━━━━━━━━━━━━━━━━━━━━━━━━━━━━━━</w:t>
      </w:r>
    </w:p>
    <w:p w14:paraId="43A20E3F" w14:textId="77777777" w:rsidR="000257C0" w:rsidRDefault="00000000">
      <w:pPr>
        <w:spacing w:before="600"/>
        <w:jc w:val="center"/>
      </w:pPr>
      <w:r>
        <w:rPr>
          <w:b/>
          <w:color w:val="0A192F"/>
        </w:rPr>
        <w:t>GEN AI CAPSTONE PROJECT — FINAL REPORT</w:t>
      </w:r>
    </w:p>
    <w:p w14:paraId="3B09556A" w14:textId="77777777" w:rsidR="000257C0" w:rsidRDefault="00000000">
      <w:pPr>
        <w:spacing w:before="800" w:line="384" w:lineRule="auto"/>
        <w:jc w:val="center"/>
      </w:pPr>
      <w:r>
        <w:t xml:space="preserve">Student Name:  </w:t>
      </w:r>
      <w:r>
        <w:rPr>
          <w:b/>
          <w:color w:val="0A192F"/>
        </w:rPr>
        <w:t>Ahmed Adel Abouhussein</w:t>
      </w:r>
      <w:r>
        <w:rPr>
          <w:b/>
          <w:color w:val="0A192F"/>
        </w:rPr>
        <w:br/>
      </w:r>
      <w:r>
        <w:t xml:space="preserve">Student ID:  </w:t>
      </w:r>
      <w:r>
        <w:rPr>
          <w:b/>
          <w:color w:val="0A192F"/>
        </w:rPr>
        <w:t>231007728</w:t>
      </w:r>
      <w:r>
        <w:rPr>
          <w:b/>
          <w:color w:val="0A192F"/>
        </w:rPr>
        <w:br/>
      </w:r>
      <w:r>
        <w:t xml:space="preserve">Program:  </w:t>
      </w:r>
      <w:r>
        <w:rPr>
          <w:b/>
          <w:color w:val="0A192F"/>
        </w:rPr>
        <w:t>Software Engineering</w:t>
      </w:r>
      <w:r>
        <w:rPr>
          <w:b/>
          <w:color w:val="0A192F"/>
        </w:rPr>
        <w:br/>
      </w:r>
      <w:r>
        <w:t xml:space="preserve">Domain:  </w:t>
      </w:r>
      <w:r>
        <w:rPr>
          <w:b/>
          <w:color w:val="0A192F"/>
        </w:rPr>
        <w:t>Legal Technology / AI Systems Engineering</w:t>
      </w:r>
      <w:r>
        <w:rPr>
          <w:b/>
          <w:color w:val="0A192F"/>
        </w:rPr>
        <w:br/>
      </w:r>
      <w:r>
        <w:t xml:space="preserve">Tech Stack:  </w:t>
      </w:r>
      <w:r>
        <w:rPr>
          <w:b/>
          <w:color w:val="0A192F"/>
        </w:rPr>
        <w:t>Python, LangChain, LangGraph, Streamlit, ChromaDB</w:t>
      </w:r>
      <w:r>
        <w:rPr>
          <w:b/>
          <w:color w:val="0A192F"/>
        </w:rPr>
        <w:br/>
      </w:r>
      <w:r>
        <w:t xml:space="preserve">Date:  </w:t>
      </w:r>
      <w:r>
        <w:rPr>
          <w:b/>
          <w:color w:val="0A192F"/>
        </w:rPr>
        <w:t>May 2026</w:t>
      </w:r>
      <w:r>
        <w:rPr>
          <w:b/>
          <w:color w:val="0A192F"/>
        </w:rPr>
        <w:br/>
      </w:r>
    </w:p>
    <w:p w14:paraId="701E84C5" w14:textId="77777777" w:rsidR="000257C0" w:rsidRDefault="00000000">
      <w:r>
        <w:br w:type="page"/>
      </w:r>
    </w:p>
    <w:p w14:paraId="5DD85B6C" w14:textId="77777777" w:rsidR="000257C0" w:rsidRDefault="00000000">
      <w:pPr>
        <w:keepNext/>
        <w:spacing w:before="560" w:after="280"/>
      </w:pPr>
      <w:r>
        <w:rPr>
          <w:b/>
          <w:color w:val="0A192F"/>
          <w:u w:val="single"/>
        </w:rPr>
        <w:lastRenderedPageBreak/>
        <w:t>1. EXECUTIVE SUMMARY &amp; SYSTEM OVERVIEW</w:t>
      </w:r>
    </w:p>
    <w:p w14:paraId="503820C4" w14:textId="77777777" w:rsidR="000257C0" w:rsidRDefault="00000000">
      <w:r>
        <w:t>Modern legal services demand rapid synthesis of extensive textual resources including case law, statutes, and corporate agreements. Traditionally, legal professionals spend thousands of hours manually searching large repositories or parsing pages of complex legal jargon, risking overlooking key precedents or critical clauses. This project implements a state-of-the-art, production-grade Legal AI Assistant using Agentic Retrieval-Augmented Generation (RAG) powered by LangGraph, LangChain, and Streamlit. This assistant is not a simple question-answering demo; it is a robust system designed to ingest, separate, retrieve, evaluate, and iteratively optimize search operations.</w:t>
      </w:r>
    </w:p>
    <w:p w14:paraId="144DD393" w14:textId="77777777" w:rsidR="000257C0" w:rsidRDefault="00000000">
      <w:r>
        <w:t>By utilizing a stateful Graph workflow (via LangGraph), the assistant acts as a persistent reasoning agent. It dynamically analyzes user intent, determines query routes across specialized databases (ChromaDB), assesses retrieval sufficiency in real time, rewrites sub-queries to capture missed context, and generates highly accurate answers. Every response is backed by exact, traceable source citations, protecting the system against the risk of LLM hallucinations. Additionally, an integrated evaluation framework computes real-time Faithfulness scores, measures response Latency, and calculates exact dollar costs, facilitating immediate, data-driven decisions on model deployment.</w:t>
      </w:r>
    </w:p>
    <w:p w14:paraId="08BA761D" w14:textId="77777777" w:rsidR="000257C0" w:rsidRDefault="00000000">
      <w:pPr>
        <w:spacing w:before="160"/>
        <w:ind w:left="576" w:right="576"/>
        <w:rPr>
          <w:i/>
          <w:color w:val="475569"/>
        </w:rPr>
      </w:pPr>
      <w:r>
        <w:rPr>
          <w:i/>
          <w:color w:val="475569"/>
        </w:rPr>
        <w:t>Key Objective: Bridge the gap between prototype and enterprise-ready application by enforcing absolute accuracy, compliance, traceability, and high-performance design in legal domain applications.</w:t>
      </w:r>
    </w:p>
    <w:p w14:paraId="1E9CF8D9" w14:textId="77777777" w:rsidR="00367E81" w:rsidRDefault="00367E81">
      <w:pPr>
        <w:spacing w:before="160"/>
        <w:ind w:left="576" w:right="576"/>
        <w:rPr>
          <w:i/>
          <w:color w:val="475569"/>
        </w:rPr>
      </w:pPr>
    </w:p>
    <w:p w14:paraId="2612AE07" w14:textId="77777777" w:rsidR="00367E81" w:rsidRDefault="00367E81">
      <w:pPr>
        <w:spacing w:before="160"/>
        <w:ind w:left="576" w:right="576"/>
        <w:rPr>
          <w:i/>
          <w:color w:val="475569"/>
        </w:rPr>
      </w:pPr>
    </w:p>
    <w:p w14:paraId="7CF1955C" w14:textId="77777777" w:rsidR="00367E81" w:rsidRDefault="00367E81">
      <w:pPr>
        <w:spacing w:before="160"/>
        <w:ind w:left="576" w:right="576"/>
        <w:rPr>
          <w:i/>
          <w:color w:val="475569"/>
        </w:rPr>
      </w:pPr>
    </w:p>
    <w:p w14:paraId="136130A8" w14:textId="77777777" w:rsidR="00367E81" w:rsidRDefault="00367E81">
      <w:pPr>
        <w:spacing w:before="160"/>
        <w:ind w:left="576" w:right="576"/>
        <w:rPr>
          <w:i/>
          <w:color w:val="475569"/>
        </w:rPr>
      </w:pPr>
    </w:p>
    <w:p w14:paraId="5E26854E" w14:textId="77777777" w:rsidR="00367E81" w:rsidRDefault="00367E81">
      <w:pPr>
        <w:spacing w:before="160"/>
        <w:ind w:left="576" w:right="576"/>
      </w:pPr>
    </w:p>
    <w:p w14:paraId="7451E37D" w14:textId="77777777" w:rsidR="000257C0" w:rsidRDefault="00000000">
      <w:pPr>
        <w:keepNext/>
        <w:spacing w:before="560" w:after="280"/>
      </w:pPr>
      <w:r>
        <w:rPr>
          <w:b/>
          <w:color w:val="0A192F"/>
          <w:u w:val="single"/>
        </w:rPr>
        <w:lastRenderedPageBreak/>
        <w:t>2. PROJECT MAPPING TO COURSE TOPICS</w:t>
      </w:r>
    </w:p>
    <w:p w14:paraId="04913204" w14:textId="77777777" w:rsidR="000257C0" w:rsidRDefault="00000000">
      <w:r>
        <w:t>To ensure all grading requirements and pedagogical goals are fully satisfied, the table below lists each of the key course topics and details exactly where and how they have been successfully implemented within this project codebase.</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0257C0" w14:paraId="6EA16120" w14:textId="77777777" w:rsidTr="00367E8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0A192F"/>
          </w:tcPr>
          <w:p w14:paraId="513883D1" w14:textId="77777777" w:rsidR="000257C0" w:rsidRDefault="00000000" w:rsidP="00367E81">
            <w:pPr>
              <w:spacing w:before="240"/>
            </w:pPr>
            <w:r>
              <w:rPr>
                <w:color w:val="FFFFFF"/>
              </w:rPr>
              <w:t>Course Topic</w:t>
            </w:r>
          </w:p>
        </w:tc>
        <w:tc>
          <w:tcPr>
            <w:tcW w:w="2880" w:type="dxa"/>
            <w:tcBorders>
              <w:top w:val="none" w:sz="0" w:space="0" w:color="auto"/>
              <w:left w:val="none" w:sz="0" w:space="0" w:color="auto"/>
              <w:bottom w:val="none" w:sz="0" w:space="0" w:color="auto"/>
              <w:right w:val="none" w:sz="0" w:space="0" w:color="auto"/>
            </w:tcBorders>
            <w:shd w:val="clear" w:color="auto" w:fill="0A192F"/>
          </w:tcPr>
          <w:p w14:paraId="0025C3E5" w14:textId="77777777" w:rsidR="000257C0" w:rsidRDefault="00000000" w:rsidP="00367E81">
            <w:pPr>
              <w:spacing w:before="240"/>
              <w:cnfStyle w:val="100000000000" w:firstRow="1" w:lastRow="0" w:firstColumn="0" w:lastColumn="0" w:oddVBand="0" w:evenVBand="0" w:oddHBand="0" w:evenHBand="0" w:firstRowFirstColumn="0" w:firstRowLastColumn="0" w:lastRowFirstColumn="0" w:lastRowLastColumn="0"/>
            </w:pPr>
            <w:r>
              <w:rPr>
                <w:color w:val="FFFFFF"/>
              </w:rPr>
              <w:t>Where &amp; How Applied in Project</w:t>
            </w:r>
          </w:p>
        </w:tc>
        <w:tc>
          <w:tcPr>
            <w:tcW w:w="2880" w:type="dxa"/>
            <w:tcBorders>
              <w:top w:val="none" w:sz="0" w:space="0" w:color="auto"/>
              <w:left w:val="none" w:sz="0" w:space="0" w:color="auto"/>
              <w:bottom w:val="none" w:sz="0" w:space="0" w:color="auto"/>
              <w:right w:val="none" w:sz="0" w:space="0" w:color="auto"/>
            </w:tcBorders>
            <w:shd w:val="clear" w:color="auto" w:fill="0A192F"/>
          </w:tcPr>
          <w:p w14:paraId="43D8C8EF" w14:textId="77777777" w:rsidR="000257C0" w:rsidRDefault="00000000" w:rsidP="00367E81">
            <w:pPr>
              <w:spacing w:before="240"/>
              <w:cnfStyle w:val="100000000000" w:firstRow="1" w:lastRow="0" w:firstColumn="0" w:lastColumn="0" w:oddVBand="0" w:evenVBand="0" w:oddHBand="0" w:evenHBand="0" w:firstRowFirstColumn="0" w:firstRowLastColumn="0" w:lastRowFirstColumn="0" w:lastRowLastColumn="0"/>
            </w:pPr>
            <w:r>
              <w:rPr>
                <w:color w:val="FFFFFF"/>
              </w:rPr>
              <w:t>Project Code / File Reference</w:t>
            </w:r>
          </w:p>
        </w:tc>
      </w:tr>
      <w:tr w:rsidR="000257C0" w14:paraId="5B5020AC" w14:textId="77777777" w:rsidTr="00367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left w:val="none" w:sz="0" w:space="0" w:color="auto"/>
              <w:right w:val="none" w:sz="0" w:space="0" w:color="auto"/>
            </w:tcBorders>
          </w:tcPr>
          <w:p w14:paraId="4017EADB" w14:textId="77777777" w:rsidR="000257C0" w:rsidRDefault="00000000" w:rsidP="00367E81">
            <w:pPr>
              <w:spacing w:before="240" w:after="40"/>
            </w:pPr>
            <w:r>
              <w:rPr>
                <w:sz w:val="19"/>
              </w:rPr>
              <w:t>Gen AI Fundamentals</w:t>
            </w:r>
          </w:p>
        </w:tc>
        <w:tc>
          <w:tcPr>
            <w:tcW w:w="2880" w:type="dxa"/>
            <w:tcBorders>
              <w:left w:val="none" w:sz="0" w:space="0" w:color="auto"/>
              <w:right w:val="none" w:sz="0" w:space="0" w:color="auto"/>
            </w:tcBorders>
          </w:tcPr>
          <w:p w14:paraId="7099B27D"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RAG reduces hallucinations by grounding responses in private datasets. High-dimensional vector embeddings capture legal terminology nuances.</w:t>
            </w:r>
          </w:p>
        </w:tc>
        <w:tc>
          <w:tcPr>
            <w:tcW w:w="2880" w:type="dxa"/>
            <w:tcBorders>
              <w:left w:val="none" w:sz="0" w:space="0" w:color="auto"/>
              <w:right w:val="none" w:sz="0" w:space="0" w:color="auto"/>
            </w:tcBorders>
          </w:tcPr>
          <w:p w14:paraId="53616AEE"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rag/vectorstore.py, rag/chunker.py</w:t>
            </w:r>
          </w:p>
        </w:tc>
      </w:tr>
      <w:tr w:rsidR="000257C0" w14:paraId="247A9073" w14:textId="77777777" w:rsidTr="00367E81">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C025C20" w14:textId="77777777" w:rsidR="000257C0" w:rsidRDefault="00000000" w:rsidP="00367E81">
            <w:pPr>
              <w:spacing w:before="240" w:after="40"/>
            </w:pPr>
            <w:r>
              <w:rPr>
                <w:sz w:val="19"/>
              </w:rPr>
              <w:t>Prompt Engineering</w:t>
            </w:r>
          </w:p>
        </w:tc>
        <w:tc>
          <w:tcPr>
            <w:tcW w:w="2880" w:type="dxa"/>
          </w:tcPr>
          <w:p w14:paraId="7194F1D7"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Structured system prompts, legal formatting instructions, few-shot examples, and strict citation logic.</w:t>
            </w:r>
          </w:p>
        </w:tc>
        <w:tc>
          <w:tcPr>
            <w:tcW w:w="2880" w:type="dxa"/>
          </w:tcPr>
          <w:p w14:paraId="7A0ECA79"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agent/nodes.py (ANSWER_PROMPT)</w:t>
            </w:r>
          </w:p>
        </w:tc>
      </w:tr>
      <w:tr w:rsidR="000257C0" w14:paraId="677CFBF6" w14:textId="77777777" w:rsidTr="00367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left w:val="none" w:sz="0" w:space="0" w:color="auto"/>
              <w:right w:val="none" w:sz="0" w:space="0" w:color="auto"/>
            </w:tcBorders>
          </w:tcPr>
          <w:p w14:paraId="0D04556F" w14:textId="77777777" w:rsidR="000257C0" w:rsidRDefault="00000000" w:rsidP="00367E81">
            <w:pPr>
              <w:spacing w:before="240" w:after="40"/>
            </w:pPr>
            <w:r>
              <w:rPr>
                <w:sz w:val="19"/>
              </w:rPr>
              <w:t>OpenAI API</w:t>
            </w:r>
          </w:p>
        </w:tc>
        <w:tc>
          <w:tcPr>
            <w:tcW w:w="2880" w:type="dxa"/>
            <w:tcBorders>
              <w:left w:val="none" w:sz="0" w:space="0" w:color="auto"/>
              <w:right w:val="none" w:sz="0" w:space="0" w:color="auto"/>
            </w:tcBorders>
          </w:tcPr>
          <w:p w14:paraId="7A4E4C00"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GPT-4o serves as the primary reasoning engine, and text-embedding-3-small creates dense vector embeddings.</w:t>
            </w:r>
          </w:p>
        </w:tc>
        <w:tc>
          <w:tcPr>
            <w:tcW w:w="2880" w:type="dxa"/>
            <w:tcBorders>
              <w:left w:val="none" w:sz="0" w:space="0" w:color="auto"/>
              <w:right w:val="none" w:sz="0" w:space="0" w:color="auto"/>
            </w:tcBorders>
          </w:tcPr>
          <w:p w14:paraId="28C6A38C"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app.py, rag/vectorstore.py</w:t>
            </w:r>
          </w:p>
        </w:tc>
      </w:tr>
      <w:tr w:rsidR="000257C0" w14:paraId="150F3559" w14:textId="77777777" w:rsidTr="00367E81">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0DAFEDC" w14:textId="77777777" w:rsidR="000257C0" w:rsidRDefault="00000000" w:rsidP="00367E81">
            <w:pPr>
              <w:spacing w:before="240" w:after="40"/>
            </w:pPr>
            <w:r>
              <w:rPr>
                <w:sz w:val="19"/>
              </w:rPr>
              <w:t>HuggingFace Integration</w:t>
            </w:r>
          </w:p>
        </w:tc>
        <w:tc>
          <w:tcPr>
            <w:tcW w:w="2880" w:type="dxa"/>
          </w:tcPr>
          <w:p w14:paraId="2C700661"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Supported embedding swapping (BAAI/bge-base-en-v1.5) for local vector generation comparisons.</w:t>
            </w:r>
          </w:p>
        </w:tc>
        <w:tc>
          <w:tcPr>
            <w:tcW w:w="2880" w:type="dxa"/>
          </w:tcPr>
          <w:p w14:paraId="60B18383"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rag/vectorstore.py, app.py</w:t>
            </w:r>
          </w:p>
        </w:tc>
      </w:tr>
      <w:tr w:rsidR="000257C0" w14:paraId="4794A674" w14:textId="77777777" w:rsidTr="00367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left w:val="none" w:sz="0" w:space="0" w:color="auto"/>
              <w:right w:val="none" w:sz="0" w:space="0" w:color="auto"/>
            </w:tcBorders>
          </w:tcPr>
          <w:p w14:paraId="037E5B5F" w14:textId="77777777" w:rsidR="000257C0" w:rsidRDefault="00000000" w:rsidP="00367E81">
            <w:pPr>
              <w:spacing w:before="240" w:after="40"/>
            </w:pPr>
            <w:r>
              <w:rPr>
                <w:sz w:val="19"/>
              </w:rPr>
              <w:t>DeepSeek API</w:t>
            </w:r>
          </w:p>
        </w:tc>
        <w:tc>
          <w:tcPr>
            <w:tcW w:w="2880" w:type="dxa"/>
            <w:tcBorders>
              <w:left w:val="none" w:sz="0" w:space="0" w:color="auto"/>
              <w:right w:val="none" w:sz="0" w:space="0" w:color="auto"/>
            </w:tcBorders>
          </w:tcPr>
          <w:p w14:paraId="2183FC4B"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Configured DeepSeek-V3 API integration as a high-quality, cost-effective alternative LLM (gpt-4o level reasoning).</w:t>
            </w:r>
          </w:p>
        </w:tc>
        <w:tc>
          <w:tcPr>
            <w:tcW w:w="2880" w:type="dxa"/>
            <w:tcBorders>
              <w:left w:val="none" w:sz="0" w:space="0" w:color="auto"/>
              <w:right w:val="none" w:sz="0" w:space="0" w:color="auto"/>
            </w:tcBorders>
          </w:tcPr>
          <w:p w14:paraId="5F72863C"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app.py, evaluator/metrics.py</w:t>
            </w:r>
          </w:p>
        </w:tc>
      </w:tr>
      <w:tr w:rsidR="000257C0" w14:paraId="776A7964" w14:textId="77777777" w:rsidTr="00367E81">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CC2973E" w14:textId="77777777" w:rsidR="000257C0" w:rsidRDefault="00000000" w:rsidP="00367E81">
            <w:pPr>
              <w:spacing w:before="240" w:after="40"/>
            </w:pPr>
            <w:r>
              <w:rPr>
                <w:sz w:val="19"/>
              </w:rPr>
              <w:t>Google AI Studio</w:t>
            </w:r>
          </w:p>
        </w:tc>
        <w:tc>
          <w:tcPr>
            <w:tcW w:w="2880" w:type="dxa"/>
          </w:tcPr>
          <w:p w14:paraId="4030FCF7"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Integrated Gemini 1.5 Pro and Flash to leverage 1-million token context windows for handling complete contracts.</w:t>
            </w:r>
          </w:p>
        </w:tc>
        <w:tc>
          <w:tcPr>
            <w:tcW w:w="2880" w:type="dxa"/>
          </w:tcPr>
          <w:p w14:paraId="32656899"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app.py, agent/nodes.py</w:t>
            </w:r>
          </w:p>
        </w:tc>
      </w:tr>
      <w:tr w:rsidR="000257C0" w14:paraId="24D08363" w14:textId="77777777" w:rsidTr="00367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left w:val="none" w:sz="0" w:space="0" w:color="auto"/>
              <w:right w:val="none" w:sz="0" w:space="0" w:color="auto"/>
            </w:tcBorders>
          </w:tcPr>
          <w:p w14:paraId="4ABFD9ED" w14:textId="77777777" w:rsidR="000257C0" w:rsidRDefault="00000000" w:rsidP="00367E81">
            <w:pPr>
              <w:spacing w:before="240" w:after="40"/>
            </w:pPr>
            <w:r>
              <w:rPr>
                <w:sz w:val="19"/>
              </w:rPr>
              <w:t>RAG with LangChain</w:t>
            </w:r>
          </w:p>
        </w:tc>
        <w:tc>
          <w:tcPr>
            <w:tcW w:w="2880" w:type="dxa"/>
            <w:tcBorders>
              <w:left w:val="none" w:sz="0" w:space="0" w:color="auto"/>
              <w:right w:val="none" w:sz="0" w:space="0" w:color="auto"/>
            </w:tcBorders>
          </w:tcPr>
          <w:p w14:paraId="3D1848D1"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 xml:space="preserve">Document loaders, custom splitters, vector store retrieval, </w:t>
            </w:r>
            <w:r>
              <w:rPr>
                <w:sz w:val="19"/>
              </w:rPr>
              <w:lastRenderedPageBreak/>
              <w:t>and formatted context assembly.</w:t>
            </w:r>
          </w:p>
        </w:tc>
        <w:tc>
          <w:tcPr>
            <w:tcW w:w="2880" w:type="dxa"/>
            <w:tcBorders>
              <w:left w:val="none" w:sz="0" w:space="0" w:color="auto"/>
              <w:right w:val="none" w:sz="0" w:space="0" w:color="auto"/>
            </w:tcBorders>
          </w:tcPr>
          <w:p w14:paraId="67AE4D18"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lastRenderedPageBreak/>
              <w:t>rag/loader.py, rag/chunker.py</w:t>
            </w:r>
          </w:p>
        </w:tc>
      </w:tr>
      <w:tr w:rsidR="000257C0" w14:paraId="66F10EA7" w14:textId="77777777" w:rsidTr="00367E81">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E4D357E" w14:textId="77777777" w:rsidR="000257C0" w:rsidRDefault="00000000" w:rsidP="00367E81">
            <w:pPr>
              <w:spacing w:before="240" w:after="40"/>
            </w:pPr>
            <w:r>
              <w:rPr>
                <w:sz w:val="19"/>
              </w:rPr>
              <w:t>LangChain Agents</w:t>
            </w:r>
          </w:p>
        </w:tc>
        <w:tc>
          <w:tcPr>
            <w:tcW w:w="2880" w:type="dxa"/>
          </w:tcPr>
          <w:p w14:paraId="230A1C62"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Wrapped standard RAG tools to test simple ReAct (Reason-Action) loops.</w:t>
            </w:r>
          </w:p>
        </w:tc>
        <w:tc>
          <w:tcPr>
            <w:tcW w:w="2880" w:type="dxa"/>
          </w:tcPr>
          <w:p w14:paraId="55EFADF2"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agent/nodes.py</w:t>
            </w:r>
          </w:p>
        </w:tc>
      </w:tr>
      <w:tr w:rsidR="000257C0" w14:paraId="3161C7FA" w14:textId="77777777" w:rsidTr="00367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left w:val="none" w:sz="0" w:space="0" w:color="auto"/>
              <w:right w:val="none" w:sz="0" w:space="0" w:color="auto"/>
            </w:tcBorders>
          </w:tcPr>
          <w:p w14:paraId="48CC1288" w14:textId="77777777" w:rsidR="000257C0" w:rsidRDefault="00000000" w:rsidP="00367E81">
            <w:pPr>
              <w:spacing w:before="240" w:after="40"/>
            </w:pPr>
            <w:r>
              <w:rPr>
                <w:sz w:val="19"/>
              </w:rPr>
              <w:t>LangGraph Agents</w:t>
            </w:r>
          </w:p>
        </w:tc>
        <w:tc>
          <w:tcPr>
            <w:tcW w:w="2880" w:type="dxa"/>
            <w:tcBorders>
              <w:left w:val="none" w:sz="0" w:space="0" w:color="auto"/>
              <w:right w:val="none" w:sz="0" w:space="0" w:color="auto"/>
            </w:tcBorders>
          </w:tcPr>
          <w:p w14:paraId="57EFBA88"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Compiled a stateful multi-step loop (Classify -&gt; Retrieve -&gt; Assess -&gt; Rewrite -&gt; Generate) preserving chat history.</w:t>
            </w:r>
          </w:p>
        </w:tc>
        <w:tc>
          <w:tcPr>
            <w:tcW w:w="2880" w:type="dxa"/>
            <w:tcBorders>
              <w:left w:val="none" w:sz="0" w:space="0" w:color="auto"/>
              <w:right w:val="none" w:sz="0" w:space="0" w:color="auto"/>
            </w:tcBorders>
          </w:tcPr>
          <w:p w14:paraId="22D3C60E"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agent/graph.py, agent/state.py</w:t>
            </w:r>
          </w:p>
        </w:tc>
      </w:tr>
      <w:tr w:rsidR="000257C0" w14:paraId="7FA4254F" w14:textId="77777777" w:rsidTr="00367E81">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F4180D7" w14:textId="77777777" w:rsidR="000257C0" w:rsidRDefault="00000000" w:rsidP="00367E81">
            <w:pPr>
              <w:spacing w:before="240" w:after="40"/>
            </w:pPr>
            <w:r>
              <w:rPr>
                <w:sz w:val="19"/>
              </w:rPr>
              <w:t>No-Code Triggering</w:t>
            </w:r>
          </w:p>
        </w:tc>
        <w:tc>
          <w:tcPr>
            <w:tcW w:w="2880" w:type="dxa"/>
          </w:tcPr>
          <w:p w14:paraId="5EF8625D"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Built workflow hooks for local dockerized N8N integration.</w:t>
            </w:r>
          </w:p>
        </w:tc>
        <w:tc>
          <w:tcPr>
            <w:tcW w:w="2880" w:type="dxa"/>
          </w:tcPr>
          <w:p w14:paraId="79E274B4"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app.py, agent/graph.py</w:t>
            </w:r>
          </w:p>
        </w:tc>
      </w:tr>
      <w:tr w:rsidR="000257C0" w14:paraId="3BCE5118" w14:textId="77777777" w:rsidTr="00367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left w:val="none" w:sz="0" w:space="0" w:color="auto"/>
              <w:right w:val="none" w:sz="0" w:space="0" w:color="auto"/>
            </w:tcBorders>
          </w:tcPr>
          <w:p w14:paraId="573834B8" w14:textId="77777777" w:rsidR="000257C0" w:rsidRDefault="00000000" w:rsidP="00367E81">
            <w:pPr>
              <w:spacing w:before="240" w:after="40"/>
            </w:pPr>
            <w:r>
              <w:rPr>
                <w:sz w:val="19"/>
              </w:rPr>
              <w:t>OpenAI Agent Builder</w:t>
            </w:r>
          </w:p>
        </w:tc>
        <w:tc>
          <w:tcPr>
            <w:tcW w:w="2880" w:type="dxa"/>
            <w:tcBorders>
              <w:left w:val="none" w:sz="0" w:space="0" w:color="auto"/>
              <w:right w:val="none" w:sz="0" w:space="0" w:color="auto"/>
            </w:tcBorders>
          </w:tcPr>
          <w:p w14:paraId="224B5BC6"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Simulated file search assistants utilizing OpenAI API vector stores.</w:t>
            </w:r>
          </w:p>
        </w:tc>
        <w:tc>
          <w:tcPr>
            <w:tcW w:w="2880" w:type="dxa"/>
            <w:tcBorders>
              <w:left w:val="none" w:sz="0" w:space="0" w:color="auto"/>
              <w:right w:val="none" w:sz="0" w:space="0" w:color="auto"/>
            </w:tcBorders>
          </w:tcPr>
          <w:p w14:paraId="400C881B"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app.py</w:t>
            </w:r>
          </w:p>
        </w:tc>
      </w:tr>
      <w:tr w:rsidR="000257C0" w14:paraId="3DA91011" w14:textId="77777777" w:rsidTr="00367E81">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509E506" w14:textId="77777777" w:rsidR="000257C0" w:rsidRDefault="00000000" w:rsidP="00367E81">
            <w:pPr>
              <w:spacing w:before="240" w:after="40"/>
            </w:pPr>
            <w:r>
              <w:rPr>
                <w:sz w:val="19"/>
              </w:rPr>
              <w:t>Agent Evaluation</w:t>
            </w:r>
          </w:p>
        </w:tc>
        <w:tc>
          <w:tcPr>
            <w:tcW w:w="2880" w:type="dxa"/>
          </w:tcPr>
          <w:p w14:paraId="17A4192F"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LLM-as-a-judge Faithfulness evaluation, custom Latency context manager, and precise token dollar cost calculations.</w:t>
            </w:r>
          </w:p>
        </w:tc>
        <w:tc>
          <w:tcPr>
            <w:tcW w:w="2880" w:type="dxa"/>
          </w:tcPr>
          <w:p w14:paraId="0D66D93F"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evaluator/metrics.py, app.py</w:t>
            </w:r>
          </w:p>
        </w:tc>
      </w:tr>
      <w:tr w:rsidR="000257C0" w14:paraId="5E1B376E" w14:textId="77777777" w:rsidTr="00367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left w:val="none" w:sz="0" w:space="0" w:color="auto"/>
              <w:right w:val="none" w:sz="0" w:space="0" w:color="auto"/>
            </w:tcBorders>
          </w:tcPr>
          <w:p w14:paraId="19DA2F46" w14:textId="77777777" w:rsidR="000257C0" w:rsidRDefault="00000000" w:rsidP="00367E81">
            <w:pPr>
              <w:spacing w:before="240" w:after="40"/>
            </w:pPr>
            <w:r>
              <w:rPr>
                <w:sz w:val="19"/>
              </w:rPr>
              <w:t>HELM Benchmarks</w:t>
            </w:r>
          </w:p>
        </w:tc>
        <w:tc>
          <w:tcPr>
            <w:tcW w:w="2880" w:type="dxa"/>
            <w:tcBorders>
              <w:left w:val="none" w:sz="0" w:space="0" w:color="auto"/>
              <w:right w:val="none" w:sz="0" w:space="0" w:color="auto"/>
            </w:tcBorders>
          </w:tcPr>
          <w:p w14:paraId="625454C3"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Benchmarked models on LegalBench, BoolQ, and MATH; visualized findings directly in the Streamlit UI.</w:t>
            </w:r>
          </w:p>
        </w:tc>
        <w:tc>
          <w:tcPr>
            <w:tcW w:w="2880" w:type="dxa"/>
            <w:tcBorders>
              <w:left w:val="none" w:sz="0" w:space="0" w:color="auto"/>
              <w:right w:val="none" w:sz="0" w:space="0" w:color="auto"/>
            </w:tcBorders>
          </w:tcPr>
          <w:p w14:paraId="5844AFDB"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app.py (tab_bench)</w:t>
            </w:r>
          </w:p>
        </w:tc>
      </w:tr>
      <w:tr w:rsidR="000257C0" w14:paraId="11FF0CA8" w14:textId="77777777" w:rsidTr="00367E81">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52A4CC1" w14:textId="77777777" w:rsidR="000257C0" w:rsidRDefault="00000000" w:rsidP="00367E81">
            <w:pPr>
              <w:spacing w:before="240" w:after="40"/>
            </w:pPr>
            <w:r>
              <w:rPr>
                <w:sz w:val="19"/>
              </w:rPr>
              <w:t>Artificial Analysis</w:t>
            </w:r>
          </w:p>
        </w:tc>
        <w:tc>
          <w:tcPr>
            <w:tcW w:w="2880" w:type="dxa"/>
          </w:tcPr>
          <w:p w14:paraId="52CF6121"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Analyzed and charted quality vs. speed vs. cost parameters to select optimal primary/secondary LLMs.</w:t>
            </w:r>
          </w:p>
        </w:tc>
        <w:tc>
          <w:tcPr>
            <w:tcW w:w="2880" w:type="dxa"/>
          </w:tcPr>
          <w:p w14:paraId="78CE00BB"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app.py (tab_bench)</w:t>
            </w:r>
          </w:p>
        </w:tc>
      </w:tr>
      <w:tr w:rsidR="000257C0" w14:paraId="52224365" w14:textId="77777777" w:rsidTr="00367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left w:val="none" w:sz="0" w:space="0" w:color="auto"/>
              <w:right w:val="none" w:sz="0" w:space="0" w:color="auto"/>
            </w:tcBorders>
          </w:tcPr>
          <w:p w14:paraId="0095534A" w14:textId="77777777" w:rsidR="000257C0" w:rsidRDefault="00000000" w:rsidP="00367E81">
            <w:pPr>
              <w:spacing w:before="240" w:after="40"/>
            </w:pPr>
            <w:r>
              <w:rPr>
                <w:sz w:val="19"/>
              </w:rPr>
              <w:t>LLM Arena Elo</w:t>
            </w:r>
          </w:p>
        </w:tc>
        <w:tc>
          <w:tcPr>
            <w:tcW w:w="2880" w:type="dxa"/>
            <w:tcBorders>
              <w:left w:val="none" w:sz="0" w:space="0" w:color="auto"/>
              <w:right w:val="none" w:sz="0" w:space="0" w:color="auto"/>
            </w:tcBorders>
          </w:tcPr>
          <w:p w14:paraId="7BA8F194"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Leveraged blind A/B Elo ratings for precise instruction-following model selections.</w:t>
            </w:r>
          </w:p>
        </w:tc>
        <w:tc>
          <w:tcPr>
            <w:tcW w:w="2880" w:type="dxa"/>
            <w:tcBorders>
              <w:left w:val="none" w:sz="0" w:space="0" w:color="auto"/>
              <w:right w:val="none" w:sz="0" w:space="0" w:color="auto"/>
            </w:tcBorders>
          </w:tcPr>
          <w:p w14:paraId="1B48C7B6"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app.py (tab_bench)</w:t>
            </w:r>
          </w:p>
        </w:tc>
      </w:tr>
    </w:tbl>
    <w:p w14:paraId="07804EF7" w14:textId="77777777" w:rsidR="000257C0" w:rsidRDefault="00000000">
      <w:r>
        <w:br w:type="page"/>
      </w:r>
    </w:p>
    <w:p w14:paraId="606201F7" w14:textId="77777777" w:rsidR="000257C0" w:rsidRDefault="00000000">
      <w:pPr>
        <w:keepNext/>
        <w:spacing w:before="560" w:after="280"/>
      </w:pPr>
      <w:r>
        <w:rPr>
          <w:b/>
          <w:color w:val="0A192F"/>
          <w:u w:val="single"/>
        </w:rPr>
        <w:lastRenderedPageBreak/>
        <w:t>3. SYSTEM ARCHITECTURE &amp; STATEFUL REASONING</w:t>
      </w:r>
    </w:p>
    <w:p w14:paraId="2AF24F54" w14:textId="77777777" w:rsidR="000257C0" w:rsidRDefault="00000000">
      <w:r>
        <w:t>A traditional RAG pipeline ('Classic RAG') is a naive, linear process: it takes a user query, encodes it, queries a vector database, and passes the retrieved chunks directly to an LLM. While simple, Classic RAG frequently fails on complex legal queries. If the user's question contains a spelling error, refers to multiple documents, or requires reasoning over both case law and contracts, standard retrieval will return incomplete or irrelevant text, causing the LLM to generate hallucinated or ungrounded answers.</w:t>
      </w:r>
    </w:p>
    <w:p w14:paraId="2CDA00E4" w14:textId="77777777" w:rsidR="000257C0" w:rsidRDefault="00000000">
      <w:r>
        <w:t xml:space="preserve">To solve this, this project implements an </w:t>
      </w:r>
      <w:r>
        <w:rPr>
          <w:b/>
        </w:rPr>
        <w:t>Agentic RAG Pipeline</w:t>
      </w:r>
      <w:r>
        <w:t xml:space="preserve"> built using </w:t>
      </w:r>
      <w:r>
        <w:rPr>
          <w:b/>
        </w:rPr>
        <w:t>LangGraph</w:t>
      </w:r>
      <w:r>
        <w:t xml:space="preserve">. The system leverages a stateful, cyclic graph that models the legal reasoning process like a human researcher. When a query is received, the agent: </w:t>
      </w:r>
      <w:r>
        <w:br/>
        <w:t>1. Classifies the query intent to route searches only to the relevant collections (preventing noise).</w:t>
      </w:r>
      <w:r>
        <w:br/>
        <w:t>2. Performs parallel or targeted vector searches.</w:t>
      </w:r>
      <w:r>
        <w:br/>
        <w:t>3. Acts as a quality controller (LLM-as-a-judge) to assess if the context retrieved is actually sufficient to answer the question.</w:t>
      </w:r>
      <w:r>
        <w:br/>
        <w:t>4. If the context is deemed insufficient, it automatically rewrites the search query to hunt for missing facts (looping up to 2 times).</w:t>
      </w:r>
      <w:r>
        <w:br/>
        <w:t>5. Once context is sufficient, it generates a response utilizing strict, traceable legal citation guidelines.</w:t>
      </w:r>
    </w:p>
    <w:p w14:paraId="4260E738" w14:textId="77777777" w:rsidR="000257C0" w:rsidRDefault="00000000">
      <w:pPr>
        <w:keepNext/>
        <w:spacing w:before="360" w:after="200"/>
      </w:pPr>
      <w:r>
        <w:rPr>
          <w:b/>
          <w:color w:val="667EEA"/>
        </w:rPr>
        <w:t>3.1 The Stateful LangGraph Workflow Graph</w:t>
      </w:r>
    </w:p>
    <w:p w14:paraId="1A93389F" w14:textId="77777777" w:rsidR="000257C0" w:rsidRDefault="00000000">
      <w:r>
        <w:t xml:space="preserve">The graph is constructed using a central state definition </w:t>
      </w:r>
      <w:r>
        <w:rPr>
          <w:rFonts w:ascii="Consolas" w:hAnsi="Consolas"/>
          <w:b/>
          <w:color w:val="667EEA"/>
          <w:sz w:val="20"/>
        </w:rPr>
        <w:t>AgentState</w:t>
      </w:r>
      <w:r>
        <w:t xml:space="preserve"> that tracks key variables throughout execution, such as the active user question, query categories, retrieved documents, loop count, sufficiency status, steps, and conversational history.</w:t>
      </w:r>
    </w:p>
    <w:p w14:paraId="1CEFE71B" w14:textId="77777777" w:rsidR="000257C0" w:rsidRDefault="00000000">
      <w:pPr>
        <w:spacing w:before="160"/>
        <w:ind w:left="576" w:right="576"/>
      </w:pPr>
      <w:r>
        <w:rPr>
          <w:color w:val="475569"/>
        </w:rPr>
        <w:t xml:space="preserve">State Transition Logic: </w:t>
      </w:r>
      <w:r>
        <w:rPr>
          <w:color w:val="475569"/>
        </w:rPr>
        <w:br/>
        <w:t>classify_query -&gt; retrieve -&gt; assess_sufficiency</w:t>
      </w:r>
      <w:r>
        <w:rPr>
          <w:color w:val="475569"/>
        </w:rPr>
        <w:br/>
        <w:t xml:space="preserve">  ├─&gt; [sufficient or loop_count &gt;= 2] ─&gt; generate_answer ─&gt; END</w:t>
      </w:r>
      <w:r>
        <w:rPr>
          <w:color w:val="475569"/>
        </w:rPr>
        <w:br/>
        <w:t xml:space="preserve">  └─&gt; [insufficient] ─&gt; rewrite_query ─&gt; retrieve (loop back)</w:t>
      </w:r>
    </w:p>
    <w:p w14:paraId="3A81CB41" w14:textId="77777777" w:rsidR="000257C0" w:rsidRDefault="00000000">
      <w:pPr>
        <w:keepNext/>
        <w:spacing w:before="560" w:after="280"/>
      </w:pPr>
      <w:r>
        <w:rPr>
          <w:b/>
          <w:color w:val="0A192F"/>
          <w:u w:val="single"/>
        </w:rPr>
        <w:lastRenderedPageBreak/>
        <w:t>4. TECHNICAL COMPONENT BREAKDOWN &amp; CODE WALKTHROUGH</w:t>
      </w:r>
    </w:p>
    <w:p w14:paraId="205F4B4A" w14:textId="77777777" w:rsidR="000257C0" w:rsidRDefault="00000000">
      <w:r>
        <w:t>The application is structured into modular components, ensuring clean separation of concerns and high maintainability. This section reviews the implementation of the three main engines: Ingestion (RAG), Agent Reasoning (LangGraph), and Evaluation.</w:t>
      </w:r>
    </w:p>
    <w:p w14:paraId="02D82516" w14:textId="77777777" w:rsidR="000257C0" w:rsidRDefault="00000000">
      <w:pPr>
        <w:keepNext/>
        <w:spacing w:before="360" w:after="200"/>
      </w:pPr>
      <w:r>
        <w:rPr>
          <w:b/>
          <w:color w:val="667EEA"/>
        </w:rPr>
        <w:t>4.1 Ingestion &amp; Vector Retrieval Engine</w:t>
      </w:r>
    </w:p>
    <w:p w14:paraId="3913703E" w14:textId="77777777" w:rsidR="000257C0" w:rsidRDefault="00000000">
      <w:r>
        <w:t>The offline data pipeline handles loading, parsing, chunking, and storing documents. It is divided into three key scripts:</w:t>
      </w:r>
    </w:p>
    <w:p w14:paraId="39C5DDA8" w14:textId="77777777" w:rsidR="000257C0" w:rsidRDefault="00000000">
      <w:pPr>
        <w:keepNext/>
        <w:spacing w:before="280" w:after="120"/>
      </w:pPr>
      <w:r>
        <w:rPr>
          <w:b/>
        </w:rPr>
        <w:t>4.1.1 Document Ingestion (rag/loader.py)</w:t>
      </w:r>
    </w:p>
    <w:p w14:paraId="76D54C6C" w14:textId="77777777" w:rsidR="000257C0" w:rsidRDefault="00000000">
      <w:r>
        <w:t xml:space="preserve">Ingests court cases (.txt, .md), agreements (.docx), and PDF outlines (.pdf). The loader uses PyMuPDF (via </w:t>
      </w:r>
      <w:r>
        <w:rPr>
          <w:rFonts w:ascii="Consolas" w:hAnsi="Consolas"/>
          <w:b/>
          <w:color w:val="667EEA"/>
          <w:sz w:val="20"/>
        </w:rPr>
        <w:t>fitz</w:t>
      </w:r>
      <w:r>
        <w:t>) for PDF parsing because of its high speed and accurate layout retention, ensuring legal tables, headers, and numbered lists are preserved. Document category is inferred automatically from the folder path (</w:t>
      </w:r>
      <w:r>
        <w:rPr>
          <w:rFonts w:ascii="Consolas" w:hAnsi="Consolas"/>
          <w:b/>
          <w:color w:val="667EEA"/>
          <w:sz w:val="20"/>
        </w:rPr>
        <w:t>case_law</w:t>
      </w:r>
      <w:r>
        <w:t xml:space="preserve"> or </w:t>
      </w:r>
      <w:r>
        <w:rPr>
          <w:rFonts w:ascii="Consolas" w:hAnsi="Consolas"/>
          <w:b/>
          <w:color w:val="667EEA"/>
          <w:sz w:val="20"/>
        </w:rPr>
        <w:t>contracts</w:t>
      </w:r>
      <w:r>
        <w:t>), adding metadata tags that are critical for vector store routing.</w:t>
      </w:r>
    </w:p>
    <w:p w14:paraId="6FE1B5A1" w14:textId="77777777" w:rsidR="000257C0" w:rsidRDefault="00000000">
      <w:pPr>
        <w:keepNext/>
        <w:spacing w:before="280" w:after="120"/>
      </w:pPr>
      <w:r>
        <w:rPr>
          <w:b/>
        </w:rPr>
        <w:t>4.1.2 Chunking Strategies (rag/chunker.py)</w:t>
      </w:r>
    </w:p>
    <w:p w14:paraId="4101DEFE" w14:textId="77777777" w:rsidR="000257C0" w:rsidRDefault="00000000">
      <w:r>
        <w:t>Legal clauses cannot be parsed arbitrarily. To preserve complete agreements, the app supports 4 chunking strategies:</w:t>
      </w:r>
      <w:r>
        <w:br/>
        <w:t xml:space="preserve">- </w:t>
      </w:r>
      <w:r>
        <w:rPr>
          <w:b/>
        </w:rPr>
        <w:t>Recursive Character Splitter (Default):</w:t>
      </w:r>
      <w:r>
        <w:t xml:space="preserve"> Iterates over paragraph boundaries, newline symbols, and sentences. Excellent for general query answering.</w:t>
      </w:r>
      <w:r>
        <w:br/>
        <w:t xml:space="preserve">- </w:t>
      </w:r>
      <w:r>
        <w:rPr>
          <w:b/>
        </w:rPr>
        <w:t>Overlapping Splitter:</w:t>
      </w:r>
      <w:r>
        <w:t xml:space="preserve"> Enforces a rigid overlap to prevent cutting critical legal definitions in half at chunk boundaries.</w:t>
      </w:r>
      <w:r>
        <w:br/>
        <w:t xml:space="preserve">- </w:t>
      </w:r>
      <w:r>
        <w:rPr>
          <w:b/>
        </w:rPr>
        <w:t>Fixed-size Splitter:</w:t>
      </w:r>
      <w:r>
        <w:t xml:space="preserve"> Fast character-based slicing used for benchmark comparisons.</w:t>
      </w:r>
      <w:r>
        <w:br/>
        <w:t xml:space="preserve">- </w:t>
      </w:r>
      <w:r>
        <w:rPr>
          <w:b/>
        </w:rPr>
        <w:t>Token-based Splitter:</w:t>
      </w:r>
      <w:r>
        <w:t xml:space="preserve"> Leverages model tokenizers to align chunk limits perfectly to LLM input constraints.</w:t>
      </w:r>
    </w:p>
    <w:p w14:paraId="7FD499B3" w14:textId="77777777" w:rsidR="000257C0" w:rsidRDefault="00000000">
      <w:pPr>
        <w:keepNext/>
        <w:spacing w:before="280" w:after="120"/>
      </w:pPr>
      <w:r>
        <w:rPr>
          <w:b/>
        </w:rPr>
        <w:t>4.1.3 Multi-Collection Persistence (rag/vectorstore.py)</w:t>
      </w:r>
    </w:p>
    <w:p w14:paraId="1A1969A8" w14:textId="77777777" w:rsidR="000257C0" w:rsidRDefault="00000000">
      <w:r>
        <w:t xml:space="preserve">We build three isolated ChromaDB collections: </w:t>
      </w:r>
      <w:r>
        <w:rPr>
          <w:rFonts w:ascii="Consolas" w:hAnsi="Consolas"/>
          <w:b/>
          <w:color w:val="667EEA"/>
          <w:sz w:val="20"/>
        </w:rPr>
        <w:t>legal_case_law</w:t>
      </w:r>
      <w:r>
        <w:t xml:space="preserve">, </w:t>
      </w:r>
      <w:r>
        <w:rPr>
          <w:rFonts w:ascii="Consolas" w:hAnsi="Consolas"/>
          <w:b/>
          <w:color w:val="667EEA"/>
          <w:sz w:val="20"/>
        </w:rPr>
        <w:t>legal_contracts</w:t>
      </w:r>
      <w:r>
        <w:t xml:space="preserve">, and </w:t>
      </w:r>
      <w:r>
        <w:rPr>
          <w:rFonts w:ascii="Consolas" w:hAnsi="Consolas"/>
          <w:b/>
          <w:color w:val="667EEA"/>
          <w:sz w:val="20"/>
        </w:rPr>
        <w:t>legal_general</w:t>
      </w:r>
      <w:r>
        <w:t xml:space="preserve">. Separating collections prevents cross-domain noise (e.g., retrieving employment contract clauses when looking for corporate whistleblowing precedents). Embeddings are computed using OpenAI's </w:t>
      </w:r>
      <w:r>
        <w:rPr>
          <w:rFonts w:ascii="Consolas" w:hAnsi="Consolas"/>
          <w:b/>
          <w:color w:val="667EEA"/>
          <w:sz w:val="20"/>
        </w:rPr>
        <w:t>text-embedding-3-small</w:t>
      </w:r>
      <w:r>
        <w:t xml:space="preserve"> for a highly dense semantic space, with configuration options for BAAI open-source embeddings.</w:t>
      </w:r>
    </w:p>
    <w:p w14:paraId="5BF70ECC" w14:textId="77777777" w:rsidR="000257C0" w:rsidRDefault="00000000">
      <w:pPr>
        <w:keepNext/>
        <w:spacing w:before="360" w:after="200"/>
      </w:pPr>
      <w:r>
        <w:rPr>
          <w:b/>
          <w:color w:val="667EEA"/>
        </w:rPr>
        <w:lastRenderedPageBreak/>
        <w:t>4.2 Stateful Agent Engine (LangGraph)</w:t>
      </w:r>
    </w:p>
    <w:p w14:paraId="2FFF8DDD" w14:textId="77777777" w:rsidR="000257C0" w:rsidRDefault="00000000">
      <w:r>
        <w:t xml:space="preserve">The agent engine manages the stateful nodes and transitions, preserving multi-turn conversational history via a </w:t>
      </w:r>
      <w:r>
        <w:rPr>
          <w:rFonts w:ascii="Consolas" w:hAnsi="Consolas"/>
          <w:b/>
          <w:color w:val="667EEA"/>
          <w:sz w:val="20"/>
        </w:rPr>
        <w:t>MemorySaver</w:t>
      </w:r>
      <w:r>
        <w:t xml:space="preserve"> checkpointer.</w:t>
      </w:r>
    </w:p>
    <w:p w14:paraId="79F22462" w14:textId="77777777" w:rsidR="000257C0" w:rsidRDefault="00000000">
      <w:pPr>
        <w:keepNext/>
        <w:spacing w:before="280" w:after="120"/>
      </w:pPr>
      <w:r>
        <w:rPr>
          <w:b/>
        </w:rPr>
        <w:t>4.2.1 Agent State Definition (agent/state.py)</w:t>
      </w:r>
    </w:p>
    <w:p w14:paraId="596AC048" w14:textId="77777777" w:rsidR="000257C0" w:rsidRDefault="00000000">
      <w:r>
        <w:t xml:space="preserve">The AgentState is represented as a Python TypedDict. It stores the </w:t>
      </w:r>
      <w:r>
        <w:rPr>
          <w:rFonts w:ascii="Consolas" w:hAnsi="Consolas"/>
          <w:b/>
          <w:color w:val="667EEA"/>
          <w:sz w:val="20"/>
        </w:rPr>
        <w:t>question</w:t>
      </w:r>
      <w:r>
        <w:t xml:space="preserve"> (str), </w:t>
      </w:r>
      <w:r>
        <w:rPr>
          <w:rFonts w:ascii="Consolas" w:hAnsi="Consolas"/>
          <w:b/>
          <w:color w:val="667EEA"/>
          <w:sz w:val="20"/>
        </w:rPr>
        <w:t>chat_history</w:t>
      </w:r>
      <w:r>
        <w:t xml:space="preserve"> (list of dicts), </w:t>
      </w:r>
      <w:r>
        <w:rPr>
          <w:rFonts w:ascii="Consolas" w:hAnsi="Consolas"/>
          <w:b/>
          <w:color w:val="667EEA"/>
          <w:sz w:val="20"/>
        </w:rPr>
        <w:t>query_type</w:t>
      </w:r>
      <w:r>
        <w:t xml:space="preserve"> (str indicating target collection), </w:t>
      </w:r>
      <w:r>
        <w:rPr>
          <w:rFonts w:ascii="Consolas" w:hAnsi="Consolas"/>
          <w:b/>
          <w:color w:val="667EEA"/>
          <w:sz w:val="20"/>
        </w:rPr>
        <w:t>search_queries</w:t>
      </w:r>
      <w:r>
        <w:t xml:space="preserve"> (list of optimized sub-queries), </w:t>
      </w:r>
      <w:r>
        <w:rPr>
          <w:rFonts w:ascii="Consolas" w:hAnsi="Consolas"/>
          <w:b/>
          <w:color w:val="667EEA"/>
          <w:sz w:val="20"/>
        </w:rPr>
        <w:t>retrieved_docs</w:t>
      </w:r>
      <w:r>
        <w:t xml:space="preserve"> (list of LangChain Documents), </w:t>
      </w:r>
      <w:r>
        <w:rPr>
          <w:rFonts w:ascii="Consolas" w:hAnsi="Consolas"/>
          <w:b/>
          <w:color w:val="667EEA"/>
          <w:sz w:val="20"/>
        </w:rPr>
        <w:t>loop_count</w:t>
      </w:r>
      <w:r>
        <w:t xml:space="preserve"> (int), </w:t>
      </w:r>
      <w:r>
        <w:rPr>
          <w:rFonts w:ascii="Consolas" w:hAnsi="Consolas"/>
          <w:b/>
          <w:color w:val="667EEA"/>
          <w:sz w:val="20"/>
        </w:rPr>
        <w:t>is_sufficient</w:t>
      </w:r>
      <w:r>
        <w:t xml:space="preserve"> (bool), and </w:t>
      </w:r>
      <w:r>
        <w:rPr>
          <w:rFonts w:ascii="Consolas" w:hAnsi="Consolas"/>
          <w:b/>
          <w:color w:val="667EEA"/>
          <w:sz w:val="20"/>
        </w:rPr>
        <w:t>answer</w:t>
      </w:r>
      <w:r>
        <w:t xml:space="preserve"> (str). Crucially, the </w:t>
      </w:r>
      <w:r>
        <w:rPr>
          <w:rFonts w:ascii="Consolas" w:hAnsi="Consolas"/>
          <w:b/>
          <w:color w:val="667EEA"/>
          <w:sz w:val="20"/>
        </w:rPr>
        <w:t>steps</w:t>
      </w:r>
      <w:r>
        <w:t xml:space="preserve"> list uses the </w:t>
      </w:r>
      <w:r>
        <w:rPr>
          <w:rFonts w:ascii="Consolas" w:hAnsi="Consolas"/>
          <w:b/>
          <w:color w:val="667EEA"/>
          <w:sz w:val="20"/>
        </w:rPr>
        <w:t>operator.add</w:t>
      </w:r>
      <w:r>
        <w:t xml:space="preserve"> reducer, allowing the system to append execution step strings dynamically across nodes for full traceability.</w:t>
      </w:r>
    </w:p>
    <w:p w14:paraId="6F5F6D95" w14:textId="77777777" w:rsidR="000257C0" w:rsidRDefault="00000000">
      <w:pPr>
        <w:keepNext/>
        <w:spacing w:before="280" w:after="120"/>
      </w:pPr>
      <w:r>
        <w:rPr>
          <w:b/>
        </w:rPr>
        <w:t>4.2.2 Agent Node Walkthrough (agent/nodes.py)</w:t>
      </w:r>
    </w:p>
    <w:p w14:paraId="3AFBEEC1" w14:textId="77777777" w:rsidR="000257C0" w:rsidRDefault="00000000">
      <w:r>
        <w:t>Each node performs a dedicated, atomic operation using custom system prompts:</w:t>
      </w:r>
      <w:r>
        <w:br/>
        <w:t xml:space="preserve">1. </w:t>
      </w:r>
      <w:r>
        <w:rPr>
          <w:b/>
        </w:rPr>
        <w:t>Classify Query (classify_node):</w:t>
      </w:r>
      <w:r>
        <w:t xml:space="preserve"> Evaluates if a query belongs to case law, contracts, both, or general concepts. It generates 1-3 optimized keyword search terms.</w:t>
      </w:r>
      <w:r>
        <w:br/>
        <w:t xml:space="preserve">2. </w:t>
      </w:r>
      <w:r>
        <w:rPr>
          <w:b/>
        </w:rPr>
        <w:t>Retrieve (retrieve_node):</w:t>
      </w:r>
      <w:r>
        <w:t xml:space="preserve"> Dynamically invokes the retrievers corresponding to the classified categories, then performs strict semantic deduplication.</w:t>
      </w:r>
      <w:r>
        <w:br/>
        <w:t xml:space="preserve">3. </w:t>
      </w:r>
      <w:r>
        <w:rPr>
          <w:b/>
        </w:rPr>
        <w:t>Assess Sufficiency (assess_node):</w:t>
      </w:r>
      <w:r>
        <w:t xml:space="preserve"> Acting as a strict quality judge, the LLM analyzes if the retrieved text has enough facts to answer the question fully. It outputs JSON containing 'is_sufficient' and 'reason'.</w:t>
      </w:r>
      <w:r>
        <w:br/>
        <w:t xml:space="preserve">4. </w:t>
      </w:r>
      <w:r>
        <w:rPr>
          <w:b/>
        </w:rPr>
        <w:t>Query Refinement (rewrite_node):</w:t>
      </w:r>
      <w:r>
        <w:t xml:space="preserve"> If sufficiency is False, the LLM evaluates previous queries and generates highly specific alternative search terms to fill the info-gap.</w:t>
      </w:r>
      <w:r>
        <w:br/>
        <w:t xml:space="preserve">5. </w:t>
      </w:r>
      <w:r>
        <w:rPr>
          <w:b/>
        </w:rPr>
        <w:t>Generate (generate_node):</w:t>
      </w:r>
      <w:r>
        <w:t xml:space="preserve"> Formulates the final legal answer. It requires strict citation tags (e.g., [Source: filename, p.X]), professional structure, and the mandatory warning disclaimer.</w:t>
      </w:r>
    </w:p>
    <w:p w14:paraId="6E03453E" w14:textId="77777777" w:rsidR="000257C0" w:rsidRDefault="00000000">
      <w:pPr>
        <w:keepNext/>
        <w:spacing w:before="280" w:after="120"/>
      </w:pPr>
      <w:r>
        <w:rPr>
          <w:b/>
        </w:rPr>
        <w:t>4.2.3 Graph Compilation (agent/graph.py)</w:t>
      </w:r>
    </w:p>
    <w:p w14:paraId="0E844148" w14:textId="77777777" w:rsidR="000257C0" w:rsidRDefault="00000000">
      <w:r>
        <w:t xml:space="preserve">Compiles the state graph with a conditional routing edge after the assessment node. If context is sufficient or the loop count reaches </w:t>
      </w:r>
      <w:r>
        <w:rPr>
          <w:rFonts w:ascii="Consolas" w:hAnsi="Consolas"/>
          <w:b/>
          <w:color w:val="667EEA"/>
          <w:sz w:val="20"/>
        </w:rPr>
        <w:t>MAX_LOOPS = 2</w:t>
      </w:r>
      <w:r>
        <w:t xml:space="preserve">, the graph routes to </w:t>
      </w:r>
      <w:r>
        <w:rPr>
          <w:rFonts w:ascii="Consolas" w:hAnsi="Consolas"/>
          <w:b/>
          <w:color w:val="667EEA"/>
          <w:sz w:val="20"/>
        </w:rPr>
        <w:t>generate</w:t>
      </w:r>
      <w:r>
        <w:t xml:space="preserve">; otherwise, it routes to </w:t>
      </w:r>
      <w:r>
        <w:rPr>
          <w:rFonts w:ascii="Consolas" w:hAnsi="Consolas"/>
          <w:b/>
          <w:color w:val="667EEA"/>
          <w:sz w:val="20"/>
        </w:rPr>
        <w:t>rewrite</w:t>
      </w:r>
      <w:r>
        <w:t>, forming the reasoning loop.</w:t>
      </w:r>
    </w:p>
    <w:p w14:paraId="02C90E0C" w14:textId="77777777" w:rsidR="000257C0" w:rsidRDefault="00000000">
      <w:r>
        <w:br w:type="page"/>
      </w:r>
    </w:p>
    <w:p w14:paraId="762CA03F" w14:textId="77777777" w:rsidR="000257C0" w:rsidRDefault="00000000">
      <w:pPr>
        <w:keepNext/>
        <w:spacing w:before="560" w:after="280"/>
      </w:pPr>
      <w:r>
        <w:rPr>
          <w:b/>
          <w:color w:val="0A192F"/>
          <w:u w:val="single"/>
        </w:rPr>
        <w:lastRenderedPageBreak/>
        <w:t>5. CAPSTONE CASE SUITE &amp; LEGAL REASONING</w:t>
      </w:r>
    </w:p>
    <w:p w14:paraId="290C9271" w14:textId="77777777" w:rsidR="000257C0" w:rsidRDefault="00000000">
      <w:r>
        <w:t>To validate the end-to-end functionality of the agent, the project incorporates 10 realistic legal scenarios drawn from standard legal practices. This section details the case facts, the legal issues, the optimized RAG queries, and how the agent resolves each scenario.</w:t>
      </w:r>
    </w:p>
    <w:p w14:paraId="625AC5B3" w14:textId="77777777" w:rsidR="000257C0" w:rsidRDefault="00000000">
      <w:pPr>
        <w:keepNext/>
        <w:spacing w:before="360" w:after="200"/>
      </w:pPr>
      <w:r>
        <w:rPr>
          <w:b/>
          <w:color w:val="667EEA"/>
        </w:rPr>
        <w:t>Case 1: Force Majeure in Supply Chain (Pandemic Exclusions)</w:t>
      </w:r>
    </w:p>
    <w:p w14:paraId="4F5F5D43" w14:textId="77777777" w:rsidR="000257C0" w:rsidRDefault="00000000">
      <w:r>
        <w:rPr>
          <w:b/>
        </w:rPr>
        <w:t xml:space="preserve">Facts: </w:t>
      </w:r>
      <w:r>
        <w:t>Alpha Corp (buyer) and BetaSupply (supplier) signed a 3-year supply agreement in 2018. In 2020, BetaSupply failed to deliver components due to factory shutdowns caused by COVID-19. The contract includes a force majeure clause listing 'natural disasters, acts of God, and governmental action' but does not mention pandemics.</w:t>
      </w:r>
    </w:p>
    <w:p w14:paraId="1889A923" w14:textId="77777777" w:rsidR="000257C0" w:rsidRDefault="00000000">
      <w:r>
        <w:rPr>
          <w:b/>
        </w:rPr>
        <w:t xml:space="preserve">Legal Issues: </w:t>
      </w:r>
      <w:r>
        <w:t>Does COVID-19 qualify as a force majeure event under this clause? Does the doctrine of frustration of purpose apply? What damages can Alpha Corp claim under standard commercial rules?</w:t>
      </w:r>
    </w:p>
    <w:p w14:paraId="742A565D" w14:textId="77777777" w:rsidR="000257C0" w:rsidRDefault="00000000">
      <w:r>
        <w:rPr>
          <w:b/>
        </w:rPr>
        <w:t xml:space="preserve">RAG Query: </w:t>
      </w:r>
      <w:r>
        <w:t>"Does COVID-19 qualify as force majeure under a supply contract clause listing natural disasters and governmental action?"</w:t>
      </w:r>
    </w:p>
    <w:p w14:paraId="174025E6" w14:textId="77777777" w:rsidR="000257C0" w:rsidRDefault="00000000">
      <w:r>
        <w:rPr>
          <w:b/>
        </w:rPr>
        <w:t xml:space="preserve">Agent Resolution: </w:t>
      </w:r>
      <w:r>
        <w:t>The agent routes to the contracts database and retrieves the supply agreement. It identifies that while 'pandemics' is excluded, 'governmental action' (factory shutdown orders) qualifies as a valid trigger. It notes that frustration of purpose rarely succeeds when performance is merely difficult rather than impossible.</w:t>
      </w:r>
    </w:p>
    <w:p w14:paraId="12FAA2A1" w14:textId="77777777" w:rsidR="000257C0" w:rsidRDefault="00000000">
      <w:pPr>
        <w:keepNext/>
        <w:spacing w:before="360" w:after="200"/>
      </w:pPr>
      <w:r>
        <w:rPr>
          <w:b/>
          <w:color w:val="667EEA"/>
        </w:rPr>
        <w:t>Case 2: Non-Compete Clause Enforceability &amp; Choice of Law</w:t>
      </w:r>
    </w:p>
    <w:p w14:paraId="343DA533" w14:textId="77777777" w:rsidR="000257C0" w:rsidRDefault="00000000">
      <w:r>
        <w:rPr>
          <w:b/>
        </w:rPr>
        <w:t xml:space="preserve">Facts: </w:t>
      </w:r>
      <w:r>
        <w:t>A software engineer in California signed an employment agreement with a 2-year, nationwide non-compete clause. She resigned and joined a competitor in Texas. The original employer seeks an injunction in Texas.</w:t>
      </w:r>
    </w:p>
    <w:p w14:paraId="3BF75D89" w14:textId="77777777" w:rsidR="000257C0" w:rsidRDefault="00000000">
      <w:r>
        <w:rPr>
          <w:b/>
        </w:rPr>
        <w:t xml:space="preserve">Legal Issues: </w:t>
      </w:r>
      <w:r>
        <w:t>Is the non-compete enforceable under California Business &amp; Professions Code Section 16600? Does a Texas choice-of-law provision override California public policy?</w:t>
      </w:r>
    </w:p>
    <w:p w14:paraId="1BCC199A" w14:textId="77777777" w:rsidR="000257C0" w:rsidRDefault="00000000">
      <w:r>
        <w:rPr>
          <w:b/>
        </w:rPr>
        <w:t xml:space="preserve">RAG Query: </w:t>
      </w:r>
      <w:r>
        <w:t>"Enforceability of non-compete clauses under California Business and Professions Code Section 16600 for tech employees"</w:t>
      </w:r>
    </w:p>
    <w:p w14:paraId="7FFEF1B2" w14:textId="77777777" w:rsidR="000257C0" w:rsidRDefault="00000000">
      <w:r>
        <w:rPr>
          <w:b/>
        </w:rPr>
        <w:t xml:space="preserve">Agent Resolution: </w:t>
      </w:r>
      <w:r>
        <w:t xml:space="preserve">The agent parses California's strict public policy under Section 16600, which voids almost all employee non-compete covenants. It correctly highlights that </w:t>
      </w:r>
      <w:r>
        <w:lastRenderedPageBreak/>
        <w:t>California courts reject out-of-state choice-of-law clauses designed to circumvent this employee protection.</w:t>
      </w:r>
    </w:p>
    <w:p w14:paraId="728B482D" w14:textId="77777777" w:rsidR="000257C0" w:rsidRDefault="00000000">
      <w:pPr>
        <w:keepNext/>
        <w:spacing w:before="360" w:after="200"/>
      </w:pPr>
      <w:r>
        <w:rPr>
          <w:b/>
          <w:color w:val="667EEA"/>
        </w:rPr>
        <w:t>Case 3: GDPR Data Breach &amp; Processor Liability Caps</w:t>
      </w:r>
    </w:p>
    <w:p w14:paraId="645CD2C4" w14:textId="77777777" w:rsidR="000257C0" w:rsidRDefault="00000000">
      <w:r>
        <w:rPr>
          <w:b/>
        </w:rPr>
        <w:t xml:space="preserve">Facts: </w:t>
      </w:r>
      <w:r>
        <w:t>A European fintech company suffered a data breach exposing 500,000 customer records. Their cloud vendor processed the data under a DPA that outlines 'industry-standard security' but lacks encryption specs.</w:t>
      </w:r>
    </w:p>
    <w:p w14:paraId="580EA31C" w14:textId="77777777" w:rsidR="000257C0" w:rsidRDefault="00000000">
      <w:r>
        <w:rPr>
          <w:b/>
        </w:rPr>
        <w:t xml:space="preserve">Legal Issues: </w:t>
      </w:r>
      <w:r>
        <w:t>Is the vendor a processor or joint controller? Does 'industry-standard' satisfy GDPR Article 32? What is the maximum fine under Article 83? Can a DPA cap liability for administrative fines?</w:t>
      </w:r>
    </w:p>
    <w:p w14:paraId="44945751" w14:textId="77777777" w:rsidR="000257C0" w:rsidRDefault="00000000">
      <w:r>
        <w:rPr>
          <w:b/>
        </w:rPr>
        <w:t xml:space="preserve">RAG Query: </w:t>
      </w:r>
      <w:r>
        <w:t>"GDPR Article 32 security obligations for cloud data processors and liability under data processing agreements"</w:t>
      </w:r>
    </w:p>
    <w:p w14:paraId="09E698B8" w14:textId="77777777" w:rsidR="000257C0" w:rsidRDefault="00000000">
      <w:r>
        <w:rPr>
          <w:b/>
        </w:rPr>
        <w:t xml:space="preserve">Agent Resolution: </w:t>
      </w:r>
      <w:r>
        <w:t>The agent routes to both case law and DPAs. It identifies that the vendor acted as a processor and failed to meet Article 32's state-of-the-art safeguards (encryption). It cites that regulatory fines under Article 83 (up to 20M EUR or 4% global revenue) cannot be contractually capped against data subjects.</w:t>
      </w:r>
    </w:p>
    <w:p w14:paraId="6E7D7999" w14:textId="77777777" w:rsidR="000257C0" w:rsidRDefault="00000000">
      <w:pPr>
        <w:keepNext/>
        <w:spacing w:before="360" w:after="200"/>
      </w:pPr>
      <w:r>
        <w:rPr>
          <w:b/>
          <w:color w:val="667EEA"/>
        </w:rPr>
        <w:t>Case 4: Intellectual Property Ownership in Employment</w:t>
      </w:r>
    </w:p>
    <w:p w14:paraId="5EAEC99B" w14:textId="77777777" w:rsidR="000257C0" w:rsidRDefault="00000000">
      <w:r>
        <w:rPr>
          <w:b/>
        </w:rPr>
        <w:t xml:space="preserve">Facts: </w:t>
      </w:r>
      <w:r>
        <w:t>A data scientist developed a machine learning algorithm during evenings on her personal laptop. Her employer claims ownership under a standard IP assignment clause covering 'all inventions conceived during employment.'</w:t>
      </w:r>
    </w:p>
    <w:p w14:paraId="72793638" w14:textId="77777777" w:rsidR="000257C0" w:rsidRDefault="00000000">
      <w:r>
        <w:rPr>
          <w:b/>
        </w:rPr>
        <w:t xml:space="preserve">Legal Issues: </w:t>
      </w:r>
      <w:r>
        <w:t>Does the contract cover personal-time inventions? Do California Labor Code Sections 2870-2872 apply? Is the standard IP clause overbroad?</w:t>
      </w:r>
    </w:p>
    <w:p w14:paraId="2F21E64D" w14:textId="77777777" w:rsidR="000257C0" w:rsidRDefault="00000000">
      <w:r>
        <w:rPr>
          <w:b/>
        </w:rPr>
        <w:t xml:space="preserve">RAG Query: </w:t>
      </w:r>
      <w:r>
        <w:t>"Employee IP assignment clause enforceability for inventions developed on personal time under California Labor Code 2870"</w:t>
      </w:r>
    </w:p>
    <w:p w14:paraId="428CD770" w14:textId="77777777" w:rsidR="000257C0" w:rsidRDefault="00000000">
      <w:r>
        <w:rPr>
          <w:b/>
        </w:rPr>
        <w:t xml:space="preserve">Agent Resolution: </w:t>
      </w:r>
      <w:r>
        <w:t>The agent retrieves the California Labor Code Section 2870 case law. It explains that inventions developed on personal time without employer equipment/trade secrets are legally protected from employer seizure, rendering overbroad 'during employment' clauses unenforceable.</w:t>
      </w:r>
    </w:p>
    <w:p w14:paraId="3031B7C2" w14:textId="77777777" w:rsidR="000257C0" w:rsidRDefault="00000000">
      <w:pPr>
        <w:keepNext/>
        <w:spacing w:before="360" w:after="200"/>
      </w:pPr>
      <w:r>
        <w:rPr>
          <w:b/>
          <w:color w:val="667EEA"/>
        </w:rPr>
        <w:lastRenderedPageBreak/>
        <w:t>Case 5: Liquidated Damages vs. Unenforceable Penalties</w:t>
      </w:r>
    </w:p>
    <w:p w14:paraId="7E635FAB" w14:textId="77777777" w:rsidR="000257C0" w:rsidRDefault="00000000">
      <w:r>
        <w:rPr>
          <w:b/>
        </w:rPr>
        <w:t xml:space="preserve">Facts: </w:t>
      </w:r>
      <w:r>
        <w:t>A contract included a liquidated damages clause of $50 per package per day of delay. A delay resulted in a $2,000,000 claim, which far exceeded the actual loss.</w:t>
      </w:r>
    </w:p>
    <w:p w14:paraId="455A2D4A" w14:textId="77777777" w:rsidR="000257C0" w:rsidRDefault="00000000">
      <w:r>
        <w:rPr>
          <w:b/>
        </w:rPr>
        <w:t xml:space="preserve">Legal Issues: </w:t>
      </w:r>
      <w:r>
        <w:t>Is the clause a genuine pre-estimate of loss or an unenforceable penalty? How do English (Cavendish) vs. US courts assess this?</w:t>
      </w:r>
    </w:p>
    <w:p w14:paraId="2F8847A0" w14:textId="77777777" w:rsidR="000257C0" w:rsidRDefault="00000000">
      <w:r>
        <w:rPr>
          <w:b/>
        </w:rPr>
        <w:t xml:space="preserve">RAG Query: </w:t>
      </w:r>
      <w:r>
        <w:t>"Liquidated damages clause enforceability test genuine pre-estimate of loss versus unenforceable penalty clause"</w:t>
      </w:r>
    </w:p>
    <w:p w14:paraId="1A309381" w14:textId="77777777" w:rsidR="000257C0" w:rsidRDefault="00000000">
      <w:r>
        <w:rPr>
          <w:b/>
        </w:rPr>
        <w:t xml:space="preserve">Agent Resolution: </w:t>
      </w:r>
      <w:r>
        <w:t>The agent retrieves commercial law precedents. It explains the dual-pronged test: (1) Were actual damages difficult to estimate at signing? (2) Is the sum reasonable? Under Cavendish, it examines if the clause protects a 'legitimate interest' rather than merely punishing breach.</w:t>
      </w:r>
    </w:p>
    <w:p w14:paraId="54976F30" w14:textId="77777777" w:rsidR="000257C0" w:rsidRDefault="00000000">
      <w:pPr>
        <w:keepNext/>
        <w:spacing w:before="360" w:after="200"/>
      </w:pPr>
      <w:r>
        <w:rPr>
          <w:b/>
          <w:color w:val="667EEA"/>
        </w:rPr>
        <w:t>Case 6: SaaS Subscription Auto-Renewal Disputes</w:t>
      </w:r>
    </w:p>
    <w:p w14:paraId="50916E89" w14:textId="77777777" w:rsidR="000257C0" w:rsidRDefault="00000000">
      <w:r>
        <w:rPr>
          <w:b/>
        </w:rPr>
        <w:t xml:space="preserve">Facts: </w:t>
      </w:r>
      <w:r>
        <w:t>A startup was charged $120,000 for auto-renewal. The clause was in Section 12.4 of a 40-page contract signed electronically. They claim lack of notice.</w:t>
      </w:r>
    </w:p>
    <w:p w14:paraId="764A5F66" w14:textId="77777777" w:rsidR="000257C0" w:rsidRDefault="00000000">
      <w:r>
        <w:rPr>
          <w:b/>
        </w:rPr>
        <w:t xml:space="preserve">Legal Issues: </w:t>
      </w:r>
      <w:r>
        <w:t>Is the auto-renewal clause enforceable? Does the e-signature satisfy the Statute of Frauds? Do B2B contracts require conspicuous notice?</w:t>
      </w:r>
    </w:p>
    <w:p w14:paraId="1E3ABFE5" w14:textId="77777777" w:rsidR="000257C0" w:rsidRDefault="00000000">
      <w:r>
        <w:rPr>
          <w:b/>
        </w:rPr>
        <w:t xml:space="preserve">RAG Query: </w:t>
      </w:r>
      <w:r>
        <w:t>"Auto-renewal clause enforceability conspicuous notice requirement SaaS enterprise contracts electronic signature"</w:t>
      </w:r>
    </w:p>
    <w:p w14:paraId="4EE08723" w14:textId="77777777" w:rsidR="000257C0" w:rsidRDefault="00000000">
      <w:r>
        <w:rPr>
          <w:b/>
        </w:rPr>
        <w:t xml:space="preserve">Agent Resolution: </w:t>
      </w:r>
      <w:r>
        <w:t>The agent outlines that B2B contracts are held to higher standards of commercial diligence than B2C contracts. Conspicuous notice laws vary by state, but electronic signatures (ESIGN Act) are highly binding, making the startup likely liable unless state-specific statutes protect them.</w:t>
      </w:r>
    </w:p>
    <w:p w14:paraId="16AD267B" w14:textId="77777777" w:rsidR="000257C0" w:rsidRDefault="00000000">
      <w:pPr>
        <w:keepNext/>
        <w:spacing w:before="360" w:after="200"/>
      </w:pPr>
      <w:r>
        <w:rPr>
          <w:b/>
          <w:color w:val="667EEA"/>
        </w:rPr>
        <w:t>Case 7: Wrongful Termination &amp; Whistleblower Retaliation</w:t>
      </w:r>
    </w:p>
    <w:p w14:paraId="0BA9EB38" w14:textId="77777777" w:rsidR="000257C0" w:rsidRDefault="00000000">
      <w:r>
        <w:rPr>
          <w:b/>
        </w:rPr>
        <w:t xml:space="preserve">Facts: </w:t>
      </w:r>
      <w:r>
        <w:t>An employee was terminated after raising product safety concerns. The company claims it was a performance-based layoff backed by PIP documentation.</w:t>
      </w:r>
    </w:p>
    <w:p w14:paraId="10B16F1B" w14:textId="77777777" w:rsidR="000257C0" w:rsidRDefault="00000000">
      <w:r>
        <w:rPr>
          <w:b/>
        </w:rPr>
        <w:t xml:space="preserve">Legal Issues: </w:t>
      </w:r>
      <w:r>
        <w:t>Does the employee have a retaliation claim? What is the standard of proof? Do Sarbanes-Oxley protections apply to private companies?</w:t>
      </w:r>
    </w:p>
    <w:p w14:paraId="02001549" w14:textId="77777777" w:rsidR="000257C0" w:rsidRDefault="00000000">
      <w:r>
        <w:rPr>
          <w:b/>
        </w:rPr>
        <w:lastRenderedPageBreak/>
        <w:t xml:space="preserve">RAG Query: </w:t>
      </w:r>
      <w:r>
        <w:t>"Whistleblower retaliation wrongful termination at-will employment exceptions Sarbanes-Oxley private company"</w:t>
      </w:r>
    </w:p>
    <w:p w14:paraId="583D4704" w14:textId="77777777" w:rsidR="000257C0" w:rsidRDefault="00000000">
      <w:r>
        <w:rPr>
          <w:b/>
        </w:rPr>
        <w:t xml:space="preserve">Agent Resolution: </w:t>
      </w:r>
      <w:r>
        <w:t>The agent retrieves whistleblower protection rules. It notes that Sarbanes-Oxley primarily covers public companies, but state whistleblowing laws protect private employees who report safety or illegal activities, overriding the at-will employment doctrine.</w:t>
      </w:r>
    </w:p>
    <w:p w14:paraId="41DA58D2" w14:textId="77777777" w:rsidR="000257C0" w:rsidRDefault="00000000">
      <w:pPr>
        <w:keepNext/>
        <w:spacing w:before="360" w:after="200"/>
      </w:pPr>
      <w:r>
        <w:rPr>
          <w:b/>
          <w:color w:val="667EEA"/>
        </w:rPr>
        <w:t>Case 8: Construction Scope Creep &amp; Change Order Disputes</w:t>
      </w:r>
    </w:p>
    <w:p w14:paraId="708E3E23" w14:textId="77777777" w:rsidR="000257C0" w:rsidRDefault="00000000">
      <w:r>
        <w:rPr>
          <w:b/>
        </w:rPr>
        <w:t xml:space="preserve">Facts: </w:t>
      </w:r>
      <w:r>
        <w:t>A contractor completed 23 verbal change orders valued at $1.2M. The owner refuses to pay, citing the 'written change orders only' contract clause.</w:t>
      </w:r>
    </w:p>
    <w:p w14:paraId="1BF2BA5B" w14:textId="77777777" w:rsidR="000257C0" w:rsidRDefault="00000000">
      <w:r>
        <w:rPr>
          <w:b/>
        </w:rPr>
        <w:t xml:space="preserve">Legal Issues: </w:t>
      </w:r>
      <w:r>
        <w:t>What constitutes a valid change order under standard AIA terms? Does a verbal instruction waive the clause? Can the contractor claim unjust enrichment?</w:t>
      </w:r>
    </w:p>
    <w:p w14:paraId="49E3EF6D" w14:textId="77777777" w:rsidR="000257C0" w:rsidRDefault="00000000">
      <w:r>
        <w:rPr>
          <w:b/>
        </w:rPr>
        <w:t xml:space="preserve">RAG Query: </w:t>
      </w:r>
      <w:r>
        <w:t>"Construction contract change order validity verbal instructions scope of work dispute unjust enrichment"</w:t>
      </w:r>
    </w:p>
    <w:p w14:paraId="4865158B" w14:textId="77777777" w:rsidR="000257C0" w:rsidRDefault="00000000">
      <w:r>
        <w:rPr>
          <w:b/>
        </w:rPr>
        <w:t xml:space="preserve">Agent Resolution: </w:t>
      </w:r>
      <w:r>
        <w:t>The agent reviews the Florida-governed contract and notes Section 4.2 strictly requires signed Change Orders. However, under Section 9 (Unjust Enrichment) and Florida equity law, if the owner actively directed and accepted the benefits of the work, the contractor can recover damages under quantum meruit.</w:t>
      </w:r>
    </w:p>
    <w:p w14:paraId="68F85361" w14:textId="77777777" w:rsidR="000257C0" w:rsidRDefault="00000000">
      <w:pPr>
        <w:keepNext/>
        <w:spacing w:before="360" w:after="200"/>
      </w:pPr>
      <w:r>
        <w:rPr>
          <w:b/>
          <w:color w:val="667EEA"/>
        </w:rPr>
        <w:t>Case 9: Trade Secret Misappropriation by Departing VP</w:t>
      </w:r>
    </w:p>
    <w:p w14:paraId="19A3A0EF" w14:textId="77777777" w:rsidR="000257C0" w:rsidRDefault="00000000">
      <w:r>
        <w:rPr>
          <w:b/>
        </w:rPr>
        <w:t xml:space="preserve">Facts: </w:t>
      </w:r>
      <w:r>
        <w:t>A departing VP of Sales emailed himself 5,000 customer contacts, pricing, and deals, then joined a competitor and approached those clients.</w:t>
      </w:r>
    </w:p>
    <w:p w14:paraId="3561AB7E" w14:textId="77777777" w:rsidR="000257C0" w:rsidRDefault="00000000">
      <w:r>
        <w:rPr>
          <w:b/>
        </w:rPr>
        <w:t xml:space="preserve">Legal Issues: </w:t>
      </w:r>
      <w:r>
        <w:t>Does the list qualify as a trade secret under the DTSA? Does the NDA cover this info? What remedies (injunction, fees) are available?</w:t>
      </w:r>
    </w:p>
    <w:p w14:paraId="7EFCE33A" w14:textId="77777777" w:rsidR="000257C0" w:rsidRDefault="00000000">
      <w:r>
        <w:rPr>
          <w:b/>
        </w:rPr>
        <w:t xml:space="preserve">RAG Query: </w:t>
      </w:r>
      <w:r>
        <w:t>"Trade secret misappropriation customer list Defend Trade Secrets Act injunctive relief departing employee"</w:t>
      </w:r>
    </w:p>
    <w:p w14:paraId="46A61BD6" w14:textId="77777777" w:rsidR="000257C0" w:rsidRDefault="00000000">
      <w:r>
        <w:rPr>
          <w:b/>
        </w:rPr>
        <w:t xml:space="preserve">Agent Resolution: </w:t>
      </w:r>
      <w:r>
        <w:t>The agent searches trade secret laws. It concludes that since customer lists and pricing structures provide independent economic value and were subject to reasonable secrecy measures, they represent protected trade secrets under the DTSA, entitling the employer to immediate injunctive relief.</w:t>
      </w:r>
    </w:p>
    <w:p w14:paraId="6D86ACA4" w14:textId="77777777" w:rsidR="000257C0" w:rsidRDefault="00000000">
      <w:pPr>
        <w:keepNext/>
        <w:spacing w:before="360" w:after="200"/>
      </w:pPr>
      <w:r>
        <w:rPr>
          <w:b/>
          <w:color w:val="667EEA"/>
        </w:rPr>
        <w:lastRenderedPageBreak/>
        <w:t>Case 10: Arbitration Clause Unconscionability &amp; Class Waivers</w:t>
      </w:r>
    </w:p>
    <w:p w14:paraId="629A0FDB" w14:textId="77777777" w:rsidR="000257C0" w:rsidRDefault="00000000">
      <w:r>
        <w:rPr>
          <w:b/>
        </w:rPr>
        <w:t xml:space="preserve">Facts: </w:t>
      </w:r>
      <w:r>
        <w:t>A consumer signed terms containing a class-action waiver. The dispute is over a $15/month overcharge. Arbitration costs exceed individual recovery.</w:t>
      </w:r>
    </w:p>
    <w:p w14:paraId="4B5F1D33" w14:textId="77777777" w:rsidR="000257C0" w:rsidRDefault="00000000">
      <w:r>
        <w:rPr>
          <w:b/>
        </w:rPr>
        <w:t xml:space="preserve">Legal Issues: </w:t>
      </w:r>
      <w:r>
        <w:t>Is the clause unconscionable? Does AT&amp;T Mobility v. Concepcion preclude unconscionability challenges? Is there a public policy exception?</w:t>
      </w:r>
    </w:p>
    <w:p w14:paraId="1AF002CC" w14:textId="77777777" w:rsidR="000257C0" w:rsidRDefault="00000000">
      <w:r>
        <w:rPr>
          <w:b/>
        </w:rPr>
        <w:t xml:space="preserve">RAG Query: </w:t>
      </w:r>
      <w:r>
        <w:t>"Mandatory arbitration clause class action waiver unconscionability consumer contracts small value claims"</w:t>
      </w:r>
    </w:p>
    <w:p w14:paraId="04A81AB7" w14:textId="77777777" w:rsidR="000257C0" w:rsidRDefault="00000000">
      <w:r>
        <w:rPr>
          <w:b/>
        </w:rPr>
        <w:t xml:space="preserve">Agent Resolution: </w:t>
      </w:r>
      <w:r>
        <w:t>The agent analyzes FAA preemption. It cites AT&amp;T v. Concepcion, explaining that class waivers in consumer arbitration agreements are generally enforced. It highlights how the 'effective vindication' doctrine is narrowly interpreted, leaving consumers with limited options for small-value class actions.</w:t>
      </w:r>
    </w:p>
    <w:p w14:paraId="40158059" w14:textId="77777777" w:rsidR="000257C0" w:rsidRDefault="00000000">
      <w:r>
        <w:br w:type="page"/>
      </w:r>
    </w:p>
    <w:p w14:paraId="13E9B412" w14:textId="77777777" w:rsidR="000257C0" w:rsidRDefault="00000000">
      <w:pPr>
        <w:keepNext/>
        <w:spacing w:before="560" w:after="280"/>
      </w:pPr>
      <w:r>
        <w:rPr>
          <w:b/>
          <w:color w:val="0A192F"/>
          <w:u w:val="single"/>
        </w:rPr>
        <w:lastRenderedPageBreak/>
        <w:t>6. MULTI-LLM BENCHMARKING &amp; MODEL SELECTION</w:t>
      </w:r>
    </w:p>
    <w:p w14:paraId="07ADD2EF" w14:textId="77777777" w:rsidR="000257C0" w:rsidRDefault="00000000">
      <w:r>
        <w:t>Selecting the right LLM is a critical engineering decision in legal tech. A model must have excellent instruction-following capabilities to output structured reasoning, a broad knowledge of legal terminology, a large context window to parse massive contracts, high speed to satisfy user interactions, and low cost to scale economically.</w:t>
      </w:r>
    </w:p>
    <w:p w14:paraId="3281DDBD" w14:textId="77777777" w:rsidR="000257C0" w:rsidRDefault="00000000">
      <w:r>
        <w:t>This project benchmarks six industry-leading models across three standard evaluation paradigms: Stanford HELM (LegalBench), Artificial Analysis, and LMSYS Chatbot Arena.</w:t>
      </w:r>
    </w:p>
    <w:p w14:paraId="3B245701" w14:textId="77777777" w:rsidR="000257C0" w:rsidRDefault="00000000">
      <w:pPr>
        <w:keepNext/>
        <w:spacing w:before="360" w:after="200"/>
      </w:pPr>
      <w:r>
        <w:rPr>
          <w:b/>
          <w:color w:val="667EEA"/>
        </w:rPr>
        <w:t>6.1 Combined Model Benchmark Matrix</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0257C0" w14:paraId="6B88F3CF" w14:textId="77777777" w:rsidTr="00367E8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Borders>
              <w:top w:val="none" w:sz="0" w:space="0" w:color="auto"/>
              <w:left w:val="none" w:sz="0" w:space="0" w:color="auto"/>
              <w:bottom w:val="none" w:sz="0" w:space="0" w:color="auto"/>
              <w:right w:val="none" w:sz="0" w:space="0" w:color="auto"/>
            </w:tcBorders>
            <w:shd w:val="clear" w:color="auto" w:fill="0A192F"/>
          </w:tcPr>
          <w:p w14:paraId="7C2A95CE" w14:textId="77777777" w:rsidR="000257C0" w:rsidRDefault="00000000" w:rsidP="00367E81">
            <w:pPr>
              <w:spacing w:before="240"/>
            </w:pPr>
            <w:r>
              <w:rPr>
                <w:color w:val="FFFFFF"/>
              </w:rPr>
              <w:t>Model Name</w:t>
            </w:r>
          </w:p>
        </w:tc>
        <w:tc>
          <w:tcPr>
            <w:tcW w:w="1440" w:type="dxa"/>
            <w:tcBorders>
              <w:top w:val="none" w:sz="0" w:space="0" w:color="auto"/>
              <w:left w:val="none" w:sz="0" w:space="0" w:color="auto"/>
              <w:bottom w:val="none" w:sz="0" w:space="0" w:color="auto"/>
              <w:right w:val="none" w:sz="0" w:space="0" w:color="auto"/>
            </w:tcBorders>
            <w:shd w:val="clear" w:color="auto" w:fill="0A192F"/>
          </w:tcPr>
          <w:p w14:paraId="08C1F4E1" w14:textId="77777777" w:rsidR="000257C0" w:rsidRDefault="00000000" w:rsidP="00367E81">
            <w:pPr>
              <w:spacing w:before="240"/>
              <w:cnfStyle w:val="100000000000" w:firstRow="1" w:lastRow="0" w:firstColumn="0" w:lastColumn="0" w:oddVBand="0" w:evenVBand="0" w:oddHBand="0" w:evenHBand="0" w:firstRowFirstColumn="0" w:firstRowLastColumn="0" w:lastRowFirstColumn="0" w:lastRowLastColumn="0"/>
            </w:pPr>
            <w:r>
              <w:rPr>
                <w:color w:val="FFFFFF"/>
              </w:rPr>
              <w:t>HELM LegalBench</w:t>
            </w:r>
          </w:p>
        </w:tc>
        <w:tc>
          <w:tcPr>
            <w:tcW w:w="1440" w:type="dxa"/>
            <w:tcBorders>
              <w:top w:val="none" w:sz="0" w:space="0" w:color="auto"/>
              <w:left w:val="none" w:sz="0" w:space="0" w:color="auto"/>
              <w:bottom w:val="none" w:sz="0" w:space="0" w:color="auto"/>
              <w:right w:val="none" w:sz="0" w:space="0" w:color="auto"/>
            </w:tcBorders>
            <w:shd w:val="clear" w:color="auto" w:fill="0A192F"/>
          </w:tcPr>
          <w:p w14:paraId="13DC04BA" w14:textId="77777777" w:rsidR="000257C0" w:rsidRDefault="00000000" w:rsidP="00367E81">
            <w:pPr>
              <w:spacing w:before="240"/>
              <w:cnfStyle w:val="100000000000" w:firstRow="1" w:lastRow="0" w:firstColumn="0" w:lastColumn="0" w:oddVBand="0" w:evenVBand="0" w:oddHBand="0" w:evenHBand="0" w:firstRowFirstColumn="0" w:firstRowLastColumn="0" w:lastRowFirstColumn="0" w:lastRowLastColumn="0"/>
            </w:pPr>
            <w:r>
              <w:rPr>
                <w:color w:val="FFFFFF"/>
              </w:rPr>
              <w:t>BoolQ (Y/N)</w:t>
            </w:r>
          </w:p>
        </w:tc>
        <w:tc>
          <w:tcPr>
            <w:tcW w:w="1440" w:type="dxa"/>
            <w:tcBorders>
              <w:top w:val="none" w:sz="0" w:space="0" w:color="auto"/>
              <w:left w:val="none" w:sz="0" w:space="0" w:color="auto"/>
              <w:bottom w:val="none" w:sz="0" w:space="0" w:color="auto"/>
              <w:right w:val="none" w:sz="0" w:space="0" w:color="auto"/>
            </w:tcBorders>
            <w:shd w:val="clear" w:color="auto" w:fill="0A192F"/>
          </w:tcPr>
          <w:p w14:paraId="7AAE14C1" w14:textId="77777777" w:rsidR="000257C0" w:rsidRDefault="00000000" w:rsidP="00367E81">
            <w:pPr>
              <w:spacing w:before="240"/>
              <w:cnfStyle w:val="100000000000" w:firstRow="1" w:lastRow="0" w:firstColumn="0" w:lastColumn="0" w:oddVBand="0" w:evenVBand="0" w:oddHBand="0" w:evenHBand="0" w:firstRowFirstColumn="0" w:firstRowLastColumn="0" w:lastRowFirstColumn="0" w:lastRowLastColumn="0"/>
            </w:pPr>
            <w:r>
              <w:rPr>
                <w:color w:val="FFFFFF"/>
              </w:rPr>
              <w:t>Speed (tok/s)</w:t>
            </w:r>
          </w:p>
        </w:tc>
        <w:tc>
          <w:tcPr>
            <w:tcW w:w="1440" w:type="dxa"/>
            <w:tcBorders>
              <w:top w:val="none" w:sz="0" w:space="0" w:color="auto"/>
              <w:left w:val="none" w:sz="0" w:space="0" w:color="auto"/>
              <w:bottom w:val="none" w:sz="0" w:space="0" w:color="auto"/>
              <w:right w:val="none" w:sz="0" w:space="0" w:color="auto"/>
            </w:tcBorders>
            <w:shd w:val="clear" w:color="auto" w:fill="0A192F"/>
          </w:tcPr>
          <w:p w14:paraId="035F315E" w14:textId="77777777" w:rsidR="000257C0" w:rsidRDefault="00000000" w:rsidP="00367E81">
            <w:pPr>
              <w:spacing w:before="240"/>
              <w:cnfStyle w:val="100000000000" w:firstRow="1" w:lastRow="0" w:firstColumn="0" w:lastColumn="0" w:oddVBand="0" w:evenVBand="0" w:oddHBand="0" w:evenHBand="0" w:firstRowFirstColumn="0" w:firstRowLastColumn="0" w:lastRowFirstColumn="0" w:lastRowLastColumn="0"/>
            </w:pPr>
            <w:r>
              <w:rPr>
                <w:color w:val="FFFFFF"/>
              </w:rPr>
              <w:t>Cost ($/1M input)</w:t>
            </w:r>
          </w:p>
        </w:tc>
        <w:tc>
          <w:tcPr>
            <w:tcW w:w="1440" w:type="dxa"/>
            <w:tcBorders>
              <w:top w:val="none" w:sz="0" w:space="0" w:color="auto"/>
              <w:left w:val="none" w:sz="0" w:space="0" w:color="auto"/>
              <w:bottom w:val="none" w:sz="0" w:space="0" w:color="auto"/>
              <w:right w:val="none" w:sz="0" w:space="0" w:color="auto"/>
            </w:tcBorders>
            <w:shd w:val="clear" w:color="auto" w:fill="0A192F"/>
          </w:tcPr>
          <w:p w14:paraId="75F5A35C" w14:textId="77777777" w:rsidR="000257C0" w:rsidRDefault="00000000" w:rsidP="00367E81">
            <w:pPr>
              <w:spacing w:before="240"/>
              <w:cnfStyle w:val="100000000000" w:firstRow="1" w:lastRow="0" w:firstColumn="0" w:lastColumn="0" w:oddVBand="0" w:evenVBand="0" w:oddHBand="0" w:evenHBand="0" w:firstRowFirstColumn="0" w:firstRowLastColumn="0" w:lastRowFirstColumn="0" w:lastRowLastColumn="0"/>
            </w:pPr>
            <w:r>
              <w:rPr>
                <w:color w:val="FFFFFF"/>
              </w:rPr>
              <w:t>Elo Rating (Arena)</w:t>
            </w:r>
          </w:p>
        </w:tc>
      </w:tr>
      <w:tr w:rsidR="000257C0" w14:paraId="0EF012D4" w14:textId="77777777" w:rsidTr="00367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Borders>
              <w:left w:val="none" w:sz="0" w:space="0" w:color="auto"/>
              <w:right w:val="none" w:sz="0" w:space="0" w:color="auto"/>
            </w:tcBorders>
          </w:tcPr>
          <w:p w14:paraId="7FFE41E8" w14:textId="77777777" w:rsidR="000257C0" w:rsidRDefault="00000000" w:rsidP="00367E81">
            <w:pPr>
              <w:spacing w:before="240" w:after="40"/>
            </w:pPr>
            <w:r>
              <w:rPr>
                <w:sz w:val="19"/>
              </w:rPr>
              <w:t>GPT-4o</w:t>
            </w:r>
          </w:p>
        </w:tc>
        <w:tc>
          <w:tcPr>
            <w:tcW w:w="1440" w:type="dxa"/>
            <w:tcBorders>
              <w:left w:val="none" w:sz="0" w:space="0" w:color="auto"/>
              <w:right w:val="none" w:sz="0" w:space="0" w:color="auto"/>
            </w:tcBorders>
          </w:tcPr>
          <w:p w14:paraId="58336F45"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72.3%</w:t>
            </w:r>
          </w:p>
        </w:tc>
        <w:tc>
          <w:tcPr>
            <w:tcW w:w="1440" w:type="dxa"/>
            <w:tcBorders>
              <w:left w:val="none" w:sz="0" w:space="0" w:color="auto"/>
              <w:right w:val="none" w:sz="0" w:space="0" w:color="auto"/>
            </w:tcBorders>
          </w:tcPr>
          <w:p w14:paraId="48408BFF"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88.4%</w:t>
            </w:r>
          </w:p>
        </w:tc>
        <w:tc>
          <w:tcPr>
            <w:tcW w:w="1440" w:type="dxa"/>
            <w:tcBorders>
              <w:left w:val="none" w:sz="0" w:space="0" w:color="auto"/>
              <w:right w:val="none" w:sz="0" w:space="0" w:color="auto"/>
            </w:tcBorders>
          </w:tcPr>
          <w:p w14:paraId="6F479EFC"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110</w:t>
            </w:r>
          </w:p>
        </w:tc>
        <w:tc>
          <w:tcPr>
            <w:tcW w:w="1440" w:type="dxa"/>
            <w:tcBorders>
              <w:left w:val="none" w:sz="0" w:space="0" w:color="auto"/>
              <w:right w:val="none" w:sz="0" w:space="0" w:color="auto"/>
            </w:tcBorders>
          </w:tcPr>
          <w:p w14:paraId="29AB1239"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$5.00</w:t>
            </w:r>
          </w:p>
        </w:tc>
        <w:tc>
          <w:tcPr>
            <w:tcW w:w="1440" w:type="dxa"/>
            <w:tcBorders>
              <w:left w:val="none" w:sz="0" w:space="0" w:color="auto"/>
              <w:right w:val="none" w:sz="0" w:space="0" w:color="auto"/>
            </w:tcBorders>
          </w:tcPr>
          <w:p w14:paraId="22E6E51B"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1286</w:t>
            </w:r>
          </w:p>
        </w:tc>
      </w:tr>
      <w:tr w:rsidR="000257C0" w14:paraId="11128A0B" w14:textId="77777777" w:rsidTr="00367E81">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2B0F1693" w14:textId="77777777" w:rsidR="000257C0" w:rsidRDefault="00000000" w:rsidP="00367E81">
            <w:pPr>
              <w:spacing w:before="240" w:after="40"/>
            </w:pPr>
            <w:r>
              <w:rPr>
                <w:sz w:val="19"/>
              </w:rPr>
              <w:t>Claude 3.5 Sonnet</w:t>
            </w:r>
          </w:p>
        </w:tc>
        <w:tc>
          <w:tcPr>
            <w:tcW w:w="1440" w:type="dxa"/>
          </w:tcPr>
          <w:p w14:paraId="7CE1CAC8"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70.1%</w:t>
            </w:r>
          </w:p>
        </w:tc>
        <w:tc>
          <w:tcPr>
            <w:tcW w:w="1440" w:type="dxa"/>
          </w:tcPr>
          <w:p w14:paraId="7D2D627F"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87.2%</w:t>
            </w:r>
          </w:p>
        </w:tc>
        <w:tc>
          <w:tcPr>
            <w:tcW w:w="1440" w:type="dxa"/>
          </w:tcPr>
          <w:p w14:paraId="5128AE7A"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85</w:t>
            </w:r>
          </w:p>
        </w:tc>
        <w:tc>
          <w:tcPr>
            <w:tcW w:w="1440" w:type="dxa"/>
          </w:tcPr>
          <w:p w14:paraId="20BA6067"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$3.00</w:t>
            </w:r>
          </w:p>
        </w:tc>
        <w:tc>
          <w:tcPr>
            <w:tcW w:w="1440" w:type="dxa"/>
          </w:tcPr>
          <w:p w14:paraId="29112058"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1272</w:t>
            </w:r>
          </w:p>
        </w:tc>
      </w:tr>
      <w:tr w:rsidR="000257C0" w14:paraId="2DAEFF08" w14:textId="77777777" w:rsidTr="00367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Borders>
              <w:left w:val="none" w:sz="0" w:space="0" w:color="auto"/>
              <w:right w:val="none" w:sz="0" w:space="0" w:color="auto"/>
            </w:tcBorders>
          </w:tcPr>
          <w:p w14:paraId="0F4672B5" w14:textId="77777777" w:rsidR="000257C0" w:rsidRDefault="00000000" w:rsidP="00367E81">
            <w:pPr>
              <w:spacing w:before="240" w:after="40"/>
            </w:pPr>
            <w:r>
              <w:rPr>
                <w:sz w:val="19"/>
              </w:rPr>
              <w:t>Gemini 1.5 Pro</w:t>
            </w:r>
          </w:p>
        </w:tc>
        <w:tc>
          <w:tcPr>
            <w:tcW w:w="1440" w:type="dxa"/>
            <w:tcBorders>
              <w:left w:val="none" w:sz="0" w:space="0" w:color="auto"/>
              <w:right w:val="none" w:sz="0" w:space="0" w:color="auto"/>
            </w:tcBorders>
          </w:tcPr>
          <w:p w14:paraId="1CAB51C3"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68.9%</w:t>
            </w:r>
          </w:p>
        </w:tc>
        <w:tc>
          <w:tcPr>
            <w:tcW w:w="1440" w:type="dxa"/>
            <w:tcBorders>
              <w:left w:val="none" w:sz="0" w:space="0" w:color="auto"/>
              <w:right w:val="none" w:sz="0" w:space="0" w:color="auto"/>
            </w:tcBorders>
          </w:tcPr>
          <w:p w14:paraId="736C6EAB"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85.1%</w:t>
            </w:r>
          </w:p>
        </w:tc>
        <w:tc>
          <w:tcPr>
            <w:tcW w:w="1440" w:type="dxa"/>
            <w:tcBorders>
              <w:left w:val="none" w:sz="0" w:space="0" w:color="auto"/>
              <w:right w:val="none" w:sz="0" w:space="0" w:color="auto"/>
            </w:tcBorders>
          </w:tcPr>
          <w:p w14:paraId="21DE853E"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95</w:t>
            </w:r>
          </w:p>
        </w:tc>
        <w:tc>
          <w:tcPr>
            <w:tcW w:w="1440" w:type="dxa"/>
            <w:tcBorders>
              <w:left w:val="none" w:sz="0" w:space="0" w:color="auto"/>
              <w:right w:val="none" w:sz="0" w:space="0" w:color="auto"/>
            </w:tcBorders>
          </w:tcPr>
          <w:p w14:paraId="70AA5D62"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$3.50</w:t>
            </w:r>
          </w:p>
        </w:tc>
        <w:tc>
          <w:tcPr>
            <w:tcW w:w="1440" w:type="dxa"/>
            <w:tcBorders>
              <w:left w:val="none" w:sz="0" w:space="0" w:color="auto"/>
              <w:right w:val="none" w:sz="0" w:space="0" w:color="auto"/>
            </w:tcBorders>
          </w:tcPr>
          <w:p w14:paraId="52CD6BD7"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1263</w:t>
            </w:r>
          </w:p>
        </w:tc>
      </w:tr>
      <w:tr w:rsidR="000257C0" w14:paraId="702D5C8B" w14:textId="77777777" w:rsidTr="00367E81">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2D7AAD46" w14:textId="77777777" w:rsidR="000257C0" w:rsidRDefault="00000000" w:rsidP="00367E81">
            <w:pPr>
              <w:spacing w:before="240" w:after="40"/>
            </w:pPr>
            <w:r>
              <w:rPr>
                <w:sz w:val="19"/>
              </w:rPr>
              <w:t>DeepSeek-V3</w:t>
            </w:r>
          </w:p>
        </w:tc>
        <w:tc>
          <w:tcPr>
            <w:tcW w:w="1440" w:type="dxa"/>
          </w:tcPr>
          <w:p w14:paraId="56562853"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66.8%</w:t>
            </w:r>
          </w:p>
        </w:tc>
        <w:tc>
          <w:tcPr>
            <w:tcW w:w="1440" w:type="dxa"/>
          </w:tcPr>
          <w:p w14:paraId="4255E672"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83.7%</w:t>
            </w:r>
          </w:p>
        </w:tc>
        <w:tc>
          <w:tcPr>
            <w:tcW w:w="1440" w:type="dxa"/>
          </w:tcPr>
          <w:p w14:paraId="74768BA3"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200</w:t>
            </w:r>
          </w:p>
        </w:tc>
        <w:tc>
          <w:tcPr>
            <w:tcW w:w="1440" w:type="dxa"/>
          </w:tcPr>
          <w:p w14:paraId="02D7DF75"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$0.27</w:t>
            </w:r>
          </w:p>
        </w:tc>
        <w:tc>
          <w:tcPr>
            <w:tcW w:w="1440" w:type="dxa"/>
          </w:tcPr>
          <w:p w14:paraId="2EA44D11"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1255</w:t>
            </w:r>
          </w:p>
        </w:tc>
      </w:tr>
      <w:tr w:rsidR="000257C0" w14:paraId="20D859B1" w14:textId="77777777" w:rsidTr="00367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Borders>
              <w:left w:val="none" w:sz="0" w:space="0" w:color="auto"/>
              <w:right w:val="none" w:sz="0" w:space="0" w:color="auto"/>
            </w:tcBorders>
          </w:tcPr>
          <w:p w14:paraId="17442966" w14:textId="77777777" w:rsidR="000257C0" w:rsidRDefault="00000000" w:rsidP="00367E81">
            <w:pPr>
              <w:spacing w:before="240" w:after="40"/>
            </w:pPr>
            <w:r>
              <w:rPr>
                <w:sz w:val="19"/>
              </w:rPr>
              <w:t>GPT-4o-mini</w:t>
            </w:r>
          </w:p>
        </w:tc>
        <w:tc>
          <w:tcPr>
            <w:tcW w:w="1440" w:type="dxa"/>
            <w:tcBorders>
              <w:left w:val="none" w:sz="0" w:space="0" w:color="auto"/>
              <w:right w:val="none" w:sz="0" w:space="0" w:color="auto"/>
            </w:tcBorders>
          </w:tcPr>
          <w:p w14:paraId="2CF4ECEC"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61.4%</w:t>
            </w:r>
          </w:p>
        </w:tc>
        <w:tc>
          <w:tcPr>
            <w:tcW w:w="1440" w:type="dxa"/>
            <w:tcBorders>
              <w:left w:val="none" w:sz="0" w:space="0" w:color="auto"/>
              <w:right w:val="none" w:sz="0" w:space="0" w:color="auto"/>
            </w:tcBorders>
          </w:tcPr>
          <w:p w14:paraId="4B31DC6C"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82.3%</w:t>
            </w:r>
          </w:p>
        </w:tc>
        <w:tc>
          <w:tcPr>
            <w:tcW w:w="1440" w:type="dxa"/>
            <w:tcBorders>
              <w:left w:val="none" w:sz="0" w:space="0" w:color="auto"/>
              <w:right w:val="none" w:sz="0" w:space="0" w:color="auto"/>
            </w:tcBorders>
          </w:tcPr>
          <w:p w14:paraId="52E1E809"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180</w:t>
            </w:r>
          </w:p>
        </w:tc>
        <w:tc>
          <w:tcPr>
            <w:tcW w:w="1440" w:type="dxa"/>
            <w:tcBorders>
              <w:left w:val="none" w:sz="0" w:space="0" w:color="auto"/>
              <w:right w:val="none" w:sz="0" w:space="0" w:color="auto"/>
            </w:tcBorders>
          </w:tcPr>
          <w:p w14:paraId="3F8F8214"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$0.15</w:t>
            </w:r>
          </w:p>
        </w:tc>
        <w:tc>
          <w:tcPr>
            <w:tcW w:w="1440" w:type="dxa"/>
            <w:tcBorders>
              <w:left w:val="none" w:sz="0" w:space="0" w:color="auto"/>
              <w:right w:val="none" w:sz="0" w:space="0" w:color="auto"/>
            </w:tcBorders>
          </w:tcPr>
          <w:p w14:paraId="7F7E06D0"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1240</w:t>
            </w:r>
          </w:p>
        </w:tc>
      </w:tr>
      <w:tr w:rsidR="000257C0" w14:paraId="407FB9BE" w14:textId="77777777" w:rsidTr="00367E81">
        <w:trPr>
          <w:jc w:val="center"/>
        </w:trPr>
        <w:tc>
          <w:tcPr>
            <w:cnfStyle w:val="001000000000" w:firstRow="0" w:lastRow="0" w:firstColumn="1" w:lastColumn="0" w:oddVBand="0" w:evenVBand="0" w:oddHBand="0" w:evenHBand="0" w:firstRowFirstColumn="0" w:firstRowLastColumn="0" w:lastRowFirstColumn="0" w:lastRowLastColumn="0"/>
            <w:tcW w:w="1440" w:type="dxa"/>
          </w:tcPr>
          <w:p w14:paraId="26F5A628" w14:textId="77777777" w:rsidR="000257C0" w:rsidRDefault="00000000" w:rsidP="00367E81">
            <w:pPr>
              <w:spacing w:before="240" w:after="40"/>
            </w:pPr>
            <w:r>
              <w:rPr>
                <w:sz w:val="19"/>
              </w:rPr>
              <w:t>Mistral-Large</w:t>
            </w:r>
          </w:p>
        </w:tc>
        <w:tc>
          <w:tcPr>
            <w:tcW w:w="1440" w:type="dxa"/>
          </w:tcPr>
          <w:p w14:paraId="38F4119E"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59.2%</w:t>
            </w:r>
          </w:p>
        </w:tc>
        <w:tc>
          <w:tcPr>
            <w:tcW w:w="1440" w:type="dxa"/>
          </w:tcPr>
          <w:p w14:paraId="0654A003"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79.8%</w:t>
            </w:r>
          </w:p>
        </w:tc>
        <w:tc>
          <w:tcPr>
            <w:tcW w:w="1440" w:type="dxa"/>
          </w:tcPr>
          <w:p w14:paraId="778B3CBF"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60</w:t>
            </w:r>
          </w:p>
        </w:tc>
        <w:tc>
          <w:tcPr>
            <w:tcW w:w="1440" w:type="dxa"/>
          </w:tcPr>
          <w:p w14:paraId="33A66B4A"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$4.00</w:t>
            </w:r>
          </w:p>
        </w:tc>
        <w:tc>
          <w:tcPr>
            <w:tcW w:w="1440" w:type="dxa"/>
          </w:tcPr>
          <w:p w14:paraId="126ED21F"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1208</w:t>
            </w:r>
          </w:p>
        </w:tc>
      </w:tr>
    </w:tbl>
    <w:p w14:paraId="7F0576A0" w14:textId="77777777" w:rsidR="000257C0" w:rsidRDefault="00000000">
      <w:pPr>
        <w:keepNext/>
        <w:spacing w:before="360" w:after="200"/>
      </w:pPr>
      <w:r>
        <w:rPr>
          <w:b/>
          <w:color w:val="667EEA"/>
        </w:rPr>
        <w:t>6.2 Strategic Model Recommendations</w:t>
      </w:r>
    </w:p>
    <w:p w14:paraId="0FA4D8B5" w14:textId="77777777" w:rsidR="000257C0" w:rsidRDefault="00000000">
      <w:r>
        <w:t>Based on the benchmarking data, we define three deployment recommendations depending on the legal use case:</w:t>
      </w:r>
      <w:r>
        <w:br/>
      </w:r>
      <w:r>
        <w:br/>
        <w:t xml:space="preserve">1. </w:t>
      </w:r>
      <w:r>
        <w:rPr>
          <w:b/>
        </w:rPr>
        <w:t>Primary Reasoning Model (GPT-4o / Claude 3.5 Sonnet):</w:t>
      </w:r>
      <w:r>
        <w:t xml:space="preserve"> Best suited for high-stakes case law analysis, exhibiting the highest exact-match accuracy (72.3%) and excellent instruction-following behavior to enforce citation rules.</w:t>
      </w:r>
      <w:r>
        <w:br/>
      </w:r>
      <w:r>
        <w:br/>
      </w:r>
      <w:r>
        <w:lastRenderedPageBreak/>
        <w:t xml:space="preserve">2. </w:t>
      </w:r>
      <w:r>
        <w:rPr>
          <w:b/>
        </w:rPr>
        <w:t>Long-Document Model (Gemini 1.5 Pro):</w:t>
      </w:r>
      <w:r>
        <w:t xml:space="preserve"> Indispensable for corporate contract reviews. Gemini's native 1-million token context window allows the agent to ingest a complete 50-page vendor agreement or DPA in a single turn without chunking, eliminating the risk of missing critical scattered terms.</w:t>
      </w:r>
      <w:r>
        <w:br/>
      </w:r>
      <w:r>
        <w:br/>
        <w:t xml:space="preserve">3. </w:t>
      </w:r>
      <w:r>
        <w:rPr>
          <w:b/>
        </w:rPr>
        <w:t>Cost-Efficient / High-Volume Model (DeepSeek-V3):</w:t>
      </w:r>
      <w:r>
        <w:t xml:space="preserve"> The optimal choice for high-volume tasks. At $0.27 per million input tokens, it delivers 95% of GPT-4o's quality at less than 5% of the cost, making it highly effective for high-throughput batch analyses.</w:t>
      </w:r>
    </w:p>
    <w:p w14:paraId="421A3F8B" w14:textId="77777777" w:rsidR="000257C0" w:rsidRDefault="00000000">
      <w:r>
        <w:br w:type="page"/>
      </w:r>
    </w:p>
    <w:p w14:paraId="04047C49" w14:textId="77777777" w:rsidR="000257C0" w:rsidRDefault="00000000">
      <w:pPr>
        <w:keepNext/>
        <w:spacing w:before="560" w:after="280"/>
      </w:pPr>
      <w:r>
        <w:rPr>
          <w:b/>
          <w:color w:val="0A192F"/>
          <w:u w:val="single"/>
        </w:rPr>
        <w:lastRenderedPageBreak/>
        <w:t>7. THE EVALUATION FRAMEWORK</w:t>
      </w:r>
    </w:p>
    <w:p w14:paraId="3B20A641" w14:textId="77777777" w:rsidR="000257C0" w:rsidRDefault="00000000">
      <w:r>
        <w:t>To transition from an unstable prototype to a production-grade system, strict evaluation is required. The assistant contains an embedded evaluator (</w:t>
      </w:r>
      <w:r>
        <w:rPr>
          <w:rFonts w:ascii="Consolas" w:hAnsi="Consolas"/>
          <w:b/>
          <w:color w:val="667EEA"/>
          <w:sz w:val="20"/>
        </w:rPr>
        <w:t>evaluator/metrics.py</w:t>
      </w:r>
      <w:r>
        <w:t>) that monitors every single user transaction. This feedback loop provides real-time performance visibility directly within the Streamlit dashboard.</w:t>
      </w:r>
    </w:p>
    <w:p w14:paraId="6E96EC1E" w14:textId="77777777" w:rsidR="000257C0" w:rsidRDefault="00000000">
      <w:pPr>
        <w:keepNext/>
        <w:spacing w:before="360" w:after="200"/>
      </w:pPr>
      <w:r>
        <w:rPr>
          <w:b/>
          <w:color w:val="667EEA"/>
        </w:rPr>
        <w:t>7.1 LLM-as-a-Judge Faithfulness</w:t>
      </w:r>
    </w:p>
    <w:p w14:paraId="2EED394E" w14:textId="77777777" w:rsidR="000257C0" w:rsidRDefault="00000000">
      <w:r>
        <w:t xml:space="preserve">Faithfulness measures grounding: </w:t>
      </w:r>
      <w:r>
        <w:rPr>
          <w:i/>
        </w:rPr>
        <w:t>Does the generated answer contain only claims directly supported by the retrieved context?</w:t>
      </w:r>
      <w:r>
        <w:t xml:space="preserve"> This is critical for legal assistants where hallucinated arguments lead to malpractice. The engine parses the answer into atomic factual statements, prompts an independent validator model (GPT-4o-mini) to cross-reference each claim against the raw retrieved chunks, and calculates the score as:</w:t>
      </w:r>
      <w:r>
        <w:br/>
        <w:t xml:space="preserve">   </w:t>
      </w:r>
      <w:r>
        <w:rPr>
          <w:rFonts w:ascii="Consolas" w:hAnsi="Consolas"/>
          <w:b/>
          <w:color w:val="667EEA"/>
          <w:sz w:val="20"/>
        </w:rPr>
        <w:t>Faithfulness = Supported Claims / Total Generated Claims</w:t>
      </w:r>
    </w:p>
    <w:p w14:paraId="5DBC294B" w14:textId="77777777" w:rsidR="000257C0" w:rsidRDefault="00000000">
      <w:pPr>
        <w:keepNext/>
        <w:spacing w:before="360" w:after="200"/>
      </w:pPr>
      <w:r>
        <w:rPr>
          <w:b/>
          <w:color w:val="667EEA"/>
        </w:rPr>
        <w:t>7.2 Operational Performance Metrics</w:t>
      </w:r>
    </w:p>
    <w:p w14:paraId="168918C9" w14:textId="77777777" w:rsidR="000257C0" w:rsidRDefault="00000000">
      <w:r>
        <w:t xml:space="preserve">- </w:t>
      </w:r>
      <w:r>
        <w:rPr>
          <w:b/>
        </w:rPr>
        <w:t>Latency (Seconds):</w:t>
      </w:r>
      <w:r>
        <w:t xml:space="preserve"> Measured via a precise wall-clock context manager (</w:t>
      </w:r>
      <w:r>
        <w:rPr>
          <w:rFonts w:ascii="Consolas" w:hAnsi="Consolas"/>
          <w:b/>
          <w:color w:val="667EEA"/>
          <w:sz w:val="20"/>
        </w:rPr>
        <w:t>LatencyTimer</w:t>
      </w:r>
      <w:r>
        <w:t>) that wraps the agent's graph invocation. Tracking latency is essential because multi-step agentic loops (routing + search refinement) trade off response speed for accuracy.</w:t>
      </w:r>
      <w:r>
        <w:br/>
      </w:r>
      <w:r>
        <w:br/>
        <w:t xml:space="preserve">- </w:t>
      </w:r>
      <w:r>
        <w:rPr>
          <w:b/>
        </w:rPr>
        <w:t>API Cost (USD):</w:t>
      </w:r>
      <w:r>
        <w:t xml:space="preserve"> Dynamically computed by matching input and output token counts against a real-time pricing schema for each supported model. This ensures absolute visibility into the financial costs of running different models.</w:t>
      </w:r>
    </w:p>
    <w:p w14:paraId="24889822" w14:textId="77777777" w:rsidR="000257C0" w:rsidRDefault="00000000">
      <w:r>
        <w:br w:type="page"/>
      </w:r>
    </w:p>
    <w:p w14:paraId="27412446" w14:textId="77777777" w:rsidR="000257C0" w:rsidRDefault="00000000">
      <w:pPr>
        <w:keepNext/>
        <w:spacing w:before="560" w:after="280"/>
      </w:pPr>
      <w:r>
        <w:rPr>
          <w:b/>
          <w:color w:val="0A192F"/>
          <w:u w:val="single"/>
        </w:rPr>
        <w:lastRenderedPageBreak/>
        <w:t>8. SECURITY, ETHICS &amp; LEGAL COMPLIANCE</w:t>
      </w:r>
    </w:p>
    <w:p w14:paraId="091955B1" w14:textId="77777777" w:rsidR="000257C0" w:rsidRDefault="00000000">
      <w:r>
        <w:t>Deploying AI systems within the legal sector introduces unique ethical obligations, regulatory risks, and security challenges. This project implements explicit safeguards to address these issues.</w:t>
      </w:r>
    </w:p>
    <w:p w14:paraId="2BF92CFC" w14:textId="77777777" w:rsidR="000257C0" w:rsidRDefault="00000000">
      <w:pPr>
        <w:keepNext/>
        <w:spacing w:before="360" w:after="200"/>
      </w:pPr>
      <w:r>
        <w:rPr>
          <w:b/>
          <w:color w:val="667EEA"/>
        </w:rPr>
        <w:t>8.1 Core Legal Risk Mitigations</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0257C0" w14:paraId="6F85AAD3" w14:textId="77777777" w:rsidTr="00367E8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right w:val="none" w:sz="0" w:space="0" w:color="auto"/>
            </w:tcBorders>
            <w:shd w:val="clear" w:color="auto" w:fill="0A192F"/>
          </w:tcPr>
          <w:p w14:paraId="113F968B" w14:textId="77777777" w:rsidR="000257C0" w:rsidRDefault="00000000" w:rsidP="00367E81">
            <w:pPr>
              <w:spacing w:before="240"/>
            </w:pPr>
            <w:r>
              <w:rPr>
                <w:color w:val="FFFFFF"/>
              </w:rPr>
              <w:t>Identified Legal Risk</w:t>
            </w:r>
          </w:p>
        </w:tc>
        <w:tc>
          <w:tcPr>
            <w:tcW w:w="2880" w:type="dxa"/>
            <w:tcBorders>
              <w:top w:val="none" w:sz="0" w:space="0" w:color="auto"/>
              <w:left w:val="none" w:sz="0" w:space="0" w:color="auto"/>
              <w:bottom w:val="none" w:sz="0" w:space="0" w:color="auto"/>
              <w:right w:val="none" w:sz="0" w:space="0" w:color="auto"/>
            </w:tcBorders>
            <w:shd w:val="clear" w:color="auto" w:fill="0A192F"/>
          </w:tcPr>
          <w:p w14:paraId="4F7F018D" w14:textId="77777777" w:rsidR="000257C0" w:rsidRDefault="00000000" w:rsidP="00367E81">
            <w:pPr>
              <w:spacing w:before="240"/>
              <w:cnfStyle w:val="100000000000" w:firstRow="1" w:lastRow="0" w:firstColumn="0" w:lastColumn="0" w:oddVBand="0" w:evenVBand="0" w:oddHBand="0" w:evenHBand="0" w:firstRowFirstColumn="0" w:firstRowLastColumn="0" w:lastRowFirstColumn="0" w:lastRowLastColumn="0"/>
            </w:pPr>
            <w:r>
              <w:rPr>
                <w:color w:val="FFFFFF"/>
              </w:rPr>
              <w:t>Mitigation Strategy in Production</w:t>
            </w:r>
          </w:p>
        </w:tc>
        <w:tc>
          <w:tcPr>
            <w:tcW w:w="2880" w:type="dxa"/>
            <w:tcBorders>
              <w:top w:val="none" w:sz="0" w:space="0" w:color="auto"/>
              <w:left w:val="none" w:sz="0" w:space="0" w:color="auto"/>
              <w:bottom w:val="none" w:sz="0" w:space="0" w:color="auto"/>
              <w:right w:val="none" w:sz="0" w:space="0" w:color="auto"/>
            </w:tcBorders>
            <w:shd w:val="clear" w:color="auto" w:fill="0A192F"/>
          </w:tcPr>
          <w:p w14:paraId="566B5AC2" w14:textId="77777777" w:rsidR="000257C0" w:rsidRDefault="00000000" w:rsidP="00367E81">
            <w:pPr>
              <w:spacing w:before="240"/>
              <w:cnfStyle w:val="100000000000" w:firstRow="1" w:lastRow="0" w:firstColumn="0" w:lastColumn="0" w:oddVBand="0" w:evenVBand="0" w:oddHBand="0" w:evenHBand="0" w:firstRowFirstColumn="0" w:firstRowLastColumn="0" w:lastRowFirstColumn="0" w:lastRowLastColumn="0"/>
            </w:pPr>
            <w:r>
              <w:rPr>
                <w:color w:val="FFFFFF"/>
              </w:rPr>
              <w:t>Project Implementation Details</w:t>
            </w:r>
          </w:p>
        </w:tc>
      </w:tr>
      <w:tr w:rsidR="000257C0" w14:paraId="3AF2EE36" w14:textId="77777777" w:rsidTr="00367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left w:val="none" w:sz="0" w:space="0" w:color="auto"/>
              <w:right w:val="none" w:sz="0" w:space="0" w:color="auto"/>
            </w:tcBorders>
          </w:tcPr>
          <w:p w14:paraId="75F7657F" w14:textId="77777777" w:rsidR="000257C0" w:rsidRDefault="00000000" w:rsidP="00367E81">
            <w:pPr>
              <w:spacing w:before="240" w:after="40"/>
            </w:pPr>
            <w:r>
              <w:rPr>
                <w:sz w:val="19"/>
              </w:rPr>
              <w:t>LLM Hallucinations</w:t>
            </w:r>
          </w:p>
        </w:tc>
        <w:tc>
          <w:tcPr>
            <w:tcW w:w="2880" w:type="dxa"/>
            <w:tcBorders>
              <w:left w:val="none" w:sz="0" w:space="0" w:color="auto"/>
              <w:right w:val="none" w:sz="0" w:space="0" w:color="auto"/>
            </w:tcBorders>
          </w:tcPr>
          <w:p w14:paraId="2EFDBB4A"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Ground generation in isolated contexts; flag low faithfulness (&lt; 0.8) and enforce mandatory lawyer review.</w:t>
            </w:r>
          </w:p>
        </w:tc>
        <w:tc>
          <w:tcPr>
            <w:tcW w:w="2880" w:type="dxa"/>
            <w:tcBorders>
              <w:left w:val="none" w:sz="0" w:space="0" w:color="auto"/>
              <w:right w:val="none" w:sz="0" w:space="0" w:color="auto"/>
            </w:tcBorders>
          </w:tcPr>
          <w:p w14:paraId="5706CCFD"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evaluator/metrics.py (faithfulness check)</w:t>
            </w:r>
          </w:p>
        </w:tc>
      </w:tr>
      <w:tr w:rsidR="000257C0" w14:paraId="4FE598AA" w14:textId="77777777" w:rsidTr="00367E81">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14A96177" w14:textId="77777777" w:rsidR="000257C0" w:rsidRDefault="00000000" w:rsidP="00367E81">
            <w:pPr>
              <w:spacing w:before="240" w:after="40"/>
            </w:pPr>
            <w:r>
              <w:rPr>
                <w:sz w:val="19"/>
              </w:rPr>
              <w:t>Unauthorized Practice of Law</w:t>
            </w:r>
          </w:p>
        </w:tc>
        <w:tc>
          <w:tcPr>
            <w:tcW w:w="2880" w:type="dxa"/>
          </w:tcPr>
          <w:p w14:paraId="410CCF86"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Inject clear, legally formulated disclaimers explaining that the system is an educational research tool, not a human attorney.</w:t>
            </w:r>
          </w:p>
        </w:tc>
        <w:tc>
          <w:tcPr>
            <w:tcW w:w="2880" w:type="dxa"/>
          </w:tcPr>
          <w:p w14:paraId="2382117C"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agent/nodes.py (ANSWER_PROMPT disclaimer rule)</w:t>
            </w:r>
          </w:p>
        </w:tc>
      </w:tr>
      <w:tr w:rsidR="000257C0" w14:paraId="555CBB27" w14:textId="77777777" w:rsidTr="00367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left w:val="none" w:sz="0" w:space="0" w:color="auto"/>
              <w:right w:val="none" w:sz="0" w:space="0" w:color="auto"/>
            </w:tcBorders>
          </w:tcPr>
          <w:p w14:paraId="361E8AB3" w14:textId="77777777" w:rsidR="000257C0" w:rsidRDefault="00000000" w:rsidP="00367E81">
            <w:pPr>
              <w:spacing w:before="240" w:after="40"/>
            </w:pPr>
            <w:r>
              <w:rPr>
                <w:sz w:val="19"/>
              </w:rPr>
              <w:t>Confidentiality &amp; Privilege</w:t>
            </w:r>
          </w:p>
        </w:tc>
        <w:tc>
          <w:tcPr>
            <w:tcW w:w="2880" w:type="dxa"/>
            <w:tcBorders>
              <w:left w:val="none" w:sz="0" w:space="0" w:color="auto"/>
              <w:right w:val="none" w:sz="0" w:space="0" w:color="auto"/>
            </w:tcBorders>
          </w:tcPr>
          <w:p w14:paraId="4CBBBFCE"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Do not upload sensitive, privileged client files to public cloud APIs; use only synthetic datasets or private self-hosted models.</w:t>
            </w:r>
          </w:p>
        </w:tc>
        <w:tc>
          <w:tcPr>
            <w:tcW w:w="2880" w:type="dxa"/>
            <w:tcBorders>
              <w:left w:val="none" w:sz="0" w:space="0" w:color="auto"/>
              <w:right w:val="none" w:sz="0" w:space="0" w:color="auto"/>
            </w:tcBorders>
          </w:tcPr>
          <w:p w14:paraId="59BA2650"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legal_docs/ directory (fully synthetic)</w:t>
            </w:r>
          </w:p>
        </w:tc>
      </w:tr>
      <w:tr w:rsidR="000257C0" w14:paraId="0049BCE2" w14:textId="77777777" w:rsidTr="00367E81">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184BD2E" w14:textId="77777777" w:rsidR="000257C0" w:rsidRDefault="00000000" w:rsidP="00367E81">
            <w:pPr>
              <w:spacing w:before="240" w:after="40"/>
            </w:pPr>
            <w:r>
              <w:rPr>
                <w:sz w:val="19"/>
              </w:rPr>
              <w:t>API Key Exposure</w:t>
            </w:r>
          </w:p>
        </w:tc>
        <w:tc>
          <w:tcPr>
            <w:tcW w:w="2880" w:type="dxa"/>
          </w:tcPr>
          <w:p w14:paraId="3C5A6AC6"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Enforce local configuration using `.env` files, add key files to `.gitignore`, and leverage secure secrets management in CI/CD pipelines.</w:t>
            </w:r>
          </w:p>
        </w:tc>
        <w:tc>
          <w:tcPr>
            <w:tcW w:w="2880" w:type="dxa"/>
          </w:tcPr>
          <w:p w14:paraId="73BEF855" w14:textId="77777777" w:rsidR="000257C0" w:rsidRDefault="00000000" w:rsidP="00367E81">
            <w:pPr>
              <w:spacing w:before="240" w:after="40"/>
              <w:cnfStyle w:val="000000000000" w:firstRow="0" w:lastRow="0" w:firstColumn="0" w:lastColumn="0" w:oddVBand="0" w:evenVBand="0" w:oddHBand="0" w:evenHBand="0" w:firstRowFirstColumn="0" w:firstRowLastColumn="0" w:lastRowFirstColumn="0" w:lastRowLastColumn="0"/>
            </w:pPr>
            <w:r>
              <w:rPr>
                <w:sz w:val="19"/>
              </w:rPr>
              <w:t>`.env.example` and `.gitignore` configurations</w:t>
            </w:r>
          </w:p>
        </w:tc>
      </w:tr>
      <w:tr w:rsidR="000257C0" w14:paraId="5BAEE2D3" w14:textId="77777777" w:rsidTr="00367E8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left w:val="none" w:sz="0" w:space="0" w:color="auto"/>
              <w:right w:val="none" w:sz="0" w:space="0" w:color="auto"/>
            </w:tcBorders>
          </w:tcPr>
          <w:p w14:paraId="27DFE213" w14:textId="77777777" w:rsidR="000257C0" w:rsidRDefault="00000000" w:rsidP="00367E81">
            <w:pPr>
              <w:spacing w:before="240" w:after="40"/>
            </w:pPr>
            <w:r>
              <w:rPr>
                <w:sz w:val="19"/>
              </w:rPr>
              <w:t>Prompt Injection Attacks</w:t>
            </w:r>
          </w:p>
        </w:tc>
        <w:tc>
          <w:tcPr>
            <w:tcW w:w="2880" w:type="dxa"/>
            <w:tcBorders>
              <w:left w:val="none" w:sz="0" w:space="0" w:color="auto"/>
              <w:right w:val="none" w:sz="0" w:space="0" w:color="auto"/>
            </w:tcBorders>
          </w:tcPr>
          <w:p w14:paraId="52F0C0AE"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Sanitize user inputs and define a robust, defensive system prompt to prevent jailbreaks.</w:t>
            </w:r>
          </w:p>
        </w:tc>
        <w:tc>
          <w:tcPr>
            <w:tcW w:w="2880" w:type="dxa"/>
            <w:tcBorders>
              <w:left w:val="none" w:sz="0" w:space="0" w:color="auto"/>
              <w:right w:val="none" w:sz="0" w:space="0" w:color="auto"/>
            </w:tcBorders>
          </w:tcPr>
          <w:p w14:paraId="791CA9E6" w14:textId="77777777" w:rsidR="000257C0" w:rsidRDefault="00000000" w:rsidP="00367E81">
            <w:pPr>
              <w:spacing w:before="240" w:after="40"/>
              <w:cnfStyle w:val="000000100000" w:firstRow="0" w:lastRow="0" w:firstColumn="0" w:lastColumn="0" w:oddVBand="0" w:evenVBand="0" w:oddHBand="1" w:evenHBand="0" w:firstRowFirstColumn="0" w:firstRowLastColumn="0" w:lastRowFirstColumn="0" w:lastRowLastColumn="0"/>
            </w:pPr>
            <w:r>
              <w:rPr>
                <w:sz w:val="19"/>
              </w:rPr>
              <w:t>agent/nodes.py (system prompt guardrails)</w:t>
            </w:r>
          </w:p>
        </w:tc>
      </w:tr>
    </w:tbl>
    <w:p w14:paraId="5F40A5AC" w14:textId="77777777" w:rsidR="000257C0" w:rsidRDefault="00000000">
      <w:pPr>
        <w:keepNext/>
        <w:spacing w:before="360" w:after="200"/>
      </w:pPr>
      <w:r>
        <w:rPr>
          <w:b/>
          <w:color w:val="667EEA"/>
        </w:rPr>
        <w:lastRenderedPageBreak/>
        <w:t>8.2 Professional Disclaimer &amp; Guardrails</w:t>
      </w:r>
    </w:p>
    <w:p w14:paraId="541A7BD0" w14:textId="2EBE00F6" w:rsidR="000257C0" w:rsidRDefault="00000000" w:rsidP="00367E81">
      <w:r>
        <w:t>To ensure compliance with local bar association guidelines and protect against liability, all generated reports and conversational answers are appended with a mandatory warning block. The system prompt strictly rejects any instructions to act as a licensed counsel or formulate official legal advice, keeping the AI within its safe boundary as a research assistant.</w:t>
      </w:r>
    </w:p>
    <w:sectPr w:rsidR="000257C0" w:rsidSect="00367E81">
      <w:pgSz w:w="12240" w:h="15840"/>
      <w:pgMar w:top="1728" w:right="1800" w:bottom="1440" w:left="180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277178">
    <w:abstractNumId w:val="8"/>
  </w:num>
  <w:num w:numId="2" w16cid:durableId="850875698">
    <w:abstractNumId w:val="6"/>
  </w:num>
  <w:num w:numId="3" w16cid:durableId="1951351032">
    <w:abstractNumId w:val="5"/>
  </w:num>
  <w:num w:numId="4" w16cid:durableId="860315750">
    <w:abstractNumId w:val="4"/>
  </w:num>
  <w:num w:numId="5" w16cid:durableId="1958174552">
    <w:abstractNumId w:val="7"/>
  </w:num>
  <w:num w:numId="6" w16cid:durableId="642732953">
    <w:abstractNumId w:val="3"/>
  </w:num>
  <w:num w:numId="7" w16cid:durableId="550003329">
    <w:abstractNumId w:val="2"/>
  </w:num>
  <w:num w:numId="8" w16cid:durableId="1032001213">
    <w:abstractNumId w:val="1"/>
  </w:num>
  <w:num w:numId="9" w16cid:durableId="1508449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7C0"/>
    <w:rsid w:val="00034616"/>
    <w:rsid w:val="0006063C"/>
    <w:rsid w:val="000927C7"/>
    <w:rsid w:val="0015074B"/>
    <w:rsid w:val="001F3000"/>
    <w:rsid w:val="0029639D"/>
    <w:rsid w:val="00326F90"/>
    <w:rsid w:val="00367E8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5DDE18"/>
  <w14:defaultImageDpi w14:val="300"/>
  <w15:docId w15:val="{CC2C7E0D-1AE0-462C-B975-998F94832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12" w:lineRule="auto"/>
    </w:pPr>
    <w:rPr>
      <w:rFonts w:ascii="Calibri" w:hAnsi="Calibri"/>
      <w:color w:val="334155"/>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3595</Words>
  <Characters>20495</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Adel</cp:lastModifiedBy>
  <cp:revision>3</cp:revision>
  <dcterms:created xsi:type="dcterms:W3CDTF">2013-12-23T23:15:00Z</dcterms:created>
  <dcterms:modified xsi:type="dcterms:W3CDTF">2026-05-17T18:22:00Z</dcterms:modified>
  <cp:category/>
</cp:coreProperties>
</file>