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7C3AED"/>
          <w:sz w:val="18"/>
        </w:rPr>
        <w:t>CONTEXTA RETRIEVAL TEST</w:t>
      </w:r>
    </w:p>
    <w:p>
      <w:pPr>
        <w:pStyle w:val="Title"/>
        <w:spacing w:after="160"/>
      </w:pPr>
      <w:r>
        <w:t>Cedar Support Policy</w:t>
      </w:r>
    </w:p>
    <w:p>
      <w:pPr>
        <w:spacing w:after="280"/>
      </w:pPr>
      <w:r>
        <w:rPr>
          <w:rFonts w:ascii="Arial" w:hAnsi="Arial"/>
          <w:b w:val="0"/>
          <w:color w:val="4B5563"/>
          <w:sz w:val="21"/>
        </w:rPr>
        <w:t>This policy defines response targets, escalation ownership, maintenance timing, and refund handling for Cedar Support.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768"/>
      </w:tblGrid>
      <w:tr>
        <w:tc>
          <w:tcPr>
            <w:tcW w:type="dxa" w:w="5040"/>
            <w:vAlign w:val="center"/>
            <w:shd w:fill="4C1D9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Policy item</w:t>
            </w:r>
          </w:p>
        </w:tc>
        <w:tc>
          <w:tcPr>
            <w:tcW w:type="dxa" w:w="5040"/>
            <w:vAlign w:val="center"/>
            <w:shd w:fill="4C1D9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3168"/>
            <w:vAlign w:val="center"/>
            <w:shd w:fill="F9FAFB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111827"/>
                <w:sz w:val="20"/>
              </w:rPr>
              <w:t>Priority Red response</w:t>
            </w:r>
          </w:p>
        </w:tc>
        <w:tc>
          <w:tcPr>
            <w:tcW w:type="dxa" w:w="6768"/>
            <w:vAlign w:val="center"/>
            <w:shd w:fill="F9FAFB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A support agent must respond within 15 minutes.</w:t>
            </w:r>
          </w:p>
        </w:tc>
      </w:tr>
      <w:tr>
        <w:tc>
          <w:tcPr>
            <w:tcW w:type="dxa" w:w="3168"/>
            <w:vAlign w:val="center"/>
            <w:shd w:fill="EDE9FE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111827"/>
                <w:sz w:val="20"/>
              </w:rPr>
              <w:t>Priority Blue response</w:t>
            </w:r>
          </w:p>
        </w:tc>
        <w:tc>
          <w:tcPr>
            <w:tcW w:type="dxa" w:w="6768"/>
            <w:vAlign w:val="center"/>
            <w:shd w:fill="EDE9FE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A support agent must respond within 4 hours.</w:t>
            </w:r>
          </w:p>
        </w:tc>
      </w:tr>
      <w:tr>
        <w:tc>
          <w:tcPr>
            <w:tcW w:type="dxa" w:w="3168"/>
            <w:vAlign w:val="center"/>
            <w:shd w:fill="F9FAFB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111827"/>
                <w:sz w:val="20"/>
              </w:rPr>
              <w:t>Escalation manager</w:t>
            </w:r>
          </w:p>
        </w:tc>
        <w:tc>
          <w:tcPr>
            <w:tcW w:type="dxa" w:w="6768"/>
            <w:vAlign w:val="center"/>
            <w:shd w:fill="F9FAFB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Omar Saleh manages escalations.</w:t>
            </w:r>
          </w:p>
        </w:tc>
      </w:tr>
      <w:tr>
        <w:tc>
          <w:tcPr>
            <w:tcW w:type="dxa" w:w="3168"/>
            <w:vAlign w:val="center"/>
            <w:shd w:fill="EDE9FE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111827"/>
                <w:sz w:val="20"/>
              </w:rPr>
              <w:t>Maintenance window</w:t>
            </w:r>
          </w:p>
        </w:tc>
        <w:tc>
          <w:tcPr>
            <w:tcW w:type="dxa" w:w="6768"/>
            <w:vAlign w:val="center"/>
            <w:shd w:fill="EDE9FE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Scheduled maintenance runs Sunday from 02:00 to 03:00 UTC.</w:t>
            </w:r>
          </w:p>
        </w:tc>
      </w:tr>
      <w:tr>
        <w:tc>
          <w:tcPr>
            <w:tcW w:type="dxa" w:w="3168"/>
            <w:vAlign w:val="center"/>
            <w:shd w:fill="F9FAFB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111827"/>
                <w:sz w:val="20"/>
              </w:rPr>
              <w:t>Refund window</w:t>
            </w:r>
          </w:p>
        </w:tc>
        <w:tc>
          <w:tcPr>
            <w:tcW w:type="dxa" w:w="6768"/>
            <w:vAlign w:val="center"/>
            <w:shd w:fill="F9FAFB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Eligible refunds must be requested within 30 days.</w:t>
            </w:r>
          </w:p>
        </w:tc>
      </w:tr>
    </w:tbl>
    <w:p/>
    <w:p>
      <w:pPr>
        <w:spacing w:before="160" w:after="0"/>
      </w:pPr>
      <w:r>
        <w:rPr>
          <w:rFonts w:ascii="Arial" w:hAnsi="Arial"/>
          <w:b w:val="0"/>
          <w:color w:val="4B5563"/>
          <w:sz w:val="20"/>
        </w:rPr>
        <w:t>Retrieval check: the Priority Red response target and escalation manager should be answerable from this Word document alone.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B7280"/>
        <w:sz w:val="16"/>
      </w:rPr>
      <w:t>Contexta test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