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Non-Functional Requirements (NFRs) – </w:t>
      </w:r>
      <w:proofErr w:type="spellStart"/>
      <w:r w:rsidRPr="00FC573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DarisLMS</w:t>
      </w:r>
      <w:proofErr w:type="spellEnd"/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bookmarkStart w:id="0" w:name="_GoBack"/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Performance &amp; Scalability (NF-01)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989"/>
        <w:gridCol w:w="4381"/>
        <w:gridCol w:w="3320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respond to user interactions within acceptable time limits.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Page load: ≤ 2 seconds (95th percentile)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API response: ≤ 500ms (95th percentile)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Search results: ≤ 500ms (as per FR-06.4)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support simultaneous use by a defined number of users without degradation.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Support 1,000 concurrent users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Peak usage (e.g., exam week): 5,000 concurrent users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scale horizontally to accommodate growing user and content volumes.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Support up to 50,000 users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Support up to 10,000 courses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Storage scalable to TBs via AWS S3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handle a high volume of transactions per second.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- 100 requests per second per server instance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Batch operations (e.g., CSV import): ≤ 30 seconds for 1,000 records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Reliability &amp; Availability (NF-02)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013"/>
        <w:gridCol w:w="3708"/>
        <w:gridCol w:w="3955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System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be available for use during defined operational hours.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- 99.9% uptime (excluding scheduled maintenance)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Scheduled maintenance windows: ≤ 4 hours/month, announced 72h in advance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Fault Tolerance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continue operating in the event of partial failures.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Database failover within 5 minutes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Graceful degradation (e.g., search fallback if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TypeSense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is down)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Backup &amp;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support regular backups and timely recovery.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Daily automated backups retained for 30 days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Recovery Time Objective (RTO): ≤ 4 hours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Recovery Point Objective (RPO): ≤ 24 hours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prevent data corruption and ensure consistency.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Transaction rollback on failure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Validation before commit (e.g., foreign key constraints)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Security &amp; Compliance (NF-03)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590"/>
        <w:gridCol w:w="4074"/>
        <w:gridCol w:w="3001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Authentication &amp;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securely authenticate users and enforce role-based access.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-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Laravel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Sanctum token-based authentication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RBAC enforced on all endpoints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Session timeout: 30 minutes inactivity (FR-13.1)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Data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protect sensitive data at rest and in transit.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- All passwords hashed with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Bcrypt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(FR-13.3)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- TLS 1.2+ for all HTTP traffic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Encrypted database fields for PII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NF-03.3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Auditing &amp;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maintain secure and tamper-evident logs.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Audit logs for all critical actions (FR-14.1)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Log retention: 12 months minimum (FR-14.4)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Immutable log storage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comply with relevant data protection regulations.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GDPR compliance (FR-13.4, FR-24.x)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WCAG 2.1 AA accessibility (FR-17.3)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Policy versioning and consent tracking (FR-24.2)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Usability &amp; Accessibility (NF-04)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048"/>
        <w:gridCol w:w="4036"/>
        <w:gridCol w:w="3573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User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provide an intuitive and consistent user interface.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Responsive design (FR-11.1)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Consistent navigation (FR-11.3)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Support for light/dark themes (FR-11.5)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be usable by people with disabilities.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WCAG 2.1 AA compliance (FR-17.3)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ARIA labels for all interactive elements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Keyboard navigation support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NF-04.3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Localization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support multiple languages and cultural conventions.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English and Arabic support (FR-17.1)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RTL layout for Arabic (FR-17.2)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Date/time/currency formatting per locale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Learnability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New users shall be able to perform basic tasks with minimal training.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Average time to first course enrollment: ≤ 3 minutes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In-app guidance/tooltips for complex features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Maintainability &amp; Supportability (NF-05)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191"/>
        <w:gridCol w:w="3980"/>
        <w:gridCol w:w="3521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Code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codebase</w:t>
            </w:r>
            <w:proofErr w:type="gram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shall be maintainable and follow best practices.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- Adherence to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Laravel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/React best practices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Code coverage ≥ 80% for critical modules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Static code analysis with zero critical issues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be accompanied by comprehensive documentation.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API documentation (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OpenAPI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/Swagger)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Admin/user manuals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Deployment and troubleshooting guides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Monitoring &amp;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provide monitoring and alerting capabilities.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Real-time dashboards for system health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Alerts for errors, performance degradation, security incidents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Integration with monitoring tools (e.g., Prometheus, Sentry)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NF-05.4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Extensibility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support plugins/extensions without core modifications.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Plugin architecture (FR-09.4)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Webhook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support (FR-10.3)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LTI 1.3 readiness (FR-18.2)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Portability &amp; Compatibility (NF-06)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359"/>
        <w:gridCol w:w="3928"/>
        <w:gridCol w:w="3374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frontend shall work on modern browsers.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Chrome, Firefox, Safari, Edge (latest 2 versions)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Mobile browsers (Chrome for Android, Safari for iOS)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API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API shall maintain backward compatibility within major versions.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Versioned API endpoints (/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/v1/)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Deprecation notices for at least 6 months before removal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Database 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The system shall support multiple database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backends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Primary: MySQL 8.0+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Compatible with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MariaDB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10.4+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- Schema migration support via </w:t>
            </w:r>
            <w:proofErr w:type="spellStart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Laravel</w:t>
            </w:r>
            <w:proofErr w:type="spellEnd"/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 xml:space="preserve"> migrations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Mobile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be fully functional on mobile devices.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Touch-friendly interfaces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Mobile-optimized layouts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Offline-capable features (future)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Operational &amp; Deployment (NF-07)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349"/>
        <w:gridCol w:w="4207"/>
        <w:gridCol w:w="3071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support automated deployment and rollback.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CI/CD pipeline (GitHub Actions/Jenkins)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Zero-downtime deployments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Rollback capability within 10 minutes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Resource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operate within defined resource constraints.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CPU usage ≤ 70% under normal load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Memory usage ≤ 80% of allocated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Disk I/O within provisioned limits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Environmental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run in defined environments.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Cloud: AWS, Azure, or GCP compatible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On-premise deployment support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Docker containerization support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 Management &amp; Storage (NF-08)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115"/>
        <w:gridCol w:w="3966"/>
        <w:gridCol w:w="3575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Storage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File upload/download shall meet performance expectations.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Upload: ≤ 30 seconds for 100MB file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Download: ≤ 10 seconds for 100MB file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Concurrent file operations: support 50 simultaneous uploads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NF-08.2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Storage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Storage shall scale with content growth.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Support local storage and AWS S3 (FR-05.2)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Auto-scaling storage capacity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Support for CDN integration (future)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Data shall be retained according to policy.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User data retention: 12 months post-deletion (FR-13.5)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Log retention: 12 months minimum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Archived course data: 5 years minimum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Integration &amp; Interoperability (NF-09)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2225"/>
        <w:gridCol w:w="3763"/>
        <w:gridCol w:w="3601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API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API shall follow industry standards.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RESTful design (FR-10.1)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JSON responses (FR-10.2)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Standard HTTP status codes and error formats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External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integrate with external services.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SMTP for email (FR-01.2)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Payment gateway readiness (FR-18.3)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LTI 1.3 support (FR-18.2)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NF-09.3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Data Export/Import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support standard data formats.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CSV import/export (FR-03.5, FR-08.3)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PDF export (FR-08.3)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iCal export (FR-22.4)</w:t>
            </w:r>
          </w:p>
        </w:tc>
      </w:tr>
    </w:tbl>
    <w:p w:rsidR="00FC573F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FC573F" w:rsidRPr="00FC573F" w:rsidRDefault="00FC573F" w:rsidP="00FC573F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C573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10. Legal &amp; Regulatory (NF-10)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360"/>
        <w:gridCol w:w="3519"/>
        <w:gridCol w:w="3742"/>
      </w:tblGrid>
      <w:tr w:rsidR="00FC573F" w:rsidRPr="00FC573F" w:rsidTr="00FC573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NFR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Requirement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Metrics / Acceptance Criteria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Privacy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comply with privacy regulations.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GDPR compliance (FR-13.4, FR-24.x)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Data minimization principles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Right to erasure support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Accessibility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meet accessibility standards.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WCAG 2.1 AA compliance (FR-17.3)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Section 508 compliance (if applicable)</w:t>
            </w:r>
          </w:p>
        </w:tc>
      </w:tr>
      <w:tr w:rsidR="00FC573F" w:rsidRPr="00FC573F" w:rsidTr="00FC57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NF-10.3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Licensing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The system shall respect third-party licenses.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C573F" w:rsidRPr="00FC573F" w:rsidRDefault="00FC573F" w:rsidP="00FC573F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t>- Open-source license compliance</w:t>
            </w:r>
            <w:r w:rsidRPr="00FC573F">
              <w:rPr>
                <w:rFonts w:ascii="Segoe UI" w:eastAsia="Times New Roman" w:hAnsi="Segoe UI" w:cs="Segoe UI"/>
                <w:sz w:val="23"/>
                <w:szCs w:val="23"/>
              </w:rPr>
              <w:br/>
              <w:t>- Commercial license management for paid components</w:t>
            </w:r>
          </w:p>
        </w:tc>
      </w:tr>
    </w:tbl>
    <w:p w:rsidR="005B7832" w:rsidRPr="00FC573F" w:rsidRDefault="00FC573F" w:rsidP="00FC573F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57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sectPr w:rsidR="005B7832" w:rsidRPr="00FC573F" w:rsidSect="00FC573F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F3"/>
    <w:rsid w:val="00181456"/>
    <w:rsid w:val="005B7832"/>
    <w:rsid w:val="006B01F3"/>
    <w:rsid w:val="009A33E4"/>
    <w:rsid w:val="00FC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6038"/>
  <w15:chartTrackingRefBased/>
  <w15:docId w15:val="{6CCDC9AB-F960-4F43-BAF0-A25D0042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C573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573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57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573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C573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5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9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2025-12-19T14:49:00Z</dcterms:created>
  <dcterms:modified xsi:type="dcterms:W3CDTF">2025-12-19T15:11:00Z</dcterms:modified>
</cp:coreProperties>
</file>