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Psychometric</w:t>
      </w:r>
      <w:r>
        <w:t xml:space="preserve"> </w:t>
      </w:r>
      <w:r>
        <w:t xml:space="preserve">Prerequisites</w:t>
      </w:r>
    </w:p>
    <w:p>
      <w:pPr>
        <w:pStyle w:val="Author"/>
      </w:pPr>
      <w:r>
        <w:t xml:space="preserve">Multidimensional</w:t>
      </w:r>
      <w:r>
        <w:t xml:space="preserve"> </w:t>
      </w:r>
      <w:r>
        <w:t xml:space="preserve">Measurement</w:t>
      </w:r>
      <w:r>
        <w:t xml:space="preserve"> </w:t>
      </w:r>
      <w:r>
        <w:t xml:space="preserve">Models</w:t>
      </w:r>
      <w:r>
        <w:t xml:space="preserve"> </w:t>
      </w:r>
      <w:r>
        <w:t xml:space="preserve">(Fall</w:t>
      </w:r>
      <w:r>
        <w:t xml:space="preserve"> </w:t>
      </w:r>
      <w:r>
        <w:t xml:space="preserve">2023):</w:t>
      </w:r>
      <w:r>
        <w:t xml:space="preserve"> </w:t>
      </w:r>
      <w:r>
        <w:t xml:space="preserve">Lecture</w:t>
      </w:r>
      <w:r>
        <w:t xml:space="preserve"> </w:t>
      </w:r>
      <w:r>
        <w:t xml:space="preserve">3</w:t>
      </w:r>
    </w:p>
    <w:bookmarkStart w:id="27" w:name="todays-lecture"/>
    <w:p>
      <w:pPr>
        <w:pStyle w:val="Heading1"/>
      </w:pPr>
      <w:r>
        <w:t xml:space="preserve">Today’s Lecture</w:t>
      </w:r>
    </w:p>
    <w:p>
      <w:pPr>
        <w:numPr>
          <w:ilvl w:val="0"/>
          <w:numId w:val="1001"/>
        </w:numPr>
        <w:pStyle w:val="Compact"/>
      </w:pPr>
      <w:r>
        <w:t xml:space="preserve">Context matters: Your data sets</w:t>
      </w:r>
    </w:p>
    <w:p>
      <w:pPr>
        <w:numPr>
          <w:ilvl w:val="1"/>
          <w:numId w:val="1002"/>
        </w:numPr>
        <w:pStyle w:val="Compact"/>
      </w:pPr>
      <w:r>
        <w:t xml:space="preserve">Educational standards</w:t>
      </w:r>
    </w:p>
    <w:p>
      <w:pPr>
        <w:numPr>
          <w:ilvl w:val="0"/>
          <w:numId w:val="1001"/>
        </w:numPr>
        <w:pStyle w:val="Compact"/>
      </w:pPr>
      <w:r>
        <w:t xml:space="preserve">Psychometric Prerequisites</w:t>
      </w:r>
    </w:p>
    <w:p>
      <w:pPr>
        <w:numPr>
          <w:ilvl w:val="1"/>
          <w:numId w:val="1003"/>
        </w:numPr>
        <w:pStyle w:val="Compact"/>
      </w:pPr>
      <w:r>
        <w:t xml:space="preserve">Q-matrices</w:t>
      </w:r>
    </w:p>
    <w:p>
      <w:pPr>
        <w:numPr>
          <w:ilvl w:val="1"/>
          <w:numId w:val="1003"/>
        </w:numPr>
        <w:pStyle w:val="Compact"/>
      </w:pPr>
      <w:r>
        <w:t xml:space="preserve">Latent Variable Measurement Models</w:t>
      </w:r>
    </w:p>
    <w:p>
      <w:pPr>
        <w:numPr>
          <w:ilvl w:val="2"/>
          <w:numId w:val="1004"/>
        </w:numPr>
        <w:pStyle w:val="Compact"/>
      </w:pPr>
      <w:r>
        <w:t xml:space="preserve">Binary IRT models</w:t>
      </w:r>
    </w:p>
    <w:p>
      <w:pPr>
        <w:numPr>
          <w:ilvl w:val="2"/>
          <w:numId w:val="1004"/>
        </w:numPr>
        <w:pStyle w:val="Compact"/>
      </w:pPr>
      <w:r>
        <w:t xml:space="preserve">Polytomous IRT models</w:t>
      </w:r>
    </w:p>
    <w:p>
      <w:pPr>
        <w:numPr>
          <w:ilvl w:val="2"/>
          <w:numId w:val="1004"/>
        </w:numPr>
        <w:pStyle w:val="Compact"/>
      </w:pPr>
      <w:r>
        <w:t xml:space="preserve">Confirmatory Factor models</w:t>
      </w:r>
    </w:p>
    <w:p>
      <w:pPr>
        <w:numPr>
          <w:ilvl w:val="1"/>
          <w:numId w:val="1003"/>
        </w:numPr>
        <w:pStyle w:val="Compact"/>
      </w:pPr>
      <w:r>
        <w:t xml:space="preserve">Latent Variable Structural Models</w:t>
      </w:r>
    </w:p>
    <w:p>
      <w:pPr>
        <w:numPr>
          <w:ilvl w:val="0"/>
          <w:numId w:val="1001"/>
        </w:numPr>
        <w:pStyle w:val="Compact"/>
      </w:pPr>
      <w:r>
        <w:t xml:space="preserve">Model Identification</w:t>
      </w:r>
      <w:r>
        <w:t xml:space="preserve"> </w:t>
      </w:r>
    </w:p>
    <w:bookmarkStart w:id="20" w:name="context-matters-your-data-sets"/>
    <w:p>
      <w:pPr>
        <w:pStyle w:val="Heading2"/>
      </w:pPr>
      <w:r>
        <w:t xml:space="preserve">Context Matters: Your Data Sets</w:t>
      </w:r>
    </w:p>
    <w:p>
      <w:pPr>
        <w:pStyle w:val="FirstParagraph"/>
      </w:pPr>
      <w:r>
        <w:t xml:space="preserve">The data sets you will use in this class are from educational assessments:</w:t>
      </w:r>
    </w:p>
    <w:p>
      <w:pPr>
        <w:numPr>
          <w:ilvl w:val="0"/>
          <w:numId w:val="1005"/>
        </w:numPr>
        <w:pStyle w:val="Compact"/>
      </w:pPr>
      <w:r>
        <w:t xml:space="preserve">Large, urban district in a rectangular midwestern state</w:t>
      </w:r>
    </w:p>
    <w:p>
      <w:pPr>
        <w:numPr>
          <w:ilvl w:val="0"/>
          <w:numId w:val="1005"/>
        </w:numPr>
        <w:pStyle w:val="Compact"/>
      </w:pPr>
      <w:r>
        <w:t xml:space="preserve">District-wide benchmark assessments (given three times per year)</w:t>
      </w:r>
    </w:p>
    <w:p>
      <w:pPr>
        <w:numPr>
          <w:ilvl w:val="0"/>
          <w:numId w:val="1005"/>
        </w:numPr>
        <w:pStyle w:val="Compact"/>
      </w:pPr>
      <w:r>
        <w:t xml:space="preserve">Results used for helping students progress through the curriculum</w:t>
      </w:r>
    </w:p>
    <w:p>
      <w:pPr>
        <w:numPr>
          <w:ilvl w:val="0"/>
          <w:numId w:val="1005"/>
        </w:numPr>
        <w:pStyle w:val="Compact"/>
      </w:pPr>
      <w:r>
        <w:t xml:space="preserve">Subjects assessed: Mathematics and English Language Arts (ELA; where ELA == Reading only)</w:t>
      </w:r>
    </w:p>
    <w:p>
      <w:pPr>
        <w:pStyle w:val="FirstParagraph"/>
      </w:pPr>
      <w:r>
        <w:t xml:space="preserve">Note: These are not the</w:t>
      </w:r>
      <w:r>
        <w:t xml:space="preserve"> </w:t>
      </w:r>
      <w:r>
        <w:rPr>
          <w:iCs/>
          <w:i/>
        </w:rPr>
        <w:t xml:space="preserve">actual</w:t>
      </w:r>
      <w:r>
        <w:t xml:space="preserve"> </w:t>
      </w:r>
      <w:r>
        <w:t xml:space="preserve">assessments but are similar in structure and content and created by a bootstrapping process</w:t>
      </w:r>
    </w:p>
    <w:bookmarkEnd w:id="20"/>
    <w:bookmarkStart w:id="21" w:name="data-set-format"/>
    <w:p>
      <w:pPr>
        <w:pStyle w:val="Heading2"/>
      </w:pPr>
      <w:r>
        <w:t xml:space="preserve">Data Set Format</w:t>
      </w:r>
    </w:p>
    <w:p>
      <w:pPr>
        <w:pStyle w:val="FirstParagraph"/>
      </w:pPr>
      <w:r>
        <w:t xml:space="preserve">Each data set is saved as in the RData format</w:t>
      </w:r>
    </w:p>
    <w:p>
      <w:pPr>
        <w:numPr>
          <w:ilvl w:val="0"/>
          <w:numId w:val="1006"/>
        </w:numPr>
        <w:pStyle w:val="Compact"/>
      </w:pPr>
      <w:r>
        <w:t xml:space="preserve">Can be imported into R with the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function</w:t>
      </w:r>
    </w:p>
    <w:p>
      <w:pPr>
        <w:numPr>
          <w:ilvl w:val="0"/>
          <w:numId w:val="1006"/>
        </w:numPr>
        <w:pStyle w:val="Compact"/>
      </w:pPr>
      <w:r>
        <w:t xml:space="preserve">Data contain a list object named</w:t>
      </w:r>
      <w:r>
        <w:t xml:space="preserve"> </w:t>
      </w:r>
      <w:r>
        <w:rPr>
          <w:rStyle w:val="VerbatimChar"/>
        </w:rPr>
        <w:t xml:space="preserve">temp</w:t>
      </w:r>
    </w:p>
    <w:p>
      <w:pPr>
        <w:numPr>
          <w:ilvl w:val="1"/>
          <w:numId w:val="1007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object has a Q-matrix and the response matrix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"9-10th_Grade_Q2.RData"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"has_annotations" "temp"           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[1] "Qmatrix"        "responseMatrix"</w:t>
      </w:r>
    </w:p>
    <w:p>
      <w:pPr>
        <w:pStyle w:val="SourceCode"/>
      </w:pPr>
      <w:r>
        <w:rPr>
          <w:rStyle w:val="NormalTok"/>
        </w:rPr>
        <w:t xml:space="preserve">Qmatrix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Qmatrix</w:t>
      </w:r>
      <w:r>
        <w:br/>
      </w:r>
      <w:r>
        <w:rPr>
          <w:rStyle w:val="NormalTok"/>
        </w:rPr>
        <w:t xml:space="preserve">responseMatrix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responseMatrix</w:t>
      </w:r>
    </w:p>
    <w:bookmarkEnd w:id="21"/>
    <w:bookmarkStart w:id="22" w:name="q-matrices"/>
    <w:p>
      <w:pPr>
        <w:pStyle w:val="Heading2"/>
      </w:pPr>
      <w:r>
        <w:t xml:space="preserve">Q-matrices</w:t>
      </w:r>
    </w:p>
    <w:p>
      <w:pPr>
        <w:pStyle w:val="FirstParagraph"/>
      </w:pPr>
      <w:r>
        <w:t xml:space="preserve">Q-matrices are a way to specify which latent variables are measured by which items</w:t>
      </w:r>
    </w:p>
    <w:p>
      <w:pPr>
        <w:numPr>
          <w:ilvl w:val="0"/>
          <w:numId w:val="1008"/>
        </w:numPr>
        <w:pStyle w:val="Compact"/>
      </w:pPr>
      <w:r>
        <w:t xml:space="preserve">The Q-matrix is a binary matrix</w:t>
      </w:r>
    </w:p>
    <w:p>
      <w:pPr>
        <w:numPr>
          <w:ilvl w:val="1"/>
          <w:numId w:val="1009"/>
        </w:numPr>
        <w:pStyle w:val="Compact"/>
      </w:pPr>
      <w:r>
        <w:t xml:space="preserve">Each row is an item</w:t>
      </w:r>
    </w:p>
    <w:p>
      <w:pPr>
        <w:numPr>
          <w:ilvl w:val="1"/>
          <w:numId w:val="1009"/>
        </w:numPr>
        <w:pStyle w:val="Compact"/>
      </w:pPr>
      <w:r>
        <w:t xml:space="preserve">Each column is a latent variable</w:t>
      </w:r>
    </w:p>
    <w:p>
      <w:pPr>
        <w:numPr>
          <w:ilvl w:val="1"/>
          <w:numId w:val="1009"/>
        </w:numPr>
        <w:pStyle w:val="Compact"/>
      </w:pPr>
      <w:r>
        <w:t xml:space="preserve">Each entry is a one or a zero</w:t>
      </w:r>
    </w:p>
    <w:p>
      <w:pPr>
        <w:numPr>
          <w:ilvl w:val="2"/>
          <w:numId w:val="1010"/>
        </w:numPr>
        <w:pStyle w:val="Compact"/>
      </w:pPr>
      <w:r>
        <w:t xml:space="preserve">One means the latent variable is measured by the item</w:t>
      </w:r>
    </w:p>
    <w:p>
      <w:pPr>
        <w:numPr>
          <w:ilvl w:val="2"/>
          <w:numId w:val="1010"/>
        </w:numPr>
        <w:pStyle w:val="Compact"/>
      </w:pPr>
      <w:r>
        <w:t xml:space="preserve">Zero means the latent variable is not measured by the item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(Qmatrix)</w:t>
      </w:r>
    </w:p>
    <w:p>
      <w:pPr>
        <w:pStyle w:val="SourceCode"/>
      </w:pPr>
      <w:r>
        <w:rPr>
          <w:rStyle w:val="VerbatimChar"/>
        </w:rPr>
        <w:t xml:space="preserve">      RL.9-10.4 RL.9-10.6 RL.9-10.1 RL.9-10.2 RI.9-10.6 RI.9-10.1 RI.9-10.4</w:t>
      </w:r>
      <w:r>
        <w:br/>
      </w:r>
      <w:r>
        <w:rPr>
          <w:rStyle w:val="VerbatimChar"/>
        </w:rPr>
        <w:t xml:space="preserve">item1         1         0         0         0         0         0         0</w:t>
      </w:r>
      <w:r>
        <w:br/>
      </w:r>
      <w:r>
        <w:rPr>
          <w:rStyle w:val="VerbatimChar"/>
        </w:rPr>
        <w:t xml:space="preserve">item2         0         1         0         0         0         0         0</w:t>
      </w:r>
      <w:r>
        <w:br/>
      </w:r>
      <w:r>
        <w:rPr>
          <w:rStyle w:val="VerbatimChar"/>
        </w:rPr>
        <w:t xml:space="preserve">item3         0         0         1         0         0         0         0</w:t>
      </w:r>
      <w:r>
        <w:br/>
      </w:r>
      <w:r>
        <w:rPr>
          <w:rStyle w:val="VerbatimChar"/>
        </w:rPr>
        <w:t xml:space="preserve">item4         0         1         0         0         0         0         0</w:t>
      </w:r>
      <w:r>
        <w:br/>
      </w:r>
      <w:r>
        <w:rPr>
          <w:rStyle w:val="VerbatimChar"/>
        </w:rPr>
        <w:t xml:space="preserve">item5         0         0         0         1         0         0         0</w:t>
      </w:r>
      <w:r>
        <w:br/>
      </w:r>
      <w:r>
        <w:rPr>
          <w:rStyle w:val="VerbatimChar"/>
        </w:rPr>
        <w:t xml:space="preserve">item6         0         0         0         0         1         0         0</w:t>
      </w:r>
      <w:r>
        <w:br/>
      </w:r>
      <w:r>
        <w:rPr>
          <w:rStyle w:val="VerbatimChar"/>
        </w:rPr>
        <w:t xml:space="preserve">      A.REI.1 A.REI.2 A.REI.8 A.CED.2 G.CO.7 G.SRT.4 G.CO.2</w:t>
      </w:r>
      <w:r>
        <w:br/>
      </w:r>
      <w:r>
        <w:rPr>
          <w:rStyle w:val="VerbatimChar"/>
        </w:rPr>
        <w:t xml:space="preserve">item1       0       0       0       0      0       0      0</w:t>
      </w:r>
      <w:r>
        <w:br/>
      </w:r>
      <w:r>
        <w:rPr>
          <w:rStyle w:val="VerbatimChar"/>
        </w:rPr>
        <w:t xml:space="preserve">item2       0       0       0       0      0       0      0</w:t>
      </w:r>
      <w:r>
        <w:br/>
      </w:r>
      <w:r>
        <w:rPr>
          <w:rStyle w:val="VerbatimChar"/>
        </w:rPr>
        <w:t xml:space="preserve">item3       0       0       0       0      0       0      0</w:t>
      </w:r>
      <w:r>
        <w:br/>
      </w:r>
      <w:r>
        <w:rPr>
          <w:rStyle w:val="VerbatimChar"/>
        </w:rPr>
        <w:t xml:space="preserve">item4       0       0       0       0      0       0      0</w:t>
      </w:r>
      <w:r>
        <w:br/>
      </w:r>
      <w:r>
        <w:rPr>
          <w:rStyle w:val="VerbatimChar"/>
        </w:rPr>
        <w:t xml:space="preserve">item5       0       0       0       0      0       0      0</w:t>
      </w:r>
      <w:r>
        <w:br/>
      </w:r>
      <w:r>
        <w:rPr>
          <w:rStyle w:val="VerbatimChar"/>
        </w:rPr>
        <w:t xml:space="preserve">item6       0       0       0       0      0       0      0</w:t>
      </w:r>
    </w:p>
    <w:bookmarkEnd w:id="22"/>
    <w:bookmarkStart w:id="23" w:name="the-latent-variables"/>
    <w:p>
      <w:pPr>
        <w:pStyle w:val="Heading2"/>
      </w:pPr>
      <w:r>
        <w:t xml:space="preserve">The Latent Variables</w:t>
      </w:r>
    </w:p>
    <w:p>
      <w:pPr>
        <w:pStyle w:val="FirstParagraph"/>
      </w:pPr>
      <w:r>
        <w:t xml:space="preserve">Latent variables are built by specification:</w:t>
      </w:r>
    </w:p>
    <w:p>
      <w:pPr>
        <w:numPr>
          <w:ilvl w:val="0"/>
          <w:numId w:val="1011"/>
        </w:numPr>
        <w:pStyle w:val="Compact"/>
      </w:pPr>
      <w:r>
        <w:t xml:space="preserve">What is their distribution? (nearly all are normally distributed)</w:t>
      </w:r>
    </w:p>
    <w:p>
      <w:pPr>
        <w:numPr>
          <w:ilvl w:val="0"/>
          <w:numId w:val="1011"/>
        </w:numPr>
        <w:pStyle w:val="Compact"/>
      </w:pPr>
      <w:r>
        <w:t xml:space="preserve">How do you specify their scale: mean and standard deviation? (step two in our model analysis steps)</w:t>
      </w:r>
    </w:p>
    <w:p>
      <w:pPr>
        <w:pStyle w:val="FirstParagraph"/>
      </w:pPr>
      <w:r>
        <w:t xml:space="preserve">You create latent variables by specifying which items measure which latent variables in an analysis model</w:t>
      </w:r>
    </w:p>
    <w:p>
      <w:pPr>
        <w:numPr>
          <w:ilvl w:val="0"/>
          <w:numId w:val="1012"/>
        </w:numPr>
        <w:pStyle w:val="Compact"/>
      </w:pPr>
      <w:r>
        <w:t xml:space="preserve">Called different names by different fields:</w:t>
      </w:r>
    </w:p>
    <w:p>
      <w:pPr>
        <w:numPr>
          <w:ilvl w:val="1"/>
          <w:numId w:val="1013"/>
        </w:numPr>
        <w:pStyle w:val="Compact"/>
      </w:pPr>
      <w:r>
        <w:t xml:space="preserve">Alignment (educational measurement)</w:t>
      </w:r>
    </w:p>
    <w:p>
      <w:pPr>
        <w:numPr>
          <w:ilvl w:val="1"/>
          <w:numId w:val="1013"/>
        </w:numPr>
        <w:pStyle w:val="Compact"/>
      </w:pPr>
      <w:r>
        <w:t xml:space="preserve">Factor pattern matrix (factor analysis)</w:t>
      </w:r>
    </w:p>
    <w:p>
      <w:pPr>
        <w:numPr>
          <w:ilvl w:val="1"/>
          <w:numId w:val="1013"/>
        </w:numPr>
        <w:pStyle w:val="Compact"/>
      </w:pPr>
      <w:r>
        <w:t xml:space="preserve">Q-matrix (Question matrix; diagnostic models and multidimensional IRT)</w:t>
      </w:r>
    </w:p>
    <w:bookmarkEnd w:id="23"/>
    <w:bookmarkStart w:id="25" w:name="q-matrices-in-class-data"/>
    <w:p>
      <w:pPr>
        <w:pStyle w:val="Heading2"/>
      </w:pPr>
      <w:r>
        <w:t xml:space="preserve">Q-Matrices in Class Data</w:t>
      </w:r>
    </w:p>
    <w:p>
      <w:pPr>
        <w:pStyle w:val="FirstParagraph"/>
      </w:pPr>
      <w:r>
        <w:t xml:space="preserve">The column names in the class data Q-matrix reflect different educational standards being assessed</w:t>
      </w:r>
    </w:p>
    <w:p>
      <w:pPr>
        <w:numPr>
          <w:ilvl w:val="0"/>
          <w:numId w:val="1014"/>
        </w:numPr>
        <w:pStyle w:val="Compact"/>
      </w:pPr>
      <w:r>
        <w:t xml:space="preserve">The assessments were created to assess these standards directly</w:t>
      </w:r>
    </w:p>
    <w:p>
      <w:pPr>
        <w:numPr>
          <w:ilvl w:val="0"/>
          <w:numId w:val="1014"/>
        </w:numPr>
        <w:pStyle w:val="Compact"/>
      </w:pPr>
      <w:r>
        <w:t xml:space="preserve">Each standard has a unique code</w:t>
      </w:r>
    </w:p>
    <w:p>
      <w:pPr>
        <w:numPr>
          <w:ilvl w:val="1"/>
          <w:numId w:val="1015"/>
        </w:numPr>
        <w:pStyle w:val="Compact"/>
      </w:pPr>
      <w:r>
        <w:t xml:space="preserve">A guide to what the code references is found here</w:t>
      </w:r>
      <w:r>
        <w:t xml:space="preserve"> </w:t>
      </w:r>
      <w:hyperlink r:id="rId24">
        <w:r>
          <w:rPr>
            <w:rStyle w:val="Hyperlink"/>
          </w:rPr>
          <w:t xml:space="preserve">https://commoncore.tcoe.org/Content/Public/doc/tcoe_understanding_standards_codes.pdf</w:t>
        </w:r>
      </w:hyperlink>
    </w:p>
    <w:p>
      <w:pPr>
        <w:pStyle w:val="FirstParagraph"/>
      </w:pPr>
      <w:r>
        <w:t xml:space="preserve">Question for discussion: What are the latent variables we must estimate in the class data?</w:t>
      </w:r>
    </w:p>
    <w:bookmarkEnd w:id="25"/>
    <w:bookmarkStart w:id="26" w:name="from-q-matrix-to-model"/>
    <w:p>
      <w:pPr>
        <w:pStyle w:val="Heading2"/>
      </w:pPr>
      <w:r>
        <w:t xml:space="preserve">From Q-matrix to Model</w:t>
      </w:r>
    </w:p>
    <w:p>
      <w:pPr>
        <w:pStyle w:val="FirstParagraph"/>
      </w:pPr>
      <w:r>
        <w:t xml:space="preserve">The alignment provides a specification of which latent variables are measured by which items</w:t>
      </w:r>
    </w:p>
    <w:p>
      <w:pPr>
        <w:numPr>
          <w:ilvl w:val="0"/>
          <w:numId w:val="1016"/>
        </w:numPr>
        <w:pStyle w:val="Compact"/>
      </w:pPr>
      <w:r>
        <w:t xml:space="preserve">Sometimes we say items</w:t>
      </w:r>
      <w:r>
        <w:t xml:space="preserve"> </w:t>
      </w:r>
      <w:r>
        <w:t xml:space="preserve">“</w:t>
      </w:r>
      <w:r>
        <w:t xml:space="preserve">load onto</w:t>
      </w:r>
      <w:r>
        <w:t xml:space="preserve">”</w:t>
      </w:r>
      <w:r>
        <w:t xml:space="preserve"> </w:t>
      </w:r>
      <w:r>
        <w:t xml:space="preserve">factors</w:t>
      </w:r>
    </w:p>
    <w:p>
      <w:pPr>
        <w:pStyle w:val="FirstParagraph"/>
      </w:pPr>
      <w:r>
        <w:t xml:space="preserve">The mathematical definition of either of these terms is simply whether or not a latent variable appears as a predictor for an item</w:t>
      </w:r>
    </w:p>
    <w:p>
      <w:pPr>
        <w:numPr>
          <w:ilvl w:val="0"/>
          <w:numId w:val="1017"/>
        </w:numPr>
        <w:pStyle w:val="Compact"/>
      </w:pPr>
      <w:r>
        <w:t xml:space="preserve">For instance, item one appears to measure nongovernment conspiracies, meaning its alignment (row vector of the Q-matrix) would be:</w:t>
      </w:r>
      <w:r>
        <w:t xml:space="preserve"> </w:t>
      </w:r>
      <w:r>
        <w:t xml:space="preserve">::: {.cell}</w:t>
      </w:r>
    </w:p>
    <w:p>
      <w:pPr>
        <w:pStyle w:val="SourceCode"/>
      </w:pPr>
      <w:r>
        <w:rPr>
          <w:rStyle w:val="NormalTok"/>
        </w:rPr>
        <w:t xml:space="preserve">Qmatrix[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RL.9-10.4 RL.9-10.6 RL.9-10.1 RL.9-10.2 RI.9-10.6 RI.9-10.1 RI.9-10.4   A.REI.1 </w:t>
      </w:r>
      <w:r>
        <w:br/>
      </w:r>
      <w:r>
        <w:rPr>
          <w:rStyle w:val="VerbatimChar"/>
        </w:rPr>
        <w:t xml:space="preserve">        1         0         0         0         0         0         0         0 </w:t>
      </w:r>
      <w:r>
        <w:br/>
      </w:r>
      <w:r>
        <w:rPr>
          <w:rStyle w:val="VerbatimChar"/>
        </w:rPr>
        <w:t xml:space="preserve">  A.REI.2   A.REI.8   A.CED.2    G.CO.7   G.SRT.4    G.CO.2 </w:t>
      </w:r>
      <w:r>
        <w:br/>
      </w:r>
      <w:r>
        <w:rPr>
          <w:rStyle w:val="VerbatimChar"/>
        </w:rPr>
        <w:t xml:space="preserve">        0         0         0         0         0         0 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The model for the first item is then built with only the factors measured by the item as being present: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∣</m:t>
                  </m:r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t>p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11</m:t>
              </m:r>
            </m:sub>
          </m:sSub>
          <m:sSub>
            <m:e>
              <m:r>
                <m:t>θ</m:t>
              </m:r>
            </m:e>
            <m:sub>
              <m:r>
                <m:t>p</m:t>
              </m:r>
              <m:r>
                <m:t>1</m:t>
              </m:r>
            </m:sub>
          </m:sSub>
        </m:oMath>
      </m:oMathPara>
    </w:p>
    <w:bookmarkEnd w:id="26"/>
    <w:bookmarkEnd w:id="27"/>
    <w:bookmarkStart w:id="39" w:name="psychometric-measurement-models"/>
    <w:p>
      <w:pPr>
        <w:pStyle w:val="Heading1"/>
      </w:pPr>
      <w:r>
        <w:t xml:space="preserve">Psychometric Measurement Models</w:t>
      </w:r>
    </w:p>
    <w:p>
      <w:pPr>
        <w:pStyle w:val="FirstParagraph"/>
      </w:pPr>
      <w:r>
        <w:t xml:space="preserve">Psychometric Measurement Models to model the relationship between observed variables and latent variables</w:t>
      </w:r>
    </w:p>
    <w:p>
      <w:pPr>
        <w:numPr>
          <w:ilvl w:val="0"/>
          <w:numId w:val="1018"/>
        </w:numPr>
        <w:pStyle w:val="Compact"/>
      </w:pPr>
      <w:r>
        <w:t xml:space="preserve">Observed variables are the items in the assessment</w:t>
      </w:r>
    </w:p>
    <w:p>
      <w:pPr>
        <w:numPr>
          <w:ilvl w:val="0"/>
          <w:numId w:val="1018"/>
        </w:numPr>
        <w:pStyle w:val="Compact"/>
      </w:pPr>
      <w:r>
        <w:t xml:space="preserve">Latent variables are the factors measured by the items</w:t>
      </w:r>
    </w:p>
    <w:p>
      <w:pPr>
        <w:pStyle w:val="FirstParagraph"/>
      </w:pPr>
      <w:r>
        <w:t xml:space="preserve">The models discussed today all model the expected value (mean) of the observed variables as a function of the latent variables</w:t>
      </w:r>
    </w:p>
    <w:bookmarkStart w:id="28" w:name="binary-irt-models"/>
    <w:p>
      <w:pPr>
        <w:pStyle w:val="Heading2"/>
      </w:pPr>
      <w:r>
        <w:t xml:space="preserve">Binary IRT Models</w:t>
      </w:r>
    </w:p>
    <w:p>
      <w:pPr>
        <w:pStyle w:val="FirstParagraph"/>
      </w:pPr>
      <w:r>
        <w:t xml:space="preserve">Binary IRT models are used when the observed variables are binary (0/1) variables</w:t>
      </w:r>
    </w:p>
    <w:p>
      <w:pPr>
        <w:numPr>
          <w:ilvl w:val="0"/>
          <w:numId w:val="1019"/>
        </w:numPr>
        <w:pStyle w:val="Compact"/>
      </w:pPr>
      <w:r>
        <w:t xml:space="preserve">The distribution of the observed variables is a Bernoulli distribution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r>
                <m:t>π</m:t>
              </m:r>
            </m:e>
            <m:sub>
              <m:r>
                <m:t>i</m:t>
              </m:r>
            </m:sub>
            <m:sup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sup>
          </m:sSub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sup>
          </m:sSup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response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20"/>
        </w:numPr>
        <w:pStyle w:val="Compact"/>
      </w:pP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the probability of a correct response on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is the expected value of the Bernoulli distribution</w:t>
      </w:r>
    </w:p>
    <w:bookmarkEnd w:id="28"/>
    <w:bookmarkStart w:id="29" w:name="binary-irt-models-1"/>
    <w:p>
      <w:pPr>
        <w:pStyle w:val="Heading2"/>
      </w:pPr>
      <w:r>
        <w:t xml:space="preserve">Binary IRT Models</w:t>
      </w:r>
    </w:p>
    <w:p>
      <w:pPr>
        <w:pStyle w:val="FirstParagraph"/>
      </w:pPr>
      <w:r>
        <w:t xml:space="preserve">There are many different binary IRT models, the most common fall under the family of models identified by the number of parameters in the model</w:t>
      </w:r>
    </w:p>
    <w:p>
      <w:pPr>
        <w:numPr>
          <w:ilvl w:val="0"/>
          <w:numId w:val="1021"/>
        </w:numPr>
        <w:pStyle w:val="Compact"/>
      </w:pPr>
      <w:r>
        <w:t xml:space="preserve">Often, the parameterization used for binary models is discrimination/difficulty when only one latent variable is present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θ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difficulty (parameter one)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discrimination (parameter two)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lower asymptote (guessing parameter; parameter three)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upper asymptote (discrimination parameter; parameter four)</w:t>
      </w:r>
    </w:p>
    <w:bookmarkEnd w:id="29"/>
    <w:bookmarkStart w:id="30" w:name="more-binary-irt-models"/>
    <w:p>
      <w:pPr>
        <w:pStyle w:val="Heading2"/>
      </w:pPr>
      <w:r>
        <w:t xml:space="preserve">More Binary IRT Models</w:t>
      </w:r>
    </w:p>
    <w:p>
      <w:pPr>
        <w:pStyle w:val="FirstParagraph"/>
      </w:pPr>
      <w:r>
        <w:t xml:space="preserve">The model on the previous page is the four-parameter logistic model (4PL)</w:t>
      </w:r>
    </w:p>
    <w:p>
      <w:pPr>
        <w:numPr>
          <w:ilvl w:val="0"/>
          <w:numId w:val="1023"/>
        </w:numPr>
        <w:pStyle w:val="Compact"/>
      </w:pPr>
      <w:r>
        <w:t xml:space="preserve">The logistic function is a link function mapping probability of a correct response (the expected value of the item) to the real number line</w:t>
      </w:r>
    </w:p>
    <w:p>
      <w:pPr>
        <w:numPr>
          <w:ilvl w:val="0"/>
          <w:numId w:val="1023"/>
        </w:numPr>
        <w:pStyle w:val="Compact"/>
      </w:pPr>
      <w:r>
        <w:t xml:space="preserve">The inverse logistic function is the inverse link function mapping the real number line to the probability of a correct response</w:t>
      </w:r>
    </w:p>
    <w:p>
      <w:pPr>
        <w:pStyle w:val="FirstParagraph"/>
      </w:pPr>
      <w:r>
        <w:t xml:space="preserve">Many link functions exist, including:</w:t>
      </w:r>
    </w:p>
    <w:p>
      <w:pPr>
        <w:numPr>
          <w:ilvl w:val="0"/>
          <w:numId w:val="1024"/>
        </w:numPr>
        <w:pStyle w:val="Compact"/>
      </w:pPr>
      <w:r>
        <w:t xml:space="preserve">Normal ogive (probit) link function</w:t>
      </w:r>
    </w:p>
    <w:p>
      <w:pPr>
        <w:numPr>
          <w:ilvl w:val="0"/>
          <w:numId w:val="1024"/>
        </w:numPr>
        <w:pStyle w:val="Compact"/>
      </w:pPr>
      <w:r>
        <w:t xml:space="preserve">Log link function</w:t>
      </w:r>
    </w:p>
    <w:p>
      <w:pPr>
        <w:numPr>
          <w:ilvl w:val="0"/>
          <w:numId w:val="1024"/>
        </w:numPr>
        <w:pStyle w:val="Compact"/>
      </w:pPr>
      <w:r>
        <w:t xml:space="preserve">Log-log link function</w:t>
      </w:r>
    </w:p>
    <w:p>
      <w:pPr>
        <w:numPr>
          <w:ilvl w:val="0"/>
          <w:numId w:val="1024"/>
        </w:numPr>
        <w:pStyle w:val="Compact"/>
      </w:pPr>
      <w:r>
        <w:t xml:space="preserve">Cumulative log-log</w:t>
      </w:r>
    </w:p>
    <w:p>
      <w:pPr>
        <w:numPr>
          <w:ilvl w:val="0"/>
          <w:numId w:val="1024"/>
        </w:numPr>
        <w:pStyle w:val="Compact"/>
      </w:pPr>
      <w:r>
        <w:t xml:space="preserve">Complementary log-log</w:t>
      </w:r>
    </w:p>
    <w:bookmarkEnd w:id="30"/>
    <w:bookmarkStart w:id="31" w:name="slope-intercept-form"/>
    <w:p>
      <w:pPr>
        <w:pStyle w:val="Heading2"/>
      </w:pPr>
      <w:r>
        <w:t xml:space="preserve">Slope Intercept Form</w:t>
      </w:r>
    </w:p>
    <w:p>
      <w:pPr>
        <w:pStyle w:val="FirstParagraph"/>
      </w:pPr>
      <w:r>
        <w:t xml:space="preserve">Depending on the context, the slope/intercept parameterization can also be used: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numPr>
          <w:ilvl w:val="0"/>
          <w:numId w:val="1025"/>
        </w:numPr>
        <w:pStyle w:val="Compact"/>
      </w:pPr>
      <w:r>
        <w:t xml:space="preserve">Here, (when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standardized)</w:t>
      </w:r>
    </w:p>
    <w:p>
      <w:pPr>
        <w:numPr>
          <w:ilvl w:val="1"/>
          <w:numId w:val="1026"/>
        </w:numPr>
        <w:pStyle w:val="Compact"/>
      </w:pPr>
      <w:r>
        <w:t xml:space="preserve">The item intercept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expected log odds of a correct response when the latent variable is zero</w:t>
      </w:r>
    </w:p>
    <w:p>
      <w:pPr>
        <w:numPr>
          <w:ilvl w:val="1"/>
          <w:numId w:val="1026"/>
        </w:numPr>
        <w:pStyle w:val="Compact"/>
      </w:pPr>
      <w:r>
        <w:t xml:space="preserve">The item loading/slope/discrimination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expected change in log odds of a correct response for a one unit change in the latent variable</w:t>
      </w:r>
    </w:p>
    <w:p>
      <w:pPr>
        <w:numPr>
          <w:ilvl w:val="0"/>
          <w:numId w:val="1025"/>
        </w:numPr>
        <w:pStyle w:val="Compact"/>
      </w:pPr>
      <w:r>
        <w:t xml:space="preserve">The slope/intercept parameterization is often used in the context of linear models</w:t>
      </w:r>
    </w:p>
    <w:bookmarkEnd w:id="31"/>
    <w:bookmarkStart w:id="32" w:name="multidimensional-irt-models"/>
    <w:p>
      <w:pPr>
        <w:pStyle w:val="Heading2"/>
      </w:pPr>
      <w:r>
        <w:t xml:space="preserve">Multidimensional IRT Models</w:t>
      </w:r>
    </w:p>
    <w:p>
      <w:pPr>
        <w:pStyle w:val="FirstParagraph"/>
      </w:pPr>
      <w:r>
        <w:t xml:space="preserve">We then can add the Q-matrix for expanding the model to multiple latent variables: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d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D</m:t>
                          </m:r>
                        </m:sup>
                        <m:e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d</m:t>
                              </m:r>
                            </m:sub>
                          </m:sSub>
                        </m:e>
                      </m:nary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d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D</m:t>
                          </m:r>
                        </m:sup>
                        <m:e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d</m:t>
                              </m:r>
                            </m:sub>
                          </m:sSub>
                        </m:e>
                      </m:nary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d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7"/>
        </w:numPr>
        <w:pStyle w:val="Compact"/>
      </w:pPr>
      <m:oMath>
        <m:r>
          <m:t>D</m:t>
        </m:r>
      </m:oMath>
      <w:r>
        <w:t xml:space="preserve"> </w:t>
      </w:r>
      <w:r>
        <w:t xml:space="preserve">is the number of latent variables</w:t>
      </w:r>
    </w:p>
    <w:p>
      <w:pPr>
        <w:numPr>
          <w:ilvl w:val="0"/>
          <w:numId w:val="1027"/>
        </w:numPr>
        <w:pStyle w:val="Compact"/>
      </w:pP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Q-matrix entry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Note: Not all items need to measure all latent variables (some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</w:t>
      </w:r>
    </w:p>
    <w:bookmarkEnd w:id="32"/>
    <w:bookmarkStart w:id="33" w:name="polytomous-irt-models"/>
    <w:p>
      <w:pPr>
        <w:pStyle w:val="Heading2"/>
      </w:pPr>
      <w:r>
        <w:t xml:space="preserve">Polytomous IRT Models</w:t>
      </w:r>
    </w:p>
    <w:p>
      <w:pPr>
        <w:pStyle w:val="FirstParagraph"/>
      </w:pPr>
      <w:r>
        <w:t xml:space="preserve">Polytomous IRT models are used for discrete categorical observed variables</w:t>
      </w:r>
    </w:p>
    <w:p>
      <w:pPr>
        <w:numPr>
          <w:ilvl w:val="0"/>
          <w:numId w:val="1028"/>
        </w:numPr>
        <w:pStyle w:val="Compact"/>
      </w:pPr>
      <w:r>
        <w:t xml:space="preserve">The assumed distribution for observed variables is a categorical distribution</w:t>
      </w:r>
    </w:p>
    <w:p>
      <w:pPr>
        <w:numPr>
          <w:ilvl w:val="0"/>
          <w:numId w:val="1028"/>
        </w:numPr>
        <w:pStyle w:val="Compact"/>
      </w:pPr>
      <w:r>
        <w:t xml:space="preserve">A categorical distribution is a multinomial distribution with a single trial</w:t>
      </w:r>
    </w:p>
    <w:bookmarkEnd w:id="33"/>
    <w:bookmarkStart w:id="34" w:name="categorical-distribution"/>
    <w:p>
      <w:pPr>
        <w:pStyle w:val="Heading2"/>
      </w:pPr>
      <w:r>
        <w:t xml:space="preserve">Categorical distribution</w:t>
      </w:r>
    </w:p>
    <w:p>
      <w:pPr>
        <w:pStyle w:val="FirstParagraph"/>
      </w:pPr>
      <w:r>
        <w:t xml:space="preserve">The PMF of the categorical distribution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c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sup>
            <m:e>
              <m:sSubSup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  <m:r>
                        <m:t>c</m:t>
                      </m:r>
                    </m:sub>
                  </m:sSub>
                </m:sup>
              </m:sSubSup>
            </m:e>
          </m:nary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9"/>
        </w:numPr>
        <w:pStyle w:val="Compact"/>
      </w:pP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number of categories for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29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is the response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category</w:t>
      </w:r>
      <w:r>
        <w:t xml:space="preserve"> </w:t>
      </w:r>
      <m:oMath>
        <m:r>
          <m:t>c</m:t>
        </m:r>
      </m:oMath>
    </w:p>
    <w:p>
      <w:pPr>
        <w:numPr>
          <w:ilvl w:val="0"/>
          <w:numId w:val="1029"/>
        </w:numPr>
        <w:pStyle w:val="Compact"/>
      </w:pPr>
      <m:oMath>
        <m:sSub>
          <m:e>
            <m:r>
              <m:t>π</m:t>
            </m:r>
          </m:e>
          <m:sub>
            <m:r>
              <m:t>i</m:t>
            </m:r>
            <m:r>
              <m:t>c</m:t>
            </m:r>
          </m:sub>
        </m:sSub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p</m:t>
                </m:r>
                <m:r>
                  <m:t>i</m:t>
                </m:r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is the probability of a response on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category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 is the expected value of the categorical distribution</w:t>
      </w:r>
    </w:p>
    <w:p>
      <w:pPr>
        <w:numPr>
          <w:ilvl w:val="0"/>
          <w:numId w:val="102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c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p>
          <m:e>
            <m:sSub>
              <m:e>
                <m:r>
                  <m:t>π</m:t>
                </m:r>
              </m:e>
              <m:sub>
                <m:r>
                  <m:t>i</m:t>
                </m:r>
                <m:r>
                  <m:t>c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is the constraint that the probabilities sum to one</w:t>
      </w:r>
    </w:p>
    <w:bookmarkEnd w:id="34"/>
    <w:bookmarkStart w:id="35" w:name="graded-response-models"/>
    <w:p>
      <w:pPr>
        <w:pStyle w:val="Heading2"/>
      </w:pPr>
      <w:r>
        <w:t xml:space="preserve">Graded Response Models</w:t>
      </w:r>
    </w:p>
    <w:p>
      <w:pPr>
        <w:pStyle w:val="FirstParagraph"/>
      </w:pPr>
      <w:r>
        <w:t xml:space="preserve">The graded response model is an ordered logistic regression model where: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c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c</m:t>
                    </m:r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  <m:m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With:</w:t>
      </w:r>
    </w:p>
    <w:p>
      <w:pPr>
        <w:numPr>
          <w:ilvl w:val="0"/>
          <w:numId w:val="1030"/>
        </w:numPr>
        <w:pStyle w:val="Compac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Ordered intercepts: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…</m:t>
        </m:r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sub>
        </m:sSub>
      </m:oMath>
    </w:p>
    <w:bookmarkEnd w:id="35"/>
    <w:bookmarkStart w:id="36" w:name="nominal-response-models"/>
    <w:p>
      <w:pPr>
        <w:pStyle w:val="Heading2"/>
      </w:pPr>
      <w:r>
        <w:t xml:space="preserve">Nominal Response Models</w:t>
      </w:r>
    </w:p>
    <w:p>
      <w:pPr>
        <w:pStyle w:val="FirstParagraph"/>
      </w:pPr>
      <w:r>
        <w:t xml:space="preserve">The nominal response model is an unordered logistic regression model where: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  <m:r>
                        <m:t>c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m:t>exp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  <m:r>
                        <m:t>c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With:</w:t>
      </w:r>
    </w:p>
    <w:p>
      <w:pPr>
        <w:numPr>
          <w:ilvl w:val="0"/>
          <w:numId w:val="1031"/>
        </w:numPr>
        <w:pStyle w:val="Compact"/>
      </w:pP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Unordered intercepts: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i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numPr>
          <w:ilvl w:val="1"/>
          <w:numId w:val="1032"/>
        </w:numPr>
        <w:pStyle w:val="Compact"/>
      </w:pPr>
      <w:r>
        <w:t xml:space="preserve">One constraint must be implemented to identify the model, typically either</w:t>
      </w:r>
    </w:p>
    <w:p>
      <w:pPr>
        <w:numPr>
          <w:ilvl w:val="2"/>
          <w:numId w:val="1033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c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p>
          <m:e>
            <m:sSub>
              <m:e>
                <m:r>
                  <m:t>μ</m:t>
                </m:r>
              </m:e>
              <m:sub>
                <m:r>
                  <m:t>i</m:t>
                </m:r>
                <m:r>
                  <m:t>c</m:t>
                </m:r>
              </m:sub>
            </m:sSub>
          </m:e>
        </m:nary>
        <m:r>
          <m:rPr>
            <m:sty m:val="p"/>
          </m:rPr>
          <m:t>=</m:t>
        </m:r>
        <m:r>
          <m:t>0</m:t>
        </m:r>
      </m:oMath>
    </w:p>
    <w:p>
      <w:pPr>
        <w:numPr>
          <w:ilvl w:val="2"/>
          <w:numId w:val="1033"/>
        </w:numPr>
        <w:pStyle w:val="Compact"/>
      </w:pPr>
      <w:r>
        <w:t xml:space="preserve">One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31"/>
        </w:numPr>
        <w:pStyle w:val="Compact"/>
      </w:pP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Unordered slopes: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i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b>
        </m:sSub>
      </m:oMath>
    </w:p>
    <w:p>
      <w:pPr>
        <w:numPr>
          <w:ilvl w:val="1"/>
          <w:numId w:val="1034"/>
        </w:numPr>
        <w:pStyle w:val="Compact"/>
      </w:pPr>
      <w:r>
        <w:t xml:space="preserve">One constraint</w:t>
      </w:r>
      <w:r>
        <w:t xml:space="preserve"> </w:t>
      </w:r>
      <w:r>
        <w:rPr>
          <w:iCs/>
          <w:i/>
        </w:rPr>
        <w:t xml:space="preserve">per dimension</w:t>
      </w:r>
      <w:r>
        <w:t xml:space="preserve"> </w:t>
      </w:r>
      <w:r>
        <w:t xml:space="preserve">must be implemented to identify the model, typically either</w:t>
      </w:r>
    </w:p>
    <w:p>
      <w:pPr>
        <w:numPr>
          <w:ilvl w:val="2"/>
          <w:numId w:val="1035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c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sup>
          <m:e>
            <m:sSub>
              <m:e>
                <m:r>
                  <m:t>λ</m:t>
                </m:r>
              </m:e>
              <m:sub>
                <m:r>
                  <m:t>i</m:t>
                </m:r>
                <m:r>
                  <m:t>d</m:t>
                </m:r>
                <m:r>
                  <m:t>c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</w:p>
    <w:p>
      <w:pPr>
        <w:numPr>
          <w:ilvl w:val="2"/>
          <w:numId w:val="1035"/>
        </w:numPr>
        <w:pStyle w:val="Compact"/>
      </w:pPr>
      <w:r>
        <w:t xml:space="preserve">One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  <m:r>
              <m:t>d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b>
        </m:sSub>
        <m:r>
          <m:rPr>
            <m:sty m:val="p"/>
          </m:rPr>
          <m:t>=</m:t>
        </m:r>
        <m:r>
          <m:t>1</m:t>
        </m:r>
      </m:oMath>
    </w:p>
    <w:bookmarkEnd w:id="36"/>
    <w:bookmarkStart w:id="37" w:name="confirmatory-factor-models"/>
    <w:p>
      <w:pPr>
        <w:pStyle w:val="Heading2"/>
      </w:pPr>
      <w:r>
        <w:t xml:space="preserve">Confirmatory Factor Models</w:t>
      </w:r>
    </w:p>
    <w:p>
      <w:pPr>
        <w:pStyle w:val="FirstParagraph"/>
      </w:pPr>
      <w:r>
        <w:t xml:space="preserve">Confirmatory factor models are used when the observed variables are continuous (interval/ratio) variables</w:t>
      </w:r>
    </w:p>
    <w:p>
      <w:pPr>
        <w:numPr>
          <w:ilvl w:val="0"/>
          <w:numId w:val="1036"/>
        </w:numPr>
        <w:pStyle w:val="Compact"/>
      </w:pPr>
      <w:r>
        <w:t xml:space="preserve">The distribution of the observed variables is a normal distribution</w:t>
      </w:r>
    </w:p>
    <w:p>
      <w:pPr>
        <w:numPr>
          <w:ilvl w:val="0"/>
          <w:numId w:val="1036"/>
        </w:numPr>
        <w:pStyle w:val="Compact"/>
      </w:pPr>
      <w:r>
        <w:t xml:space="preserve">The PDF of the normal distribution is: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p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bookmarkEnd w:id="37"/>
    <w:bookmarkStart w:id="38" w:name="confirmatory-factor-models-1"/>
    <w:p>
      <w:pPr>
        <w:pStyle w:val="Heading2"/>
      </w:pPr>
      <w:r>
        <w:t xml:space="preserve">Confirmatory Factor Models</w:t>
      </w:r>
    </w:p>
    <w:p>
      <w:pPr>
        <w:pStyle w:val="FirstParagraph"/>
      </w:pPr>
      <w:r>
        <w:t xml:space="preserve">The CFA model is then: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d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e>
          </m:nary>
          <m:sSub>
            <m:e>
              <m:r>
                <m:t>λ</m:t>
              </m:r>
            </m:e>
            <m:sub>
              <m:r>
                <m:t>i</m:t>
              </m:r>
              <m:r>
                <m:t>d</m:t>
              </m:r>
              <m:r>
                <m:t>c</m:t>
              </m:r>
            </m:sub>
          </m:sSub>
          <m:sSub>
            <m:e>
              <m:r>
                <m:t>θ</m:t>
              </m:r>
            </m:e>
            <m:sub>
              <m:r>
                <m:t>p</m:t>
              </m:r>
              <m:r>
                <m:t>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p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37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response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37"/>
        </w:numPr>
        <w:pStyle w:val="Compact"/>
      </w:pPr>
      <m:oMath>
        <m:sSub>
          <m:e>
            <m:r>
              <m:t>e</m:t>
            </m:r>
          </m:e>
          <m:sub>
            <m:r>
              <m:t>p</m:t>
            </m:r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ψ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the error term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37"/>
        </w:numPr>
        <w:pStyle w:val="Compact"/>
      </w:pPr>
      <m:oMath>
        <m:sSup>
          <m:e>
            <m:r>
              <m:t>ψ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error term</w:t>
      </w:r>
    </w:p>
    <w:p>
      <w:pPr>
        <w:numPr>
          <w:ilvl w:val="0"/>
          <w:numId w:val="1037"/>
        </w:numPr>
        <w:pStyle w:val="Compact"/>
      </w:pP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intercept</w:t>
      </w:r>
    </w:p>
    <w:p>
      <w:pPr>
        <w:numPr>
          <w:ilvl w:val="0"/>
          <w:numId w:val="1037"/>
        </w:numPr>
        <w:pStyle w:val="Compact"/>
      </w:pPr>
      <m:oMath>
        <m:sSub>
          <m:e>
            <m:r>
              <m:t>λ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item loading/slope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37"/>
        </w:numPr>
        <w:pStyle w:val="Compact"/>
      </w:pPr>
      <m:oMath>
        <m:sSub>
          <m:e>
            <m:r>
              <m:t>θ</m:t>
            </m:r>
          </m:e>
          <m:sub>
            <m:r>
              <m:t>p</m:t>
            </m:r>
            <m:r>
              <m:t>d</m:t>
            </m:r>
          </m:sub>
        </m:sSub>
      </m:oMath>
      <w:r>
        <w:t xml:space="preserve"> </w:t>
      </w:r>
      <w:r>
        <w:t xml:space="preserve">is the latent variable score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37"/>
        </w:numPr>
        <w:pStyle w:val="Compact"/>
      </w:pPr>
      <m:oMath>
        <m:r>
          <m:t>D</m:t>
        </m:r>
      </m:oMath>
      <w:r>
        <w:t xml:space="preserve"> </w:t>
      </w:r>
      <w:r>
        <w:t xml:space="preserve">is the number of latent variables</w:t>
      </w:r>
    </w:p>
    <w:p>
      <w:pPr>
        <w:numPr>
          <w:ilvl w:val="0"/>
          <w:numId w:val="1037"/>
        </w:numPr>
        <w:pStyle w:val="Compact"/>
      </w:pP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Q-matrix entry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bookmarkEnd w:id="38"/>
    <w:bookmarkEnd w:id="39"/>
    <w:bookmarkStart w:id="41" w:name="more-q-matrix-stuff"/>
    <w:p>
      <w:pPr>
        <w:pStyle w:val="Heading1"/>
      </w:pPr>
      <w:r>
        <w:t xml:space="preserve">More Q-matrix Stuff</w:t>
      </w:r>
    </w:p>
    <w:p>
      <w:pPr>
        <w:pStyle w:val="FirstParagraph"/>
      </w:pPr>
      <w:r>
        <w:t xml:space="preserve">We could show the model with the Q-matrix entries: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∣</m:t>
                  </m:r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t>p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11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11</m:t>
                  </m:r>
                </m:sub>
              </m:sSub>
              <m:sSub>
                <m:e>
                  <m:r>
                    <m:t>θ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12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12</m:t>
                  </m:r>
                </m:sub>
              </m:sSub>
              <m:sSub>
                <m:e>
                  <m:r>
                    <m:t>θ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θ</m:t>
              </m:r>
            </m:e>
            <m:sub>
              <m:r>
                <m:t>p</m:t>
              </m:r>
            </m:sub>
          </m:sSub>
          <m:r>
            <m:rPr>
              <m:nor/>
              <m:sty m:val="p"/>
            </m:rPr>
            <m:t>diag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q</m:t>
                  </m:r>
                </m:e>
                <m:sub>
                  <m:r>
                    <m:t>i</m:t>
                  </m:r>
                </m:sub>
              </m:sSub>
            </m:e>
          </m:d>
          <m:sSub>
            <m:e>
              <m:r>
                <m:rPr>
                  <m:sty m:val="b"/>
                </m:rPr>
                <m:t>λ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38"/>
        </w:numPr>
      </w:pPr>
      <m:oMath>
        <m:sSub>
          <m:e>
            <m:r>
              <m:rPr>
                <m:sty m:val="b"/>
              </m:rP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contains all</w:t>
      </w:r>
      <w:r>
        <w:t xml:space="preserve"> </w:t>
      </w:r>
      <w:r>
        <w:rPr>
          <w:iCs/>
          <w:i/>
        </w:rPr>
        <w:t xml:space="preserve">possible</w:t>
      </w:r>
      <w:r>
        <w:t xml:space="preserve"> </w:t>
      </w:r>
      <w:r>
        <w:t xml:space="preserve">factor loadings for item 1 (size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1</m:t>
        </m:r>
      </m:oMath>
      <w:r>
        <w:t xml:space="preserve">)</w:t>
      </w:r>
    </w:p>
    <w:p>
      <w:pPr>
        <w:numPr>
          <w:ilvl w:val="0"/>
          <w:numId w:val="1038"/>
        </w:numPr>
      </w:pP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contains the factor scores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(size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</m:oMath>
      <w:r>
        <w:t xml:space="preserve">)</w:t>
      </w:r>
    </w:p>
    <w:p>
      <w:pPr>
        <w:numPr>
          <w:ilvl w:val="0"/>
          <w:numId w:val="1038"/>
        </w:numPr>
      </w:pPr>
      <m:oMath>
        <m:r>
          <m:rPr>
            <m:nor/>
            <m:sty m:val="p"/>
          </m:rPr>
          <m:t>diag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q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b"/>
              </m:rPr>
              <m:t>q</m:t>
            </m:r>
          </m:e>
          <m:sub>
            <m:r>
              <m:t>i</m:t>
            </m:r>
          </m:sub>
        </m:sSub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is a diagonal matrix of ones times the vector of Q-matrix entries for item 1</w:t>
      </w:r>
    </w:p>
    <w:p>
      <w:pPr>
        <w:pStyle w:val="FirstParagraph"/>
      </w:pPr>
      <w:r>
        <w:t xml:space="preserve">The matrix product then gives: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θ</m:t>
              </m:r>
            </m:e>
            <m:sub>
              <m:r>
                <m:t>p</m:t>
              </m:r>
            </m:sub>
          </m:sSub>
          <m:r>
            <m:rPr>
              <m:nor/>
              <m:sty m:val="p"/>
            </m:rPr>
            <m:t>diag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q</m:t>
                  </m:r>
                </m:e>
                <m:sub>
                  <m:r>
                    <m:t>i</m:t>
                  </m:r>
                </m:sub>
              </m:sSub>
            </m:e>
          </m:d>
          <m:sSub>
            <m:e>
              <m:r>
                <m:rPr>
                  <m:sty m:val="b"/>
                </m:rPr>
                <m:t>λ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p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p</m:t>
                        </m:r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p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p</m:t>
                        </m:r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λ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12</m:t>
              </m:r>
            </m:sub>
          </m:sSub>
          <m:sSub>
            <m:e>
              <m:r>
                <m:t>θ</m:t>
              </m:r>
            </m:e>
            <m:sub>
              <m:r>
                <m:t>p</m:t>
              </m:r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The Q-matrix functions like a partial version of the model (predictor) matrix that we saw in linear models</w:t>
      </w:r>
    </w:p>
    <w:bookmarkStart w:id="40" w:name="latent-variable-interactions"/>
    <w:p>
      <w:pPr>
        <w:pStyle w:val="Heading2"/>
      </w:pPr>
      <w:r>
        <w:t xml:space="preserve">Latent Variable Interactions</w:t>
      </w:r>
    </w:p>
    <w:p>
      <w:pPr>
        <w:pStyle w:val="FirstParagraph"/>
      </w:pPr>
      <w:r>
        <w:t xml:space="preserve">Although infrequently shown in psychometric measurement models of the IRT/CFA family, latent variable interactions can be modeled</w:t>
      </w:r>
    </w:p>
    <w:p>
      <w:pPr>
        <w:pStyle w:val="BodyText"/>
      </w:pPr>
      <w:r>
        <w:t xml:space="preserve">For example, a binary item measuring two latent variables could be modeled as: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|</m:t>
              </m:r>
              <m:sSub>
                <m:e>
                  <m: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2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12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2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i</m:t>
                          </m:r>
                          <m:r>
                            <m:t>12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θ</m:t>
                          </m:r>
                        </m:e>
                        <m:sub>
                          <m:r>
                            <m:t>p</m:t>
                          </m:r>
                          <m: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Notes:</w:t>
      </w:r>
    </w:p>
    <w:p>
      <w:pPr>
        <w:numPr>
          <w:ilvl w:val="0"/>
          <w:numId w:val="1039"/>
        </w:numPr>
        <w:pStyle w:val="Compact"/>
      </w:pPr>
      <w:r>
        <w:t xml:space="preserve">The interaction between latent variables is modeled as a product of the latent variables</w:t>
      </w:r>
    </w:p>
    <w:p>
      <w:pPr>
        <w:numPr>
          <w:ilvl w:val="0"/>
          <w:numId w:val="1039"/>
        </w:numPr>
        <w:pStyle w:val="Compact"/>
      </w:pPr>
      <w:r>
        <w:t xml:space="preserve">Diagnostic classification models is one latent variable model family that prominantly uses latent variable interactions</w:t>
      </w:r>
    </w:p>
    <w:p>
      <w:pPr>
        <w:numPr>
          <w:ilvl w:val="0"/>
          <w:numId w:val="1039"/>
        </w:numPr>
        <w:pStyle w:val="Compact"/>
      </w:pPr>
      <w:r>
        <w:t xml:space="preserve">We will discuss latent variable interactions in more detail later in the semester</w:t>
      </w:r>
    </w:p>
    <w:bookmarkEnd w:id="40"/>
    <w:bookmarkEnd w:id="41"/>
    <w:bookmarkStart w:id="43" w:name="latent-variable-structural-models"/>
    <w:p>
      <w:pPr>
        <w:pStyle w:val="Heading1"/>
      </w:pPr>
      <w:r>
        <w:t xml:space="preserve">Latent Variable Structural Models</w:t>
      </w:r>
    </w:p>
    <w:p>
      <w:pPr>
        <w:pStyle w:val="FirstParagraph"/>
      </w:pPr>
      <w:r>
        <w:t xml:space="preserve">Latent variable structural models are models for the distributions of the latent variables</w:t>
      </w:r>
    </w:p>
    <w:p>
      <w:pPr>
        <w:numPr>
          <w:ilvl w:val="0"/>
          <w:numId w:val="1040"/>
        </w:numPr>
        <w:pStyle w:val="Compact"/>
      </w:pPr>
      <w:r>
        <w:t xml:space="preserve">When saturated, these are just distribution parameters that are estimated</w:t>
      </w:r>
    </w:p>
    <w:p>
      <w:pPr>
        <w:numPr>
          <w:ilvl w:val="0"/>
          <w:numId w:val="1040"/>
        </w:numPr>
        <w:pStyle w:val="Compact"/>
      </w:pPr>
      <w:r>
        <w:t xml:space="preserve">But, models for the latent variables can be built</w:t>
      </w:r>
    </w:p>
    <w:p>
      <w:pPr>
        <w:numPr>
          <w:ilvl w:val="1"/>
          <w:numId w:val="1041"/>
        </w:numPr>
        <w:pStyle w:val="Compact"/>
      </w:pPr>
      <w:r>
        <w:t xml:space="preserve">Simultaneous equations (structural equations)</w:t>
      </w:r>
    </w:p>
    <w:bookmarkStart w:id="42" w:name="X55e96a0a87e7979d77f5d8c6c822f1066fff9c0"/>
    <w:p>
      <w:pPr>
        <w:pStyle w:val="Heading2"/>
      </w:pPr>
      <w:r>
        <w:t xml:space="preserve">Our Example: Multivariate Normal Distribution</w:t>
      </w:r>
    </w:p>
    <w:p>
      <w:pPr>
        <w:pStyle w:val="FirstParagraph"/>
      </w:pPr>
      <w:r>
        <w:t xml:space="preserve">For our example, we will assume the set of traits follows a multivariate normal distribution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π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det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Σ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θ</m:t>
                          </m:r>
                        </m:e>
                        <m:sub>
                          <m: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sty m:val="b"/>
                            </m:rPr>
                            <m:t>μ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</m:e>
                  </m:d>
                </m:e>
                <m:sup>
                  <m:r>
                    <m:t>T</m:t>
                  </m:r>
                </m:sup>
              </m:sSup>
              <m:sSubSup>
                <m:e>
                  <m:r>
                    <m:rPr>
                      <m:sty m:val="b"/>
                    </m:rPr>
                    <m:t>Σ</m:t>
                  </m:r>
                </m:e>
                <m:sub>
                  <m:r>
                    <m:t>θ</m:t>
                  </m:r>
                </m:sub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θ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rPr>
                          <m:sty m:val="b"/>
                        </m:rPr>
                        <m:t>μ</m:t>
                      </m:r>
                    </m:e>
                    <m:sub>
                      <m:r>
                        <m:t>θ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42"/>
        </w:numPr>
        <w:pStyle w:val="Compact"/>
      </w:pPr>
      <m:oMath>
        <m:r>
          <m:t>π</m:t>
        </m:r>
        <m:r>
          <m:rPr>
            <m:sty m:val="p"/>
          </m:rPr>
          <m:t>≈</m:t>
        </m:r>
        <m:r>
          <m:t>3.14</m:t>
        </m:r>
      </m:oMath>
    </w:p>
    <w:p>
      <w:pPr>
        <w:numPr>
          <w:ilvl w:val="0"/>
          <w:numId w:val="1042"/>
        </w:numPr>
        <w:pStyle w:val="Compact"/>
      </w:pPr>
      <m:oMath>
        <m:r>
          <m:t>D</m:t>
        </m:r>
      </m:oMath>
      <w:r>
        <w:t xml:space="preserve"> </w:t>
      </w:r>
      <w:r>
        <w:t xml:space="preserve">is the number of latent variables (dimensions)</w:t>
      </w:r>
    </w:p>
    <w:p>
      <w:pPr>
        <w:numPr>
          <w:ilvl w:val="0"/>
          <w:numId w:val="1042"/>
        </w:numPr>
        <w:pStyle w:val="Compact"/>
      </w:pPr>
      <m:oMath>
        <m:sSub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covariance matrix of the latent variables</w:t>
      </w:r>
    </w:p>
    <w:p>
      <w:pPr>
        <w:numPr>
          <w:ilvl w:val="1"/>
          <w:numId w:val="1043"/>
        </w:numPr>
        <w:pStyle w:val="Compact"/>
      </w:pPr>
      <m:oMath>
        <m:sSubSup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 </w:t>
      </w:r>
      <w:r>
        <w:t xml:space="preserve">is the inverse of the covariance matrix</w:t>
      </w:r>
    </w:p>
    <w:p>
      <w:pPr>
        <w:numPr>
          <w:ilvl w:val="0"/>
          <w:numId w:val="1042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mean vector of the latent variables</w:t>
      </w:r>
    </w:p>
    <w:p>
      <w:pPr>
        <w:numPr>
          <w:ilvl w:val="0"/>
          <w:numId w:val="1042"/>
        </w:numPr>
        <w:pStyle w:val="Compact"/>
      </w:pP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matrix determinant function</w:t>
      </w:r>
    </w:p>
    <w:p>
      <w:pPr>
        <w:numPr>
          <w:ilvl w:val="0"/>
          <w:numId w:val="1042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⋅</m:t>
                </m:r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is the matrix transpose operator</w:t>
      </w:r>
    </w:p>
    <w:p>
      <w:pPr>
        <w:pStyle w:val="FirstParagraph"/>
      </w:pPr>
      <w:r>
        <w:t xml:space="preserve">Alternatively, we would specify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  <m:r>
          <m:rPr>
            <m:sty m:val="p"/>
          </m:rPr>
          <m:t>∼</m:t>
        </m:r>
        <m:sSub>
          <m:e>
            <m:r>
              <m:t>N</m:t>
            </m:r>
          </m:e>
          <m:sub>
            <m:r>
              <m:t>D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μ</m:t>
                </m:r>
              </m:e>
              <m:sub>
                <m:r>
                  <m:t>θ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Σ</m:t>
                </m:r>
              </m:e>
              <m:sub>
                <m:r>
                  <m:t>θ</m:t>
                </m:r>
              </m:sub>
            </m:sSub>
          </m:e>
        </m:d>
      </m:oMath>
      <w:r>
        <w:t xml:space="preserve">; but, we cannot always estimate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</m:sSub>
      </m:oMath>
    </w:p>
    <w:bookmarkEnd w:id="42"/>
    <w:bookmarkEnd w:id="43"/>
    <w:bookmarkStart w:id="48" w:name="identification-of-latent-traits-part-1"/>
    <w:p>
      <w:pPr>
        <w:pStyle w:val="Heading1"/>
      </w:pPr>
      <w:r>
        <w:t xml:space="preserve">Identification of Latent Traits, Part 1</w:t>
      </w:r>
    </w:p>
    <w:p>
      <w:pPr>
        <w:pStyle w:val="FirstParagraph"/>
      </w:pPr>
      <w:r>
        <w:t xml:space="preserve">Psychometric models require two types of identification to be valid:</w:t>
      </w:r>
    </w:p>
    <w:p>
      <w:pPr>
        <w:numPr>
          <w:ilvl w:val="0"/>
          <w:numId w:val="1044"/>
        </w:numPr>
        <w:pStyle w:val="Compact"/>
      </w:pPr>
      <w:r>
        <w:t xml:space="preserve">Empirical Identification</w:t>
      </w:r>
    </w:p>
    <w:p>
      <w:pPr>
        <w:numPr>
          <w:ilvl w:val="0"/>
          <w:numId w:val="1045"/>
        </w:numPr>
        <w:pStyle w:val="Compact"/>
      </w:pPr>
      <w:r>
        <w:t xml:space="preserve">The minimum number of items that must measure each latent variable</w:t>
      </w:r>
    </w:p>
    <w:p>
      <w:pPr>
        <w:numPr>
          <w:ilvl w:val="0"/>
          <w:numId w:val="1045"/>
        </w:numPr>
        <w:pStyle w:val="Compact"/>
      </w:pPr>
      <w:r>
        <w:t xml:space="preserve">From CFA: three observed variables for each latent variable (or two if the latent variable is correlated with another latent variable)</w:t>
      </w:r>
    </w:p>
    <w:p>
      <w:pPr>
        <w:pStyle w:val="FirstParagraph"/>
      </w:pPr>
      <w:r>
        <w:t xml:space="preserve">Bayesian priors can help to make models with fewer items than these criteria suggest estimable</w:t>
      </w:r>
    </w:p>
    <w:p>
      <w:pPr>
        <w:numPr>
          <w:ilvl w:val="0"/>
          <w:numId w:val="1046"/>
        </w:numPr>
        <w:pStyle w:val="Compact"/>
      </w:pPr>
      <w:r>
        <w:t xml:space="preserve">The parameter estimates (item parameters and latent variable estimates) often have MCMC convergence issues and should not be trusted</w:t>
      </w:r>
    </w:p>
    <w:p>
      <w:pPr>
        <w:numPr>
          <w:ilvl w:val="0"/>
          <w:numId w:val="1046"/>
        </w:numPr>
        <w:pStyle w:val="Compact"/>
      </w:pPr>
      <w:r>
        <w:t xml:space="preserve">Use the CFA standard in your work</w:t>
      </w:r>
    </w:p>
    <w:bookmarkStart w:id="44" w:name="identification-of-latent-traits-part-2"/>
    <w:p>
      <w:pPr>
        <w:pStyle w:val="Heading2"/>
      </w:pPr>
      <w:r>
        <w:t xml:space="preserve">Identification of Latent Traits, Part 2</w:t>
      </w:r>
    </w:p>
    <w:p>
      <w:pPr>
        <w:pStyle w:val="FirstParagraph"/>
      </w:pPr>
      <w:r>
        <w:t xml:space="preserve">Psychometric models require two types of identification to be valid:</w:t>
      </w:r>
    </w:p>
    <w:p>
      <w:pPr>
        <w:numPr>
          <w:ilvl w:val="0"/>
          <w:numId w:val="1047"/>
        </w:numPr>
        <w:pStyle w:val="Compact"/>
      </w:pPr>
      <w:r>
        <w:t xml:space="preserve">Scale Identification (i.e., what the mean/variance is for each latent variable)</w:t>
      </w:r>
    </w:p>
    <w:p>
      <w:pPr>
        <w:numPr>
          <w:ilvl w:val="0"/>
          <w:numId w:val="1048"/>
        </w:numPr>
        <w:pStyle w:val="Compact"/>
      </w:pPr>
      <w:r>
        <w:t xml:space="preserve">The additional set of constraints needed to set the mean and standard deviation (variance) of the latent variables</w:t>
      </w:r>
    </w:p>
    <w:p>
      <w:pPr>
        <w:numPr>
          <w:ilvl w:val="0"/>
          <w:numId w:val="1048"/>
        </w:numPr>
        <w:pStyle w:val="Compact"/>
      </w:pPr>
      <w:r>
        <w:t xml:space="preserve">Two main methods to set the scale:</w:t>
      </w:r>
    </w:p>
    <w:p>
      <w:pPr>
        <w:numPr>
          <w:ilvl w:val="1"/>
          <w:numId w:val="1049"/>
        </w:numPr>
        <w:pStyle w:val="Compact"/>
      </w:pPr>
      <w:r>
        <w:t xml:space="preserve">Marker item parameters</w:t>
      </w:r>
    </w:p>
    <w:p>
      <w:pPr>
        <w:numPr>
          <w:ilvl w:val="2"/>
          <w:numId w:val="1050"/>
        </w:numPr>
        <w:pStyle w:val="Compact"/>
      </w:pPr>
      <w:r>
        <w:t xml:space="preserve">For variances: Set the loading/slope to one for one observed variable per latent variable</w:t>
      </w:r>
    </w:p>
    <w:p>
      <w:pPr>
        <w:numPr>
          <w:ilvl w:val="3"/>
          <w:numId w:val="1051"/>
        </w:numPr>
        <w:pStyle w:val="Compact"/>
      </w:pPr>
      <w:r>
        <w:t xml:space="preserve">Can estimate the latent variable’s variance (the diagonal of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</m:sSub>
      </m:oMath>
      <w:r>
        <w:t xml:space="preserve">)</w:t>
      </w:r>
    </w:p>
    <w:p>
      <w:pPr>
        <w:numPr>
          <w:ilvl w:val="2"/>
          <w:numId w:val="1050"/>
        </w:numPr>
        <w:pStyle w:val="Compact"/>
      </w:pPr>
      <w:r>
        <w:t xml:space="preserve">For means: Set the item intercept to one for one observed variable perlatent variable</w:t>
      </w:r>
    </w:p>
    <w:p>
      <w:pPr>
        <w:numPr>
          <w:ilvl w:val="3"/>
          <w:numId w:val="1052"/>
        </w:numPr>
        <w:pStyle w:val="Compact"/>
      </w:pPr>
      <w:r>
        <w:t xml:space="preserve">Can estimate the latent variable’s mean (in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)</w:t>
      </w:r>
    </w:p>
    <w:p>
      <w:pPr>
        <w:numPr>
          <w:ilvl w:val="1"/>
          <w:numId w:val="1049"/>
        </w:numPr>
        <w:pStyle w:val="Compact"/>
      </w:pPr>
      <w:r>
        <w:t xml:space="preserve">Standardized factors</w:t>
      </w:r>
    </w:p>
    <w:p>
      <w:pPr>
        <w:numPr>
          <w:ilvl w:val="2"/>
          <w:numId w:val="1053"/>
        </w:numPr>
        <w:pStyle w:val="Compact"/>
      </w:pPr>
      <w:r>
        <w:t xml:space="preserve">Set the variance for all latent variables to one</w:t>
      </w:r>
    </w:p>
    <w:p>
      <w:pPr>
        <w:numPr>
          <w:ilvl w:val="2"/>
          <w:numId w:val="1053"/>
        </w:numPr>
        <w:pStyle w:val="Compact"/>
      </w:pPr>
      <w:r>
        <w:t xml:space="preserve">Set the mean for all latent variables to zero</w:t>
      </w:r>
    </w:p>
    <w:p>
      <w:pPr>
        <w:numPr>
          <w:ilvl w:val="2"/>
          <w:numId w:val="1053"/>
        </w:numPr>
        <w:pStyle w:val="Compact"/>
      </w:pPr>
      <w:r>
        <w:t xml:space="preserve">Estimate all unique off-diagonal correlations (covariances) in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θ</m:t>
            </m:r>
          </m:sub>
        </m:sSub>
      </m:oMath>
    </w:p>
    <w:bookmarkEnd w:id="44"/>
    <w:bookmarkStart w:id="45" w:name="more-on-scale-identification"/>
    <w:p>
      <w:pPr>
        <w:pStyle w:val="Heading2"/>
      </w:pPr>
      <w:r>
        <w:t xml:space="preserve">More on Scale Identification</w:t>
      </w:r>
    </w:p>
    <w:p>
      <w:pPr>
        <w:pStyle w:val="FirstParagraph"/>
      </w:pPr>
      <w:r>
        <w:t xml:space="preserve">Bayesian priors can let you believe you can estimate more parameters than the non-Bayesian standards suggest</w:t>
      </w:r>
    </w:p>
    <w:p>
      <w:pPr>
        <w:numPr>
          <w:ilvl w:val="0"/>
          <w:numId w:val="1054"/>
        </w:numPr>
        <w:pStyle w:val="Compact"/>
      </w:pPr>
      <w:r>
        <w:t xml:space="preserve">For instance, all item parameters and the latent variable means/variances</w:t>
      </w:r>
    </w:p>
    <w:p>
      <w:pPr>
        <w:pStyle w:val="FirstParagraph"/>
      </w:pPr>
      <w:r>
        <w:t xml:space="preserve">Like empirical identification, these estimates are often unstable and are not recommended</w:t>
      </w:r>
    </w:p>
    <w:p>
      <w:pPr>
        <w:pStyle w:val="BodyText"/>
      </w:pPr>
      <w:r>
        <w:t xml:space="preserve">Most common:</w:t>
      </w:r>
    </w:p>
    <w:p>
      <w:pPr>
        <w:numPr>
          <w:ilvl w:val="0"/>
          <w:numId w:val="1055"/>
        </w:numPr>
        <w:pStyle w:val="Compact"/>
      </w:pPr>
      <w:r>
        <w:t xml:space="preserve">Standardized latent variables</w:t>
      </w:r>
    </w:p>
    <w:p>
      <w:pPr>
        <w:numPr>
          <w:ilvl w:val="1"/>
          <w:numId w:val="1056"/>
        </w:numPr>
        <w:pStyle w:val="Compact"/>
      </w:pPr>
      <w:r>
        <w:t xml:space="preserve">Used for scale development and/or when scores are of interest directly</w:t>
      </w:r>
    </w:p>
    <w:p>
      <w:pPr>
        <w:numPr>
          <w:ilvl w:val="0"/>
          <w:numId w:val="1055"/>
        </w:numPr>
        <w:pStyle w:val="Compact"/>
      </w:pPr>
      <w:r>
        <w:t xml:space="preserve">Marker item for latent variables and zero means</w:t>
      </w:r>
    </w:p>
    <w:p>
      <w:pPr>
        <w:numPr>
          <w:ilvl w:val="1"/>
          <w:numId w:val="1057"/>
        </w:numPr>
        <w:pStyle w:val="Compact"/>
      </w:pPr>
      <w:r>
        <w:t xml:space="preserve">Used for cases where latent variables may become outcomes (and that variance needs explained)</w:t>
      </w:r>
    </w:p>
    <w:bookmarkEnd w:id="45"/>
    <w:bookmarkStart w:id="46" w:name="wrapping-up"/>
    <w:p>
      <w:pPr>
        <w:pStyle w:val="Heading2"/>
      </w:pPr>
      <w:r>
        <w:t xml:space="preserve">Wrapping Up</w:t>
      </w:r>
    </w:p>
    <w:p>
      <w:pPr>
        <w:numPr>
          <w:ilvl w:val="0"/>
          <w:numId w:val="1058"/>
        </w:numPr>
        <w:pStyle w:val="Compact"/>
      </w:pPr>
      <w:r>
        <w:t xml:space="preserve">Psychometric models are models for the relationship between observed variables and latent variables</w:t>
      </w:r>
    </w:p>
    <w:p>
      <w:pPr>
        <w:numPr>
          <w:ilvl w:val="0"/>
          <w:numId w:val="1058"/>
        </w:numPr>
        <w:pStyle w:val="Compact"/>
      </w:pPr>
      <w:r>
        <w:t xml:space="preserve">Psychometric models are built from the Q-matrix</w:t>
      </w:r>
    </w:p>
    <w:p>
      <w:pPr>
        <w:numPr>
          <w:ilvl w:val="0"/>
          <w:numId w:val="1058"/>
        </w:numPr>
        <w:pStyle w:val="Compact"/>
      </w:pPr>
      <w:r>
        <w:t xml:space="preserve">Psychometric models require two types of identification to be valid:</w:t>
      </w:r>
    </w:p>
    <w:p>
      <w:pPr>
        <w:numPr>
          <w:ilvl w:val="1"/>
          <w:numId w:val="1059"/>
        </w:numPr>
        <w:pStyle w:val="Compact"/>
      </w:pPr>
      <w:r>
        <w:t xml:space="preserve">Empirical Identification</w:t>
      </w:r>
    </w:p>
    <w:p>
      <w:pPr>
        <w:numPr>
          <w:ilvl w:val="1"/>
          <w:numId w:val="1059"/>
        </w:numPr>
        <w:pStyle w:val="Compact"/>
      </w:pPr>
      <w:r>
        <w:t xml:space="preserve">Scale Identification</w:t>
      </w:r>
    </w:p>
    <w:bookmarkEnd w:id="46"/>
    <w:bookmarkStart w:id="47" w:name="next-time"/>
    <w:p>
      <w:pPr>
        <w:pStyle w:val="Heading2"/>
      </w:pPr>
      <w:r>
        <w:t xml:space="preserve">Next Time</w:t>
      </w:r>
    </w:p>
    <w:p>
      <w:pPr>
        <w:numPr>
          <w:ilvl w:val="0"/>
          <w:numId w:val="1060"/>
        </w:numPr>
        <w:pStyle w:val="Compact"/>
      </w:pPr>
      <w:r>
        <w:t xml:space="preserve">Alternative models for model comparison</w:t>
      </w:r>
    </w:p>
    <w:p>
      <w:pPr>
        <w:numPr>
          <w:ilvl w:val="0"/>
          <w:numId w:val="1060"/>
        </w:numPr>
        <w:pStyle w:val="Compact"/>
      </w:pPr>
      <w:r>
        <w:t xml:space="preserve">Model fit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1"/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mmoncore.tcoe.org/Content/Public/doc/tcoe_understanding_standards_cod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moncore.tcoe.org/Content/Public/doc/tcoe_understanding_standards_cod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Psychometric Prerequisites</dc:title>
  <dc:creator>Multidimensional Measurement Models (Fall 2023): Lecture 3</dc:creator>
  <cp:keywords/>
  <dcterms:created xsi:type="dcterms:W3CDTF">2023-09-02T18:34:34Z</dcterms:created>
  <dcterms:modified xsi:type="dcterms:W3CDTF">2023-09-02T18:34:34Z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