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Estimation</w:t>
      </w:r>
      <w:r>
        <w:t xml:space="preserve"> </w:t>
      </w:r>
      <w:r>
        <w:t xml:space="preserve">of</w:t>
      </w:r>
      <w:r>
        <w:t xml:space="preserve"> </w:t>
      </w:r>
      <w:r>
        <w:t xml:space="preserve">Multidimensional</w:t>
      </w:r>
      <w:r>
        <w:t xml:space="preserve"> </w:t>
      </w:r>
      <w:r>
        <w:t xml:space="preserve">Latent</w:t>
      </w:r>
      <w:r>
        <w:t xml:space="preserve"> </w:t>
      </w:r>
      <w:r>
        <w:t xml:space="preserve">Variable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Lecture</w:t>
      </w:r>
      <w:r>
        <w:t xml:space="preserve"> </w:t>
      </w:r>
      <w:r>
        <w:t xml:space="preserve">8</w:t>
      </w:r>
    </w:p>
    <w:bookmarkStart w:id="20" w:name="todays-lecture-objectives"/>
    <w:p>
      <w:pPr>
        <w:pStyle w:val="Heading2"/>
      </w:pPr>
      <w:r>
        <w:t xml:space="preserve">Today’s Lecture Objectives</w:t>
      </w:r>
    </w:p>
    <w:p>
      <w:pPr>
        <w:numPr>
          <w:ilvl w:val="0"/>
          <w:numId w:val="1001"/>
        </w:numPr>
        <w:pStyle w:val="Compact"/>
      </w:pPr>
      <w:r>
        <w:t xml:space="preserve">Show how to estimate multidimensional latent variable models using MCMC (Stan)</w:t>
      </w:r>
    </w:p>
    <w:p>
      <w:pPr>
        <w:numPr>
          <w:ilvl w:val="0"/>
          <w:numId w:val="1001"/>
        </w:numPr>
        <w:pStyle w:val="Compact"/>
      </w:pPr>
      <w:r>
        <w:t xml:space="preserve">Describe why Stan needs to use the Cholesky decomposition for covariance matrices of latent variables</w:t>
      </w:r>
    </w:p>
    <w:bookmarkEnd w:id="20"/>
    <w:bookmarkStart w:id="21" w:name="example-data-simulated-two-dimensions"/>
    <w:p>
      <w:pPr>
        <w:pStyle w:val="Heading2"/>
      </w:pPr>
      <w:r>
        <w:t xml:space="preserve">Example Data: Simulated Two Dimensions</w:t>
      </w:r>
    </w:p>
    <w:p>
      <w:pPr>
        <w:pStyle w:val="FirstParagraph"/>
      </w:pPr>
      <w:r>
        <w:t xml:space="preserve">Today we will be using the simulated data we started class with and used in Lecture 7</w:t>
      </w:r>
    </w:p>
    <w:p>
      <w:pPr>
        <w:numPr>
          <w:ilvl w:val="0"/>
          <w:numId w:val="1002"/>
        </w:numPr>
        <w:pStyle w:val="Compact"/>
      </w:pPr>
      <w:r>
        <w:t xml:space="preserve">10 items</w:t>
      </w:r>
    </w:p>
    <w:p>
      <w:pPr>
        <w:numPr>
          <w:ilvl w:val="0"/>
          <w:numId w:val="1002"/>
        </w:numPr>
        <w:pStyle w:val="Compact"/>
      </w:pPr>
      <w:r>
        <w:t xml:space="preserve">1000 examinees</w:t>
      </w:r>
    </w:p>
    <w:p>
      <w:pPr>
        <w:numPr>
          <w:ilvl w:val="0"/>
          <w:numId w:val="1002"/>
        </w:numPr>
        <w:pStyle w:val="Compact"/>
      </w:pPr>
      <w:r>
        <w:t xml:space="preserve">2 dimensions</w:t>
      </w:r>
    </w:p>
    <w:p>
      <w:pPr>
        <w:numPr>
          <w:ilvl w:val="0"/>
          <w:numId w:val="1002"/>
        </w:numPr>
        <w:pStyle w:val="Compact"/>
      </w:pPr>
      <w:r>
        <w:t xml:space="preserve">Both continuous(for CFA) and categorical data (for IRT)</w:t>
      </w:r>
    </w:p>
    <w:p>
      <w:pPr>
        <w:numPr>
          <w:ilvl w:val="0"/>
          <w:numId w:val="1002"/>
        </w:numPr>
        <w:pStyle w:val="Compact"/>
      </w:pPr>
      <w:r>
        <w:t xml:space="preserve">Q-matrix:</w:t>
      </w:r>
    </w:p>
    <w:p>
      <w:pPr>
        <w:pStyle w:val="SourceCode"/>
      </w:pPr>
      <w:r>
        <w:rPr>
          <w:rStyle w:val="NormalTok"/>
        </w:rPr>
        <w:t xml:space="preserve">Qmatrix</w:t>
      </w:r>
    </w:p>
    <w:p>
      <w:pPr>
        <w:pStyle w:val="SourceCode"/>
      </w:pPr>
      <w:r>
        <w:rPr>
          <w:rStyle w:val="VerbatimChar"/>
        </w:rPr>
        <w:t xml:space="preserve">       theta1 theta2</w:t>
      </w:r>
      <w:r>
        <w:br/>
      </w:r>
      <w:r>
        <w:rPr>
          <w:rStyle w:val="VerbatimChar"/>
        </w:rPr>
        <w:t xml:space="preserve">item1       1      0</w:t>
      </w:r>
      <w:r>
        <w:br/>
      </w:r>
      <w:r>
        <w:rPr>
          <w:rStyle w:val="VerbatimChar"/>
        </w:rPr>
        <w:t xml:space="preserve">item2       1      0</w:t>
      </w:r>
      <w:r>
        <w:br/>
      </w:r>
      <w:r>
        <w:rPr>
          <w:rStyle w:val="VerbatimChar"/>
        </w:rPr>
        <w:t xml:space="preserve">item3       1      0</w:t>
      </w:r>
      <w:r>
        <w:br/>
      </w:r>
      <w:r>
        <w:rPr>
          <w:rStyle w:val="VerbatimChar"/>
        </w:rPr>
        <w:t xml:space="preserve">item4       1      0</w:t>
      </w:r>
      <w:r>
        <w:br/>
      </w:r>
      <w:r>
        <w:rPr>
          <w:rStyle w:val="VerbatimChar"/>
        </w:rPr>
        <w:t xml:space="preserve">item5       1      0</w:t>
      </w:r>
      <w:r>
        <w:br/>
      </w:r>
      <w:r>
        <w:rPr>
          <w:rStyle w:val="VerbatimChar"/>
        </w:rPr>
        <w:t xml:space="preserve">item6       0      1</w:t>
      </w:r>
      <w:r>
        <w:br/>
      </w:r>
      <w:r>
        <w:rPr>
          <w:rStyle w:val="VerbatimChar"/>
        </w:rPr>
        <w:t xml:space="preserve">item7       0      1</w:t>
      </w:r>
      <w:r>
        <w:br/>
      </w:r>
      <w:r>
        <w:rPr>
          <w:rStyle w:val="VerbatimChar"/>
        </w:rPr>
        <w:t xml:space="preserve">item8       0      1</w:t>
      </w:r>
      <w:r>
        <w:br/>
      </w:r>
      <w:r>
        <w:rPr>
          <w:rStyle w:val="VerbatimChar"/>
        </w:rPr>
        <w:t xml:space="preserve">item9       0      1</w:t>
      </w:r>
      <w:r>
        <w:br/>
      </w:r>
      <w:r>
        <w:rPr>
          <w:rStyle w:val="VerbatimChar"/>
        </w:rPr>
        <w:t xml:space="preserve">item10      0      1</w:t>
      </w:r>
    </w:p>
    <w:bookmarkEnd w:id="21"/>
    <w:bookmarkStart w:id="22" w:name="X55e96a0a87e7979d77f5d8c6c822f1066fff9c0"/>
    <w:p>
      <w:pPr>
        <w:pStyle w:val="Heading2"/>
      </w:pPr>
      <w:r>
        <w:t xml:space="preserve">Our Example: Multivariate Normal Distribution</w:t>
      </w:r>
    </w:p>
    <w:p>
      <w:pPr>
        <w:pStyle w:val="FirstParagraph"/>
      </w:pPr>
      <w:r>
        <w:t xml:space="preserve">For our example, we will assume the set of traits follows a multivariate normal distribution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det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Σ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θ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sty m:val="b"/>
                            </m:rPr>
                            <m:t>μ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</m:e>
                  </m:d>
                </m:e>
                <m:sup>
                  <m:r>
                    <m:t>T</m:t>
                  </m:r>
                </m:sup>
              </m:sSup>
              <m:sSubSup>
                <m:e>
                  <m:r>
                    <m:rPr>
                      <m:sty m:val="b"/>
                    </m:rPr>
                    <m:t>Σ</m:t>
                  </m:r>
                </m:e>
                <m:sub>
                  <m:r>
                    <m:t>θ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μ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3"/>
        </w:numPr>
        <w:pStyle w:val="Compact"/>
      </w:pPr>
      <m:oMath>
        <m:r>
          <m:t>π</m:t>
        </m:r>
        <m:r>
          <m:rPr>
            <m:sty m:val="p"/>
          </m:rPr>
          <m:t>≈</m:t>
        </m:r>
        <m:r>
          <m:t>3.14</m:t>
        </m:r>
      </m:oMath>
    </w:p>
    <w:p>
      <w:pPr>
        <w:numPr>
          <w:ilvl w:val="0"/>
          <w:numId w:val="1003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 (dimensions)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covariance matrix of the latent variables</w:t>
      </w:r>
    </w:p>
    <w:p>
      <w:pPr>
        <w:numPr>
          <w:ilvl w:val="1"/>
          <w:numId w:val="1004"/>
        </w:numPr>
        <w:pStyle w:val="Compact"/>
      </w:pPr>
      <m:oMath>
        <m:sSubSup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is the inverse of the covariance matrix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mean vector of the latent variables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matrix determinant function</w:t>
      </w:r>
    </w:p>
    <w:p>
      <w:pPr>
        <w:numPr>
          <w:ilvl w:val="0"/>
          <w:numId w:val="1003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is the matrix transpose operator</w:t>
      </w:r>
    </w:p>
    <w:p>
      <w:pPr>
        <w:pStyle w:val="FirstParagraph"/>
      </w:pPr>
      <w:r>
        <w:t xml:space="preserve">Alternatively, we would specify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  <m:r>
          <m:rPr>
            <m:sty m:val="p"/>
          </m:rPr>
          <m:t>∼</m:t>
        </m:r>
        <m:sSub>
          <m:e>
            <m:r>
              <m:t>N</m:t>
            </m:r>
          </m:e>
          <m:sub>
            <m:r>
              <m:t>D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μ</m:t>
                </m:r>
              </m:e>
              <m:sub>
                <m:r>
                  <m:t>θ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Σ</m:t>
                </m:r>
              </m:e>
              <m:sub>
                <m:r>
                  <m:t>θ</m:t>
                </m:r>
              </m:sub>
            </m:sSub>
          </m:e>
        </m:d>
      </m:oMath>
      <w:r>
        <w:t xml:space="preserve">; but, we cannot always estimate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</w:p>
    <w:bookmarkEnd w:id="22"/>
    <w:bookmarkStart w:id="23" w:name="observed-item-model"/>
    <w:p>
      <w:pPr>
        <w:pStyle w:val="Heading2"/>
      </w:pPr>
      <w:r>
        <w:t xml:space="preserve">Observed Item Model</w:t>
      </w:r>
    </w:p>
    <w:p>
      <w:pPr>
        <w:pStyle w:val="FirstParagraph"/>
      </w:pPr>
      <w:r>
        <w:t xml:space="preserve">For the IRT analyses, we will use a two parameter logistic item response model where: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For the CFA analyses, we will use a CFA model 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e>
          </m:nary>
          <m:sSub>
            <m:e>
              <m:r>
                <m:t>λ</m:t>
              </m:r>
            </m:e>
            <m:sub>
              <m:r>
                <m:t>i</m:t>
              </m:r>
              <m:r>
                <m:t>d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p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5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of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to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05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  <m:r>
              <m:t>d</m:t>
            </m:r>
          </m:sub>
        </m:sSub>
      </m:oMath>
      <w:r>
        <w:t xml:space="preserve"> </w:t>
      </w:r>
      <w:r>
        <w:t xml:space="preserve">is the score of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dimension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05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intercept of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05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factor loading of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dimension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05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Q-matrix value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dimension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05"/>
        </w:numPr>
        <w:pStyle w:val="Compact"/>
      </w:pPr>
      <m:oMath>
        <m:sSub>
          <m:e>
            <m:r>
              <m:t>ϵ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residual error of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05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dimensions</w:t>
      </w:r>
    </w:p>
    <w:p>
      <w:pPr>
        <w:numPr>
          <w:ilvl w:val="0"/>
          <w:numId w:val="1005"/>
        </w:numPr>
        <w:pStyle w:val="Compact"/>
      </w:pPr>
      <m:oMath>
        <m:r>
          <m:t>I</m:t>
        </m:r>
      </m:oMath>
      <w:r>
        <w:t xml:space="preserve"> </w:t>
      </w:r>
      <w:r>
        <w:t xml:space="preserve">is the number of items</w:t>
      </w:r>
    </w:p>
    <w:bookmarkEnd w:id="23"/>
    <w:bookmarkStart w:id="24" w:name="stan-versus-jags"/>
    <w:p>
      <w:pPr>
        <w:pStyle w:val="Heading2"/>
      </w:pPr>
      <w:r>
        <w:t xml:space="preserve">Stan versus JAGS</w:t>
      </w:r>
    </w:p>
    <w:p>
      <w:pPr>
        <w:pStyle w:val="FirstParagraph"/>
      </w:pPr>
      <w:r>
        <w:t xml:space="preserve">Bayesian analyses can be implemented in many different software packages</w:t>
      </w:r>
    </w:p>
    <w:p>
      <w:pPr>
        <w:numPr>
          <w:ilvl w:val="0"/>
          <w:numId w:val="1006"/>
        </w:numPr>
        <w:pStyle w:val="Compact"/>
      </w:pPr>
      <w:r>
        <w:t xml:space="preserve">I focus today on Stan (but I will leave JAGS code in the folder)</w:t>
      </w:r>
    </w:p>
    <w:p>
      <w:pPr>
        <w:numPr>
          <w:ilvl w:val="0"/>
          <w:numId w:val="1006"/>
        </w:numPr>
        <w:pStyle w:val="Compact"/>
      </w:pPr>
      <w:r>
        <w:t xml:space="preserve">Stan:</w:t>
      </w:r>
    </w:p>
    <w:p>
      <w:pPr>
        <w:numPr>
          <w:ilvl w:val="1"/>
          <w:numId w:val="1007"/>
        </w:numPr>
        <w:pStyle w:val="Compact"/>
      </w:pPr>
      <w:r>
        <w:t xml:space="preserve">Hamiltonian Monte Carlo (a more efficient type of Metropolis algorithm)</w:t>
      </w:r>
    </w:p>
    <w:p>
      <w:pPr>
        <w:numPr>
          <w:ilvl w:val="1"/>
          <w:numId w:val="1007"/>
        </w:numPr>
        <w:pStyle w:val="Compact"/>
      </w:pPr>
      <w:r>
        <w:t xml:space="preserve">Can directly model continuous parameters only (no discrete parameters–DCMs/mixture models are harder)</w:t>
      </w:r>
    </w:p>
    <w:p>
      <w:pPr>
        <w:numPr>
          <w:ilvl w:val="1"/>
          <w:numId w:val="1007"/>
        </w:numPr>
        <w:pStyle w:val="Compact"/>
      </w:pPr>
      <w:r>
        <w:t xml:space="preserve">Has two R interfaces</w:t>
      </w:r>
    </w:p>
    <w:p>
      <w:pPr>
        <w:numPr>
          <w:ilvl w:val="2"/>
          <w:numId w:val="1008"/>
        </w:numPr>
        <w:pStyle w:val="Compact"/>
      </w:pPr>
      <w:r>
        <w:t xml:space="preserve">rstan – older and not developed as much, if at all, any longer</w:t>
      </w:r>
    </w:p>
    <w:p>
      <w:pPr>
        <w:numPr>
          <w:ilvl w:val="2"/>
          <w:numId w:val="1008"/>
        </w:numPr>
        <w:pStyle w:val="Compact"/>
      </w:pPr>
      <w:r>
        <w:t xml:space="preserve">cmdstanr</w:t>
      </w:r>
    </w:p>
    <w:p>
      <w:pPr>
        <w:numPr>
          <w:ilvl w:val="1"/>
          <w:numId w:val="1007"/>
        </w:numPr>
        <w:pStyle w:val="Compact"/>
      </w:pPr>
      <w:r>
        <w:t xml:space="preserve">Compiles the model to C++ code (so it is fast)</w:t>
      </w:r>
    </w:p>
    <w:p>
      <w:pPr>
        <w:numPr>
          <w:ilvl w:val="1"/>
          <w:numId w:val="1007"/>
        </w:numPr>
        <w:pStyle w:val="Compact"/>
      </w:pPr>
      <w:r>
        <w:t xml:space="preserve">Has built-in LKJ prior for correlation matrices</w:t>
      </w:r>
    </w:p>
    <w:p>
      <w:pPr>
        <w:numPr>
          <w:ilvl w:val="0"/>
          <w:numId w:val="1006"/>
        </w:numPr>
        <w:pStyle w:val="Compact"/>
      </w:pPr>
      <w:r>
        <w:t xml:space="preserve">JAGS</w:t>
      </w:r>
    </w:p>
    <w:p>
      <w:pPr>
        <w:numPr>
          <w:ilvl w:val="1"/>
          <w:numId w:val="1009"/>
        </w:numPr>
        <w:pStyle w:val="Compact"/>
      </w:pPr>
      <w:r>
        <w:t xml:space="preserve">Uses a number of different sampling methods (Gibbs and Metropolis-Hastings based)</w:t>
      </w:r>
    </w:p>
    <w:p>
      <w:pPr>
        <w:numPr>
          <w:ilvl w:val="1"/>
          <w:numId w:val="1009"/>
        </w:numPr>
        <w:pStyle w:val="Compact"/>
      </w:pPr>
      <w:r>
        <w:t xml:space="preserve">Slower than Stan (standalone executable)</w:t>
      </w:r>
    </w:p>
    <w:p>
      <w:pPr>
        <w:numPr>
          <w:ilvl w:val="1"/>
          <w:numId w:val="1009"/>
        </w:numPr>
        <w:pStyle w:val="Compact"/>
      </w:pPr>
      <w:r>
        <w:t xml:space="preserve">Can model continuous and discrete parameters</w:t>
      </w:r>
    </w:p>
    <w:p>
      <w:pPr>
        <w:numPr>
          <w:ilvl w:val="1"/>
          <w:numId w:val="1009"/>
        </w:numPr>
        <w:pStyle w:val="Compact"/>
      </w:pPr>
      <w:r>
        <w:t xml:space="preserve">Difficult to estimate models with standardized factors and correlations</w:t>
      </w:r>
    </w:p>
    <w:bookmarkEnd w:id="24"/>
    <w:bookmarkStart w:id="26" w:name="lkj-priors-for-correlation-matrices"/>
    <w:p>
      <w:pPr>
        <w:pStyle w:val="Heading2"/>
      </w:pPr>
      <w:r>
        <w:t xml:space="preserve">LKJ Priors for Correlation Matrices</w:t>
      </w:r>
    </w:p>
    <w:p>
      <w:pPr>
        <w:pStyle w:val="FirstParagraph"/>
      </w:pPr>
      <w:r>
        <w:t xml:space="preserve">From</w:t>
      </w:r>
      <w:r>
        <w:t xml:space="preserve"> </w:t>
      </w:r>
      <w:hyperlink r:id="rId25">
        <w:r>
          <w:rPr>
            <w:rStyle w:val="Hyperlink"/>
          </w:rPr>
          <w:t xml:space="preserve">Stan’s Functions Reference</w:t>
        </w:r>
      </w:hyperlink>
      <w:r>
        <w:t xml:space="preserve">, for a correlation matrix</w:t>
      </w:r>
      <w:r>
        <w:t xml:space="preserve"> </w:t>
      </w:r>
      <m:oMath>
        <m:sSub>
          <m:e>
            <m:r>
              <m:rPr>
                <m:nor/>
                <m:sty m:val="b"/>
              </m:rPr>
              <m:t>R</m:t>
            </m:r>
          </m:e>
          <m:sub>
            <m:r>
              <m:t>θ</m:t>
            </m:r>
          </m:sub>
        </m:sSub>
      </m:oMath>
    </w:p>
    <w:p>
      <w:pPr>
        <w:pStyle w:val="BodyText"/>
      </w:pPr>
      <w:r>
        <w:t xml:space="preserve">Correlation Matrix Properties:</w:t>
      </w:r>
    </w:p>
    <w:p>
      <w:pPr>
        <w:numPr>
          <w:ilvl w:val="0"/>
          <w:numId w:val="1010"/>
        </w:numPr>
        <w:pStyle w:val="Compact"/>
      </w:pPr>
      <w:r>
        <w:t xml:space="preserve">Positive definite (determinant greater than zero;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θ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10"/>
        </w:numPr>
        <w:pStyle w:val="Compact"/>
      </w:pPr>
      <w:r>
        <w:t xml:space="preserve">Symmetric</w:t>
      </w:r>
    </w:p>
    <w:p>
      <w:pPr>
        <w:numPr>
          <w:ilvl w:val="0"/>
          <w:numId w:val="1010"/>
        </w:numPr>
        <w:pStyle w:val="Compact"/>
      </w:pPr>
      <w:r>
        <w:t xml:space="preserve">Diagonal values are all one</w:t>
      </w:r>
    </w:p>
    <w:p>
      <w:pPr>
        <w:pStyle w:val="FirstParagraph"/>
      </w:pPr>
      <w:r>
        <w:t xml:space="preserve">LKJ Prior, with hyperparameter</w:t>
      </w:r>
      <w:r>
        <w:t xml:space="preserve"> </w:t>
      </w:r>
      <m:oMath>
        <m:r>
          <m:t>η</m:t>
        </m:r>
      </m:oMath>
      <w:r>
        <w:t xml:space="preserve">, is proportional to the determinant of the correlation matrix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LKJ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b"/>
                    </m:rPr>
                    <m:t>R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∝</m:t>
          </m:r>
          <m:r>
            <m:rPr>
              <m:sty m:val="p"/>
            </m:rPr>
            <m:t>det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nor/>
                          <m:sty m:val="b"/>
                        </m:rPr>
                        <m:t>R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η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11"/>
        </w:numPr>
        <w:pStyle w:val="Compact"/>
      </w:pPr>
      <w:r>
        <w:t xml:space="preserve">Density is uniform over correlation matrices with</w:t>
      </w:r>
      <w:r>
        <w:t xml:space="preserve"> </w:t>
      </w:r>
      <m:oMath>
        <m:r>
          <m:t>η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11"/>
        </w:numPr>
        <w:pStyle w:val="Compact"/>
      </w:pPr>
      <w:r>
        <w:t xml:space="preserve">With</w:t>
      </w:r>
      <w:r>
        <w:t xml:space="preserve"> </w:t>
      </w:r>
      <m:oMath>
        <m:r>
          <m:t>η</m:t>
        </m:r>
        <m:r>
          <m:rPr>
            <m:sty m:val="p"/>
          </m:rPr>
          <m:t>&gt;</m:t>
        </m:r>
        <m:r>
          <m:t>1</m:t>
        </m:r>
      </m:oMath>
      <w:r>
        <w:t xml:space="preserve">, identity matrix is modal (moves correlations toward zero)</w:t>
      </w:r>
    </w:p>
    <w:p>
      <w:pPr>
        <w:numPr>
          <w:ilvl w:val="0"/>
          <w:numId w:val="1011"/>
        </w:numPr>
        <w:pStyle w:val="Compact"/>
      </w:pPr>
      <w:r>
        <w:t xml:space="preserve">With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η</m:t>
        </m:r>
        <m:r>
          <m:rPr>
            <m:sty m:val="p"/>
          </m:rPr>
          <m:t>&lt;</m:t>
        </m:r>
        <m:r>
          <m:t>1</m:t>
        </m:r>
      </m:oMath>
      <w:r>
        <w:t xml:space="preserve">, density has a trough at the identity (moves correlations away from zero)</w:t>
      </w:r>
    </w:p>
    <w:p>
      <w:pPr>
        <w:pStyle w:val="FirstParagraph"/>
      </w:pPr>
      <w:r>
        <w:t xml:space="preserve">For this example, we set</w:t>
      </w:r>
      <w:r>
        <w:t xml:space="preserve"> </w:t>
      </w:r>
      <m:oMath>
        <m:r>
          <m:t>η</m:t>
        </m:r>
        <m:r>
          <m:rPr>
            <m:sty m:val="p"/>
          </m:rPr>
          <m:t>=</m:t>
        </m:r>
        <m:r>
          <m:t>1</m:t>
        </m:r>
      </m:oMath>
      <w:r>
        <w:t xml:space="preserve">, noting a uniform prior over all correlation matrices</w:t>
      </w:r>
    </w:p>
    <w:bookmarkEnd w:id="26"/>
    <w:bookmarkStart w:id="29" w:name="cholesky-decomposition"/>
    <w:p>
      <w:pPr>
        <w:pStyle w:val="Heading2"/>
      </w:pPr>
      <w:r>
        <w:t xml:space="preserve">Cholesky Decomposition</w:t>
      </w:r>
    </w:p>
    <w:p>
      <w:pPr>
        <w:pStyle w:val="FirstParagraph"/>
      </w:pPr>
      <w:r>
        <w:t xml:space="preserve">The functions we are using do not use the correlation matrix directly</w:t>
      </w:r>
    </w:p>
    <w:bookmarkStart w:id="27" w:name="the-problem"/>
    <w:p>
      <w:pPr>
        <w:pStyle w:val="Heading4"/>
      </w:pPr>
      <w:r>
        <w:t xml:space="preserve">The problem:</w:t>
      </w:r>
    </w:p>
    <w:p>
      <w:pPr>
        <w:numPr>
          <w:ilvl w:val="0"/>
          <w:numId w:val="1012"/>
        </w:numPr>
        <w:pStyle w:val="Compact"/>
      </w:pPr>
      <w:r>
        <w:t xml:space="preserve">The issue: We need the inverse and determinant to calculate the density of a multivariate normal distribution</w:t>
      </w:r>
    </w:p>
    <w:p>
      <w:pPr>
        <w:numPr>
          <w:ilvl w:val="1"/>
          <w:numId w:val="1013"/>
        </w:numPr>
        <w:pStyle w:val="Compact"/>
      </w:pPr>
      <w:r>
        <w:t xml:space="preserve">Inverses and determinants are numerically unstable (computationally) in general form</w:t>
      </w:r>
    </w:p>
    <w:bookmarkEnd w:id="27"/>
    <w:bookmarkStart w:id="28" w:name="the-solution"/>
    <w:p>
      <w:pPr>
        <w:pStyle w:val="Heading4"/>
      </w:pPr>
      <w:r>
        <w:t xml:space="preserve">The solution:</w:t>
      </w:r>
    </w:p>
    <w:p>
      <w:pPr>
        <w:numPr>
          <w:ilvl w:val="0"/>
          <w:numId w:val="1014"/>
        </w:numPr>
        <w:pStyle w:val="Compact"/>
      </w:pPr>
      <w:r>
        <w:t xml:space="preserve">Convert</w:t>
      </w:r>
      <w:r>
        <w:t xml:space="preserve"> </w:t>
      </w:r>
      <m:oMath>
        <m:sSub>
          <m:e>
            <m:r>
              <m:t>R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to a triangular form using the Cholesky decomposition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b"/>
                </m:rPr>
                <m:t>R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nor/>
                  <m:sty m:val="b"/>
                </m:rPr>
                <m:t>L</m:t>
              </m:r>
            </m:e>
            <m:sub>
              <m:r>
                <m:t>θ</m:t>
              </m:r>
            </m:sub>
          </m:sSub>
          <m:sSubSup>
            <m:e>
              <m:r>
                <m:rPr>
                  <m:nor/>
                  <m:sty m:val="b"/>
                </m:rPr>
                <m:t>L</m:t>
              </m:r>
            </m:e>
            <m:sub>
              <m:r>
                <m:t>θ</m:t>
              </m:r>
            </m:sub>
            <m:sup>
              <m:r>
                <m:t>T</m:t>
              </m:r>
            </m:sup>
          </m:sSubSup>
        </m:oMath>
      </m:oMathPara>
    </w:p>
    <w:bookmarkEnd w:id="28"/>
    <w:bookmarkEnd w:id="29"/>
    <w:bookmarkStart w:id="30" w:name="cholesky-decomposition-math"/>
    <w:p>
      <w:pPr>
        <w:pStyle w:val="Heading2"/>
      </w:pPr>
      <w:r>
        <w:t xml:space="preserve">Cholesky Decomposition Math</w:t>
      </w:r>
    </w:p>
    <w:p>
      <w:pPr>
        <w:numPr>
          <w:ilvl w:val="0"/>
          <w:numId w:val="1015"/>
        </w:numPr>
        <w:pStyle w:val="Compact"/>
      </w:pP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nor/>
                    <m:sty m:val="b"/>
                  </m:rPr>
                  <m:t>R</m:t>
                </m:r>
              </m:e>
              <m:sub>
                <m:r>
                  <m:t>θ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nor/>
                    <m:sty m:val="b"/>
                  </m:rPr>
                  <m:t>L</m:t>
                </m:r>
              </m:e>
              <m:sub>
                <m:r>
                  <m:t>θ</m:t>
                </m:r>
              </m:sub>
            </m:sSub>
            <m:sSubSup>
              <m:e>
                <m:r>
                  <m:rPr>
                    <m:nor/>
                    <m:sty m:val="b"/>
                  </m:rPr>
                  <m:t>L</m:t>
                </m:r>
              </m:e>
              <m:sub>
                <m:r>
                  <m:t>θ</m:t>
                </m:r>
              </m:sub>
              <m:sup>
                <m:r>
                  <m:t>T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nor/>
                    <m:sty m:val="b"/>
                  </m:rPr>
                  <m:t>L</m:t>
                </m:r>
              </m:e>
              <m:sub>
                <m:r>
                  <m:t>θ</m:t>
                </m:r>
              </m:sub>
            </m:sSub>
          </m:e>
        </m:d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rPr>
                    <m:nor/>
                    <m:sty m:val="b"/>
                  </m:rPr>
                  <m:t>L</m:t>
                </m:r>
              </m:e>
              <m:sub>
                <m:r>
                  <m:t>θ</m:t>
                </m:r>
              </m:sub>
              <m:sup>
                <m:r>
                  <m:t>T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nor/>
                        <m:sty m:val="b"/>
                      </m:rPr>
                      <m:t>L</m:t>
                    </m:r>
                  </m:e>
                  <m:sub>
                    <m:r>
                      <m:t>θ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d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d</m:t>
                        </m:r>
                      </m:sub>
                    </m:sSub>
                  </m:e>
                </m:nary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(note: product becomes sum for log-likelihood)</w:t>
      </w:r>
    </w:p>
    <w:p>
      <w:pPr>
        <w:numPr>
          <w:ilvl w:val="0"/>
          <w:numId w:val="1015"/>
        </w:numPr>
        <w:pStyle w:val="Compact"/>
      </w:pPr>
      <w:r>
        <w:t xml:space="preserve">For the inverse, we work with the term in the exponent of the MVN pdf: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μ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sSubSup>
            <m:e>
              <m:r>
                <m:rPr>
                  <m:nor/>
                  <m:sty m:val="b"/>
                </m:rPr>
                <m:t>R</m:t>
              </m:r>
            </m:e>
            <m:sub>
              <m:r>
                <m:t>θ</m:t>
              </m:r>
            </m:sub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μ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nor/>
                          <m:sty m:val="b"/>
                        </m:rPr>
                        <m:t>L</m:t>
                      </m:r>
                    </m:e>
                    <m:sub>
                      <m:r>
                        <m:t>θ</m:t>
                      </m:r>
                    </m:sub>
                  </m:sSub>
                  <m:sSubSup>
                    <m:e>
                      <m:r>
                        <m:rPr>
                          <m:nor/>
                          <m:sty m:val="b"/>
                        </m:rPr>
                        <m:t>L</m:t>
                      </m:r>
                    </m:e>
                    <m:sub>
                      <m:r>
                        <m:t>θ</m:t>
                      </m:r>
                    </m:sub>
                    <m:sup>
                      <m:r>
                        <m:t>T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μ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sSubSup>
            <m:e>
              <m:r>
                <m:rPr>
                  <m:nor/>
                  <m:sty m:val="b"/>
                </m:rPr>
                <m:t>L</m:t>
              </m:r>
            </m:e>
            <m:sub>
              <m:r>
                <m:t>θ</m:t>
              </m:r>
            </m:sub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bSup>
          <m:sSubSup>
            <m:e>
              <m:r>
                <m:rPr>
                  <m:nor/>
                  <m:sty m:val="b"/>
                </m:rPr>
                <m:t>L</m:t>
              </m:r>
            </m:e>
            <m:sub>
              <m:r>
                <m:t>θ</m:t>
              </m:r>
            </m:sub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Then, we solve by back substitution: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b"/>
                      </m:rPr>
                      <m:t>μ</m:t>
                    </m:r>
                  </m:e>
                  <m:sub>
                    <m:r>
                      <m:t>θ</m:t>
                    </m:r>
                  </m:sub>
                </m:sSub>
              </m:e>
            </m:d>
          </m:e>
          <m:sup>
            <m:r>
              <m:t>T</m:t>
            </m:r>
          </m:sup>
        </m:sSup>
        <m:sSubSup>
          <m:e>
            <m:r>
              <m:rPr>
                <m:nor/>
                <m:sty m:val="b"/>
              </m:rPr>
              <m:t>L</m:t>
            </m:r>
          </m:e>
          <m:sub>
            <m:r>
              <m:t>θ</m:t>
            </m:r>
          </m:sub>
          <m:sup>
            <m:r>
              <m:rPr>
                <m:sty m:val="p"/>
              </m:rPr>
              <m:t>−</m:t>
            </m:r>
            <m:r>
              <m:t>T</m:t>
            </m:r>
          </m:sup>
        </m:sSubSup>
      </m:oMath>
    </w:p>
    <w:p>
      <w:pPr>
        <w:numPr>
          <w:ilvl w:val="0"/>
          <w:numId w:val="1016"/>
        </w:numPr>
        <w:pStyle w:val="Compact"/>
      </w:pPr>
      <w:r>
        <w:t xml:space="preserve">We can then multiply this result by itself to form the term in the exponent (times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Back substitution involves far fewer steps, minimizing the amount of rounding error in the process of forming the inverse</w:t>
      </w:r>
    </w:p>
    <w:p>
      <w:pPr>
        <w:pStyle w:val="FirstParagraph"/>
      </w:pPr>
      <w:r>
        <w:t xml:space="preserve">Most algorithms using MVN distributions use some variant of this process (perhaps with a different factorization method such as QR)</w:t>
      </w:r>
    </w:p>
    <w:bookmarkEnd w:id="30"/>
    <w:bookmarkStart w:id="33" w:name="estimation-notes-and-links"/>
    <w:p>
      <w:pPr>
        <w:pStyle w:val="Heading2"/>
      </w:pPr>
      <w:r>
        <w:t xml:space="preserve">Estimation Notes and Links</w:t>
      </w:r>
    </w:p>
    <w:p>
      <w:pPr>
        <w:pStyle w:val="FirstParagraph"/>
      </w:pPr>
      <w:r>
        <w:t xml:space="preserve">I teach a Bayesian Psychometric Models course on occasion:</w:t>
      </w:r>
    </w:p>
    <w:p>
      <w:pPr>
        <w:numPr>
          <w:ilvl w:val="0"/>
          <w:numId w:val="1017"/>
        </w:numPr>
        <w:pStyle w:val="Compact"/>
      </w:pPr>
      <w:r>
        <w:t xml:space="preserve">JAGS Version:</w:t>
      </w:r>
      <w:r>
        <w:t xml:space="preserve"> </w:t>
      </w:r>
      <w:hyperlink r:id="rId31">
        <w:r>
          <w:rPr>
            <w:rStyle w:val="Hyperlink"/>
          </w:rPr>
          <w:t xml:space="preserve">https://jonathantemplin.com/bayesian-psychometric-modeling-spring-2019/</w:t>
        </w:r>
      </w:hyperlink>
    </w:p>
    <w:p>
      <w:pPr>
        <w:numPr>
          <w:ilvl w:val="0"/>
          <w:numId w:val="1017"/>
        </w:numPr>
        <w:pStyle w:val="Compact"/>
      </w:pPr>
      <w:r>
        <w:t xml:space="preserve">Stan Version:</w:t>
      </w:r>
      <w:r>
        <w:t xml:space="preserve"> </w:t>
      </w:r>
      <w:hyperlink r:id="rId32">
        <w:r>
          <w:rPr>
            <w:rStyle w:val="Hyperlink"/>
          </w:rPr>
          <w:t xml:space="preserve">https://jonathantemplin.com/bayesian-psychometric-modeling-fall-2022/</w:t>
        </w:r>
      </w:hyperlink>
    </w:p>
    <w:p>
      <w:pPr>
        <w:pStyle w:val="FirstParagraph"/>
      </w:pPr>
      <w:r>
        <w:t xml:space="preserve">Much more detail in both courses about how Bayesian estimation works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jonathantemplin.com/bayesian-psychometric-modeling-fall-2022/" TargetMode="External" /><Relationship Type="http://schemas.openxmlformats.org/officeDocument/2006/relationships/hyperlink" Id="rId31" Target="https://jonathantemplin.com/bayesian-psychometric-modeling-spring-2019/" TargetMode="External" /><Relationship Type="http://schemas.openxmlformats.org/officeDocument/2006/relationships/hyperlink" Id="rId25" Target="https://mc-stan.org/docs/functions-reference/lkj-correl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jonathantemplin.com/bayesian-psychometric-modeling-fall-2022/" TargetMode="External" /><Relationship Type="http://schemas.openxmlformats.org/officeDocument/2006/relationships/hyperlink" Id="rId31" Target="https://jonathantemplin.com/bayesian-psychometric-modeling-spring-2019/" TargetMode="External" /><Relationship Type="http://schemas.openxmlformats.org/officeDocument/2006/relationships/hyperlink" Id="rId25" Target="https://mc-stan.org/docs/functions-reference/lkj-correl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Estimation of Multidimensional Latent Variable Models</dc:title>
  <dc:creator>Lecture 8</dc:creator>
  <cp:keywords/>
  <dcterms:created xsi:type="dcterms:W3CDTF">2023-10-10T13:31:50Z</dcterms:created>
  <dcterms:modified xsi:type="dcterms:W3CDTF">2023-10-10T13:31:50Z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