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DEDCF" w14:textId="77777777" w:rsidR="00175788" w:rsidRDefault="000E5420" w:rsidP="002352BE">
      <w:pPr>
        <w:pBdr>
          <w:bottom w:val="double" w:sz="10" w:space="2" w:color="D4A017"/>
        </w:pBdr>
        <w:shd w:val="clear" w:color="auto" w:fill="1A6B72"/>
        <w:jc w:val="center"/>
      </w:pPr>
      <w:r>
        <w:rPr>
          <w:b/>
          <w:bCs/>
          <w:color w:val="D4A017"/>
          <w:sz w:val="28"/>
          <w:szCs w:val="28"/>
          <w:rtl/>
        </w:rPr>
        <w:t>مؤسسة الحنان</w:t>
      </w:r>
    </w:p>
    <w:p w14:paraId="10B90348" w14:textId="77777777" w:rsidR="00175788" w:rsidRDefault="000E5420" w:rsidP="002352BE">
      <w:pPr>
        <w:shd w:val="clear" w:color="auto" w:fill="1A6B72"/>
        <w:jc w:val="center"/>
      </w:pPr>
      <w:r>
        <w:rPr>
          <w:color w:val="E8F4F5"/>
          <w:sz w:val="22"/>
          <w:szCs w:val="22"/>
          <w:rtl/>
        </w:rPr>
        <w:t>السنة الدراسية: 2025 – 2026</w:t>
      </w:r>
      <w:r>
        <w:rPr>
          <w:color w:val="D4A017"/>
          <w:sz w:val="22"/>
          <w:szCs w:val="22"/>
        </w:rPr>
        <w:t xml:space="preserve">          |          </w:t>
      </w:r>
      <w:r>
        <w:rPr>
          <w:color w:val="E8F4F5"/>
          <w:sz w:val="22"/>
          <w:szCs w:val="22"/>
          <w:rtl/>
        </w:rPr>
        <w:t xml:space="preserve">الأستاذ: أحمد </w:t>
      </w:r>
      <w:proofErr w:type="spellStart"/>
      <w:r>
        <w:rPr>
          <w:color w:val="E8F4F5"/>
          <w:sz w:val="22"/>
          <w:szCs w:val="22"/>
          <w:rtl/>
        </w:rPr>
        <w:t>بوعمود</w:t>
      </w:r>
      <w:proofErr w:type="spellEnd"/>
      <w:r>
        <w:rPr>
          <w:color w:val="D4A017"/>
          <w:sz w:val="22"/>
          <w:szCs w:val="22"/>
        </w:rPr>
        <w:t xml:space="preserve">          |          </w:t>
      </w:r>
      <w:r>
        <w:rPr>
          <w:color w:val="E8F4F5"/>
          <w:sz w:val="22"/>
          <w:szCs w:val="22"/>
          <w:rtl/>
        </w:rPr>
        <w:t>المستوى: السنة الأولى بكالوريا</w:t>
      </w:r>
    </w:p>
    <w:p w14:paraId="24BF95E8" w14:textId="77777777" w:rsidR="00175788" w:rsidRDefault="000E5420" w:rsidP="002352BE">
      <w:pPr>
        <w:shd w:val="clear" w:color="auto" w:fill="D4A017"/>
        <w:spacing w:before="120" w:after="60"/>
        <w:jc w:val="center"/>
      </w:pPr>
      <w:r>
        <w:rPr>
          <w:b/>
          <w:bCs/>
          <w:color w:val="1A6B72"/>
          <w:sz w:val="46"/>
          <w:szCs w:val="46"/>
          <w:rtl/>
        </w:rPr>
        <w:t>اليقظة الفكرية في المشرق العربي</w:t>
      </w:r>
    </w:p>
    <w:p w14:paraId="64E6BA53" w14:textId="77777777" w:rsidR="00175788" w:rsidRDefault="000E5420" w:rsidP="002352BE">
      <w:pPr>
        <w:shd w:val="clear" w:color="auto" w:fill="D4A017"/>
        <w:spacing w:after="200"/>
        <w:jc w:val="center"/>
      </w:pPr>
      <w:r>
        <w:rPr>
          <w:b/>
          <w:bCs/>
          <w:color w:val="1A6B72"/>
          <w:rtl/>
        </w:rPr>
        <w:t>مادة التاريخ والجغرافيا  ✦  الفصل الأول</w:t>
      </w:r>
    </w:p>
    <w:p w14:paraId="0286E237" w14:textId="77777777" w:rsidR="00175788" w:rsidRDefault="00175788" w:rsidP="002352BE">
      <w:pPr>
        <w:pBdr>
          <w:bottom w:val="single" w:sz="6" w:space="1" w:color="D4A017"/>
        </w:pBdr>
        <w:spacing w:before="80" w:after="80"/>
        <w:jc w:val="center"/>
      </w:pPr>
    </w:p>
    <w:p w14:paraId="0BA10637" w14:textId="77777777" w:rsidR="00175788" w:rsidRDefault="00175788" w:rsidP="002352BE">
      <w:pPr>
        <w:spacing w:before="100" w:after="100"/>
        <w:jc w:val="center"/>
      </w:pPr>
    </w:p>
    <w:p w14:paraId="3B78223B" w14:textId="77777777" w:rsidR="00175788" w:rsidRDefault="000E5420" w:rsidP="002352BE">
      <w:pPr>
        <w:pBdr>
          <w:left w:val="single" w:sz="18" w:space="4" w:color="D4A017"/>
        </w:pBdr>
        <w:shd w:val="clear" w:color="auto" w:fill="1A6B72"/>
        <w:spacing w:before="280" w:after="120"/>
        <w:ind w:left="200" w:right="200"/>
        <w:jc w:val="center"/>
      </w:pPr>
      <w:r>
        <w:rPr>
          <w:b/>
          <w:bCs/>
          <w:color w:val="FFFFFF"/>
          <w:sz w:val="36"/>
          <w:szCs w:val="36"/>
          <w:rtl/>
        </w:rPr>
        <w:t>مقدمة</w:t>
      </w:r>
    </w:p>
    <w:p w14:paraId="0AC60F63" w14:textId="77777777" w:rsidR="00175788" w:rsidRDefault="000E5420" w:rsidP="002352BE">
      <w:pPr>
        <w:spacing w:before="80" w:after="80" w:line="340" w:lineRule="auto"/>
        <w:ind w:right="200"/>
        <w:jc w:val="center"/>
      </w:pPr>
      <w:r>
        <w:rPr>
          <w:color w:val="1A1A2E"/>
          <w:rtl/>
        </w:rPr>
        <w:t>بعد مرحلة طويلة من السيطرة العثمانية التي دامت أكثر من ثلاثة قرون، ظهرت معالم يقظة فكرية قوية قادها مجموعة من الشباب العربي المثقف، الذين تباينت توجهاتهم بين منفتح على الفكر الغربي سبيلاً للتغيير، وبين متمسك بأصول الدين والسلف الصالح مساراً لإنقاذ الأمة وتجديد نهضتها.</w:t>
      </w:r>
    </w:p>
    <w:p w14:paraId="6B490AF9" w14:textId="77777777" w:rsidR="00175788" w:rsidRDefault="00175788" w:rsidP="002352BE">
      <w:pPr>
        <w:spacing w:before="60" w:after="60"/>
        <w:jc w:val="center"/>
      </w:pPr>
    </w:p>
    <w:p w14:paraId="6C36F3A2" w14:textId="77777777" w:rsidR="00175788" w:rsidRDefault="000E5420" w:rsidP="002352BE">
      <w:pPr>
        <w:pBdr>
          <w:right w:val="single" w:sz="12" w:space="4" w:color="D4A017"/>
        </w:pBdr>
        <w:shd w:val="clear" w:color="auto" w:fill="FDF3D0"/>
        <w:spacing w:before="80" w:after="80" w:line="320" w:lineRule="auto"/>
        <w:ind w:right="200"/>
        <w:jc w:val="center"/>
      </w:pPr>
      <w:r>
        <w:rPr>
          <w:b/>
          <w:bCs/>
          <w:i/>
          <w:iCs/>
          <w:color w:val="1A6B72"/>
          <w:rtl/>
        </w:rPr>
        <w:t>✦  ما هي مظاهر وعوامل هذه النهضة الفكرية؟</w:t>
      </w:r>
    </w:p>
    <w:p w14:paraId="132D6D63" w14:textId="77777777" w:rsidR="00175788" w:rsidRDefault="000E5420" w:rsidP="002352BE">
      <w:pPr>
        <w:pBdr>
          <w:right w:val="single" w:sz="12" w:space="4" w:color="D4A017"/>
        </w:pBdr>
        <w:shd w:val="clear" w:color="auto" w:fill="FDF3D0"/>
        <w:spacing w:before="80" w:after="80" w:line="320" w:lineRule="auto"/>
        <w:ind w:right="200"/>
        <w:jc w:val="center"/>
      </w:pPr>
      <w:r>
        <w:rPr>
          <w:b/>
          <w:bCs/>
          <w:i/>
          <w:iCs/>
          <w:color w:val="1A6B72"/>
          <w:rtl/>
        </w:rPr>
        <w:t>✦  ما هي أبرز التيارات الفكرية المصاحبة لها، ومن هم رواد كل تيار؟</w:t>
      </w:r>
    </w:p>
    <w:p w14:paraId="50CA3938" w14:textId="77777777" w:rsidR="00175788" w:rsidRDefault="000E5420" w:rsidP="002352BE">
      <w:pPr>
        <w:pBdr>
          <w:right w:val="single" w:sz="12" w:space="4" w:color="D4A017"/>
        </w:pBdr>
        <w:shd w:val="clear" w:color="auto" w:fill="FDF3D0"/>
        <w:spacing w:before="80" w:after="80" w:line="320" w:lineRule="auto"/>
        <w:ind w:right="200"/>
        <w:jc w:val="center"/>
      </w:pPr>
      <w:r>
        <w:rPr>
          <w:b/>
          <w:bCs/>
          <w:i/>
          <w:iCs/>
          <w:color w:val="1A6B72"/>
          <w:rtl/>
        </w:rPr>
        <w:t>✦  ما هو تأثير فكر النهضة على مسار التطورات في المشرق العربي؟</w:t>
      </w:r>
    </w:p>
    <w:p w14:paraId="7901F368" w14:textId="77777777" w:rsidR="00175788" w:rsidRDefault="00175788" w:rsidP="002352BE">
      <w:pPr>
        <w:spacing w:before="100" w:after="100"/>
        <w:jc w:val="center"/>
      </w:pPr>
    </w:p>
    <w:p w14:paraId="5AE3C35B" w14:textId="77777777" w:rsidR="00175788" w:rsidRDefault="000E5420" w:rsidP="002352BE">
      <w:pPr>
        <w:pBdr>
          <w:left w:val="single" w:sz="18" w:space="4" w:color="D4A017"/>
        </w:pBdr>
        <w:shd w:val="clear" w:color="auto" w:fill="1A6B72"/>
        <w:spacing w:before="280" w:after="120"/>
        <w:ind w:left="200" w:right="200"/>
        <w:jc w:val="center"/>
      </w:pPr>
      <w:r>
        <w:rPr>
          <w:b/>
          <w:bCs/>
          <w:color w:val="FFFFFF"/>
          <w:sz w:val="36"/>
          <w:szCs w:val="36"/>
          <w:rtl/>
        </w:rPr>
        <w:t>أولاً: مظاهر وعوامل اليقظة الفكرية بالمشرق في القرن 19م</w:t>
      </w:r>
    </w:p>
    <w:p w14:paraId="6ECA6D85" w14:textId="77777777" w:rsidR="00175788" w:rsidRDefault="000E5420" w:rsidP="002352BE">
      <w:pPr>
        <w:shd w:val="clear" w:color="auto" w:fill="D4A017"/>
        <w:spacing w:before="200" w:after="100"/>
        <w:ind w:right="160"/>
        <w:jc w:val="center"/>
      </w:pPr>
      <w:r>
        <w:rPr>
          <w:b/>
          <w:bCs/>
          <w:color w:val="FFFFFF"/>
          <w:sz w:val="30"/>
          <w:szCs w:val="30"/>
          <w:rtl/>
        </w:rPr>
        <w:t>1 – مظاهر اليقظة الفكرية بالمشرق العربي</w:t>
      </w:r>
    </w:p>
    <w:p w14:paraId="66D883FF" w14:textId="77777777" w:rsidR="00175788" w:rsidRDefault="000E5420" w:rsidP="002352BE">
      <w:pPr>
        <w:spacing w:before="80" w:after="80" w:line="340" w:lineRule="auto"/>
        <w:ind w:right="200"/>
        <w:jc w:val="center"/>
      </w:pPr>
      <w:r>
        <w:rPr>
          <w:color w:val="1A1A2E"/>
          <w:rtl/>
        </w:rPr>
        <w:t>شكّل ظهور المطابع ونشر الكتب والصحف والمجلات أحد أهم مظاهر اليقظة الفكرية في المشرق العربي، حيث أُسِّست أول مطبعة سنة 1789م (المطبعة الأهلية بمصر)، واهتمت الكتب بإحياء التراث الفكري العربي الإسلامي، فضلاً عن الإنتاجات الفكرية والعلمية الغربية.</w:t>
      </w:r>
    </w:p>
    <w:p w14:paraId="1B4CB112" w14:textId="77777777" w:rsidR="00175788" w:rsidRDefault="000E5420" w:rsidP="002352BE">
      <w:pPr>
        <w:spacing w:before="80" w:after="80" w:line="340" w:lineRule="auto"/>
        <w:ind w:right="200"/>
        <w:jc w:val="center"/>
      </w:pPr>
      <w:r>
        <w:rPr>
          <w:color w:val="1A1A2E"/>
          <w:rtl/>
        </w:rPr>
        <w:t>وفي الفترة ذاتها، انتشرت الترجمة كمظهر آخر لليقظة الفكرية، وقاد هذه الحركة شبابٌ تلقّوا تعليمهم في أوروبا ضمن البعثات الطلابية، من أمثال رفاعة رافع الطهطاوي الذي أُوفد على عهد محمد علي باشا.</w:t>
      </w:r>
    </w:p>
    <w:p w14:paraId="6831B470" w14:textId="77777777" w:rsidR="00175788" w:rsidRDefault="000E5420" w:rsidP="002352BE">
      <w:pPr>
        <w:spacing w:before="80" w:after="80" w:line="340" w:lineRule="auto"/>
        <w:ind w:right="200"/>
        <w:jc w:val="center"/>
      </w:pPr>
      <w:r>
        <w:rPr>
          <w:color w:val="1A1A2E"/>
          <w:rtl/>
        </w:rPr>
        <w:t>كما لعبت الصحف والمجلات والكتب دوراً محورياً في تشكيل الوعي العربي إزاء الأوضاع السياسية والاجتماعية والفكرية المزرية، والسعي إلى إيجاد الحلول الناجعة لها.</w:t>
      </w:r>
    </w:p>
    <w:p w14:paraId="55E40FAB" w14:textId="77777777" w:rsidR="00175788" w:rsidRDefault="000E5420" w:rsidP="002352BE">
      <w:pPr>
        <w:spacing w:before="80" w:after="80" w:line="340" w:lineRule="auto"/>
        <w:ind w:right="200"/>
        <w:jc w:val="center"/>
      </w:pPr>
      <w:r>
        <w:rPr>
          <w:color w:val="1A1A2E"/>
          <w:rtl/>
        </w:rPr>
        <w:t>ولا يمكن إغفال دور ظهور المدارس والكليات، وتعليم المرأة، ونشوء الجمعيات الثقافية الرامية إلى إحياء اللغة العربية، ضمن أبرز مظاهر هذه اليقظة.</w:t>
      </w:r>
    </w:p>
    <w:p w14:paraId="2939EAF0" w14:textId="77777777" w:rsidR="00175788" w:rsidRDefault="00175788" w:rsidP="002352BE">
      <w:pPr>
        <w:spacing w:before="80" w:after="80"/>
        <w:jc w:val="center"/>
      </w:pPr>
    </w:p>
    <w:p w14:paraId="2DF6CE88" w14:textId="77777777" w:rsidR="00175788" w:rsidRDefault="000E5420" w:rsidP="002352BE">
      <w:pPr>
        <w:shd w:val="clear" w:color="auto" w:fill="D4A017"/>
        <w:spacing w:before="200" w:after="100"/>
        <w:ind w:right="160"/>
        <w:jc w:val="center"/>
      </w:pPr>
      <w:r>
        <w:rPr>
          <w:b/>
          <w:bCs/>
          <w:color w:val="FFFFFF"/>
          <w:sz w:val="30"/>
          <w:szCs w:val="30"/>
          <w:rtl/>
        </w:rPr>
        <w:lastRenderedPageBreak/>
        <w:t>2 – عوامل اليقظة الفكرية</w:t>
      </w:r>
    </w:p>
    <w:p w14:paraId="705E0CF9" w14:textId="77777777" w:rsidR="00175788" w:rsidRDefault="000E5420" w:rsidP="002352BE">
      <w:pPr>
        <w:spacing w:before="80" w:after="80" w:line="340" w:lineRule="auto"/>
        <w:ind w:right="200"/>
        <w:jc w:val="center"/>
      </w:pPr>
      <w:r>
        <w:rPr>
          <w:color w:val="1A1A2E"/>
          <w:rtl/>
        </w:rPr>
        <w:t>يمكن تصنيف عوامل اليقظة العربية في بلاد الشام ومصر إلى ثلاثة مستويات أساسية:</w:t>
      </w:r>
    </w:p>
    <w:p w14:paraId="632496EE" w14:textId="77777777" w:rsidR="00175788" w:rsidRDefault="00175788" w:rsidP="002352BE">
      <w:pPr>
        <w:spacing w:before="40" w:after="40"/>
        <w:jc w:val="center"/>
      </w:pPr>
    </w:p>
    <w:p w14:paraId="0DBF06A6" w14:textId="77777777" w:rsidR="00175788" w:rsidRDefault="000E5420" w:rsidP="002352BE">
      <w:pPr>
        <w:shd w:val="clear" w:color="auto" w:fill="E8F4F5"/>
        <w:spacing w:before="200" w:after="100"/>
        <w:ind w:right="160"/>
        <w:jc w:val="center"/>
      </w:pPr>
      <w:r>
        <w:rPr>
          <w:b/>
          <w:bCs/>
          <w:color w:val="1A6B72"/>
          <w:sz w:val="28"/>
          <w:szCs w:val="28"/>
          <w:rtl/>
        </w:rPr>
        <w:t>أ – المستوى السياسي</w:t>
      </w:r>
    </w:p>
    <w:p w14:paraId="746ECE24" w14:textId="77777777" w:rsidR="00175788" w:rsidRDefault="000E5420" w:rsidP="002352BE">
      <w:pPr>
        <w:spacing w:before="60" w:after="60" w:line="320" w:lineRule="auto"/>
        <w:ind w:left="200" w:right="360"/>
        <w:jc w:val="center"/>
      </w:pPr>
      <w:r>
        <w:rPr>
          <w:b/>
          <w:bCs/>
          <w:color w:val="D4A017"/>
          <w:rtl/>
        </w:rPr>
        <w:t xml:space="preserve">◄  </w:t>
      </w:r>
      <w:r>
        <w:rPr>
          <w:color w:val="1A1A2E"/>
          <w:rtl/>
        </w:rPr>
        <w:t>جاءت الحملة الفرنسية على مصر كنافذة اطّلع من خلالها المصريون على مدى تطور الأوروبيين وتقدمهم، خاصةً أن حملة نابليون لم تكن عسكرية فحسب، بل علمية أيضاً، إذ ضمّت علماء وأطباء ومهندسين وأتت بتقنيات الطباعة.</w:t>
      </w:r>
    </w:p>
    <w:p w14:paraId="59E731FD" w14:textId="77777777" w:rsidR="00175788" w:rsidRDefault="000E5420" w:rsidP="002352BE">
      <w:pPr>
        <w:spacing w:before="60" w:after="60" w:line="320" w:lineRule="auto"/>
        <w:ind w:left="200" w:right="360"/>
        <w:jc w:val="center"/>
      </w:pPr>
      <w:r>
        <w:rPr>
          <w:b/>
          <w:bCs/>
          <w:color w:val="D4A017"/>
          <w:rtl/>
        </w:rPr>
        <w:t xml:space="preserve">◄  </w:t>
      </w:r>
      <w:r>
        <w:rPr>
          <w:color w:val="1A1A2E"/>
          <w:rtl/>
        </w:rPr>
        <w:t>غدا انحطاط السلطة العثمانية عبئاً ثقيلاً على الشعوب العربية، لا سيما في مواجهة الأطماع الاستعمارية الأوروبية المتنامية وعجز العثمانيين عن التصدي لها (احتلال الجزائر نموذجاً).</w:t>
      </w:r>
    </w:p>
    <w:p w14:paraId="15759AF1" w14:textId="77777777" w:rsidR="00175788" w:rsidRDefault="000E5420" w:rsidP="002352BE">
      <w:pPr>
        <w:spacing w:before="60" w:after="60" w:line="320" w:lineRule="auto"/>
        <w:ind w:left="200" w:right="360"/>
        <w:jc w:val="center"/>
      </w:pPr>
      <w:r>
        <w:rPr>
          <w:b/>
          <w:bCs/>
          <w:color w:val="D4A017"/>
          <w:rtl/>
        </w:rPr>
        <w:t xml:space="preserve">◄  </w:t>
      </w:r>
      <w:r>
        <w:rPr>
          <w:color w:val="1A1A2E"/>
          <w:rtl/>
        </w:rPr>
        <w:t xml:space="preserve">أسهمت سياسة </w:t>
      </w:r>
      <w:proofErr w:type="spellStart"/>
      <w:r>
        <w:rPr>
          <w:color w:val="1A1A2E"/>
          <w:rtl/>
        </w:rPr>
        <w:t>التتريك</w:t>
      </w:r>
      <w:proofErr w:type="spellEnd"/>
      <w:r>
        <w:rPr>
          <w:color w:val="1A1A2E"/>
          <w:rtl/>
        </w:rPr>
        <w:t xml:space="preserve"> والتعصب القومي التركي في إذكاء روح القومية العربية والشعور بالهوية المستقلة.</w:t>
      </w:r>
    </w:p>
    <w:p w14:paraId="5BC5D5D5" w14:textId="77777777" w:rsidR="00175788" w:rsidRDefault="000E5420" w:rsidP="002352BE">
      <w:pPr>
        <w:spacing w:before="60" w:after="60" w:line="320" w:lineRule="auto"/>
        <w:ind w:left="200" w:right="360"/>
        <w:jc w:val="center"/>
      </w:pPr>
      <w:r>
        <w:rPr>
          <w:b/>
          <w:bCs/>
          <w:color w:val="D4A017"/>
          <w:rtl/>
        </w:rPr>
        <w:t xml:space="preserve">◄  </w:t>
      </w:r>
      <w:r>
        <w:rPr>
          <w:color w:val="1A1A2E"/>
          <w:rtl/>
        </w:rPr>
        <w:t>أدّت إصلاحات محمد علي باشا دوراً محورياً في التمهيد للنهضة العربية، من خلال تحديث مصر، وإيفاد البعثات الطلابية إلى أوروبا، والإسهام في عمليات الترجمة الواسعة، وتطوير البلاد على النمط الأوروبي.</w:t>
      </w:r>
    </w:p>
    <w:p w14:paraId="4FA934C1" w14:textId="77777777" w:rsidR="00175788" w:rsidRDefault="00175788" w:rsidP="002352BE">
      <w:pPr>
        <w:spacing w:before="40" w:after="40"/>
        <w:jc w:val="center"/>
      </w:pPr>
    </w:p>
    <w:p w14:paraId="2959AAEE" w14:textId="77777777" w:rsidR="00175788" w:rsidRDefault="000E5420" w:rsidP="002352BE">
      <w:pPr>
        <w:shd w:val="clear" w:color="auto" w:fill="E8F4F5"/>
        <w:spacing w:before="200" w:after="100"/>
        <w:ind w:right="160"/>
        <w:jc w:val="center"/>
      </w:pPr>
      <w:r>
        <w:rPr>
          <w:b/>
          <w:bCs/>
          <w:color w:val="1A6B72"/>
          <w:sz w:val="28"/>
          <w:szCs w:val="28"/>
          <w:rtl/>
        </w:rPr>
        <w:t>ب – المستوى الاجتماعي</w:t>
      </w:r>
    </w:p>
    <w:p w14:paraId="6FFF25A1" w14:textId="77777777" w:rsidR="00175788" w:rsidRDefault="000E5420" w:rsidP="002352BE">
      <w:pPr>
        <w:spacing w:before="60" w:after="60" w:line="320" w:lineRule="auto"/>
        <w:ind w:left="200" w:right="360"/>
        <w:jc w:val="center"/>
      </w:pPr>
      <w:r>
        <w:rPr>
          <w:b/>
          <w:bCs/>
          <w:color w:val="D4A017"/>
          <w:rtl/>
        </w:rPr>
        <w:t xml:space="preserve">◄  </w:t>
      </w:r>
      <w:r>
        <w:rPr>
          <w:color w:val="1A1A2E"/>
          <w:rtl/>
        </w:rPr>
        <w:t>أسهمت إصلاحات محمد علي في بروز طبقة اجتماعية وسطى في مصر والشام (تجار – موظفون – مفكرون)، اضطلعت بدور بارز في احتضان اليقظة الفكرية.</w:t>
      </w:r>
    </w:p>
    <w:p w14:paraId="2A538208" w14:textId="77777777" w:rsidR="00175788" w:rsidRDefault="000E5420" w:rsidP="002352BE">
      <w:pPr>
        <w:spacing w:before="60" w:after="60" w:line="320" w:lineRule="auto"/>
        <w:ind w:left="200" w:right="360"/>
        <w:jc w:val="center"/>
      </w:pPr>
      <w:r>
        <w:rPr>
          <w:b/>
          <w:bCs/>
          <w:color w:val="D4A017"/>
          <w:rtl/>
        </w:rPr>
        <w:t xml:space="preserve">◄  </w:t>
      </w:r>
      <w:r>
        <w:rPr>
          <w:color w:val="1A1A2E"/>
          <w:rtl/>
        </w:rPr>
        <w:t>أدّت البعثات التبشيرية دوراً مهماً في خلق دينامية فكرية في أوساط المسيحيين، والدعوة إلى تعليم المرأة.</w:t>
      </w:r>
    </w:p>
    <w:p w14:paraId="60B04000" w14:textId="77777777" w:rsidR="00175788" w:rsidRDefault="000E5420" w:rsidP="002352BE">
      <w:pPr>
        <w:spacing w:before="60" w:after="60" w:line="320" w:lineRule="auto"/>
        <w:ind w:left="200" w:right="360"/>
        <w:jc w:val="center"/>
      </w:pPr>
      <w:r>
        <w:rPr>
          <w:b/>
          <w:bCs/>
          <w:color w:val="D4A017"/>
          <w:rtl/>
        </w:rPr>
        <w:t xml:space="preserve">◄  </w:t>
      </w:r>
      <w:r>
        <w:rPr>
          <w:color w:val="1A1A2E"/>
          <w:rtl/>
        </w:rPr>
        <w:t>صاحبتها حركة إسلامية قادتها جمعيات دعت إلى إحياء التراث العربي ونشر التعليم في الأوساط الإسلامية.</w:t>
      </w:r>
    </w:p>
    <w:p w14:paraId="64942AB2" w14:textId="77777777" w:rsidR="00175788" w:rsidRDefault="00175788" w:rsidP="002352BE">
      <w:pPr>
        <w:spacing w:before="40" w:after="40"/>
        <w:jc w:val="center"/>
      </w:pPr>
    </w:p>
    <w:p w14:paraId="2336E1AE" w14:textId="77777777" w:rsidR="00175788" w:rsidRDefault="000E5420" w:rsidP="002352BE">
      <w:pPr>
        <w:shd w:val="clear" w:color="auto" w:fill="E8F4F5"/>
        <w:spacing w:before="200" w:after="100"/>
        <w:ind w:right="160"/>
        <w:jc w:val="center"/>
      </w:pPr>
      <w:r>
        <w:rPr>
          <w:b/>
          <w:bCs/>
          <w:color w:val="1A6B72"/>
          <w:sz w:val="28"/>
          <w:szCs w:val="28"/>
          <w:rtl/>
        </w:rPr>
        <w:t>ج – المستوى الثقافي</w:t>
      </w:r>
    </w:p>
    <w:p w14:paraId="0B7CA316" w14:textId="77777777" w:rsidR="00175788" w:rsidRDefault="000E5420" w:rsidP="002352BE">
      <w:pPr>
        <w:spacing w:before="60" w:after="60" w:line="320" w:lineRule="auto"/>
        <w:ind w:left="200" w:right="360"/>
        <w:jc w:val="center"/>
      </w:pPr>
      <w:r>
        <w:rPr>
          <w:b/>
          <w:bCs/>
          <w:color w:val="D4A017"/>
          <w:rtl/>
        </w:rPr>
        <w:t xml:space="preserve">◄  </w:t>
      </w:r>
      <w:r>
        <w:rPr>
          <w:color w:val="1A1A2E"/>
          <w:rtl/>
        </w:rPr>
        <w:t>أسهم ظهور المطابع في نشر الصحف والمجلات والكتب التي رسّخت الثقافة وعزّزت إحياء التراث العربي الإسلامي، وساعدت بالتوازي مع حركة ترجمة واسعة في نشر الفكر الغربي الحديث.</w:t>
      </w:r>
    </w:p>
    <w:p w14:paraId="4789326C" w14:textId="77777777" w:rsidR="00175788" w:rsidRDefault="000E5420" w:rsidP="002352BE">
      <w:pPr>
        <w:spacing w:before="60" w:after="60" w:line="320" w:lineRule="auto"/>
        <w:ind w:left="200" w:right="360"/>
        <w:jc w:val="center"/>
      </w:pPr>
      <w:r>
        <w:rPr>
          <w:b/>
          <w:bCs/>
          <w:color w:val="D4A017"/>
          <w:rtl/>
        </w:rPr>
        <w:t xml:space="preserve">◄  </w:t>
      </w:r>
      <w:r>
        <w:rPr>
          <w:color w:val="1A1A2E"/>
          <w:rtl/>
        </w:rPr>
        <w:t>ساهمت الجمعيات الثقافية والعلمية، كالجمعية العلمية السورية التي أسّسها بطرس البستاني، في إحياء اللغة العربية وقواعدها.</w:t>
      </w:r>
    </w:p>
    <w:p w14:paraId="7560323F" w14:textId="77777777" w:rsidR="00175788" w:rsidRDefault="000E5420" w:rsidP="002352BE">
      <w:pPr>
        <w:spacing w:before="60" w:after="60" w:line="320" w:lineRule="auto"/>
        <w:ind w:left="200" w:right="360"/>
        <w:jc w:val="center"/>
      </w:pPr>
      <w:r>
        <w:rPr>
          <w:b/>
          <w:bCs/>
          <w:color w:val="D4A017"/>
          <w:rtl/>
        </w:rPr>
        <w:t xml:space="preserve">◄  </w:t>
      </w:r>
      <w:r>
        <w:rPr>
          <w:color w:val="1A1A2E"/>
          <w:rtl/>
        </w:rPr>
        <w:t>جرى ذلك كله في مناخ ثقافي اتّسم بروح التسامح والتعاون بين أبناء الأمة العربية على اختلاف دياناتهم.</w:t>
      </w:r>
    </w:p>
    <w:p w14:paraId="06749300" w14:textId="77777777" w:rsidR="00175788" w:rsidRDefault="00175788" w:rsidP="002352BE">
      <w:pPr>
        <w:spacing w:before="120" w:after="120"/>
        <w:jc w:val="center"/>
      </w:pPr>
    </w:p>
    <w:p w14:paraId="41382112" w14:textId="77777777" w:rsidR="00175788" w:rsidRDefault="000E5420" w:rsidP="002352BE">
      <w:pPr>
        <w:pBdr>
          <w:left w:val="single" w:sz="18" w:space="4" w:color="D4A017"/>
        </w:pBdr>
        <w:shd w:val="clear" w:color="auto" w:fill="1A6B72"/>
        <w:spacing w:before="280" w:after="120"/>
        <w:ind w:left="200" w:right="200"/>
        <w:jc w:val="center"/>
      </w:pPr>
      <w:r>
        <w:rPr>
          <w:b/>
          <w:bCs/>
          <w:color w:val="FFFFFF"/>
          <w:sz w:val="36"/>
          <w:szCs w:val="36"/>
          <w:rtl/>
        </w:rPr>
        <w:t>ثانياً: أهم تيارات اليقظة الفكرية وأفكار كل تيار</w:t>
      </w:r>
    </w:p>
    <w:p w14:paraId="2159809D" w14:textId="77777777" w:rsidR="00175788" w:rsidRDefault="000E5420" w:rsidP="002352BE">
      <w:pPr>
        <w:shd w:val="clear" w:color="auto" w:fill="D4A017"/>
        <w:spacing w:before="200" w:after="100"/>
        <w:ind w:right="160"/>
        <w:jc w:val="center"/>
      </w:pPr>
      <w:r>
        <w:rPr>
          <w:b/>
          <w:bCs/>
          <w:color w:val="FFFFFF"/>
          <w:sz w:val="30"/>
          <w:szCs w:val="30"/>
          <w:rtl/>
        </w:rPr>
        <w:t>1 – التياران السلفي والعلماني: أفكارهما ورواد كل منهما</w:t>
      </w:r>
    </w:p>
    <w:p w14:paraId="01A7CF0C" w14:textId="77777777" w:rsidR="00175788" w:rsidRDefault="000E5420" w:rsidP="002352BE">
      <w:pPr>
        <w:spacing w:before="80" w:after="80" w:line="340" w:lineRule="auto"/>
        <w:ind w:right="200"/>
        <w:jc w:val="center"/>
      </w:pPr>
      <w:r>
        <w:rPr>
          <w:color w:val="1A1A2E"/>
          <w:rtl/>
        </w:rPr>
        <w:lastRenderedPageBreak/>
        <w:t xml:space="preserve">منذ منتصف القرن التاسع عشر الميلادي، عرف المشرق العربي جملةً من التيارات الفكرية، كان أبرزها التياران السلفي والعلماني، وقد حاول كلٌّ منهما، انطلاقاً من </w:t>
      </w:r>
      <w:proofErr w:type="spellStart"/>
      <w:r>
        <w:rPr>
          <w:color w:val="1A1A2E"/>
          <w:rtl/>
        </w:rPr>
        <w:t>مرجعيته</w:t>
      </w:r>
      <w:proofErr w:type="spellEnd"/>
      <w:r>
        <w:rPr>
          <w:color w:val="1A1A2E"/>
          <w:rtl/>
        </w:rPr>
        <w:t xml:space="preserve"> الخاصة، الإجابة على التحدي المزدوج للتخلف والتبعية. فجاء الجواب السلفي بالعودة إلى الدين والسلف الصالح، في حين دعا التيار العلماني إلى فصل الدين عن الدولة والأخذ بمناهج الحداثة.</w:t>
      </w:r>
    </w:p>
    <w:p w14:paraId="1DBEA1D4" w14:textId="77777777" w:rsidR="00175788" w:rsidRDefault="00175788" w:rsidP="002352BE">
      <w:pPr>
        <w:spacing w:before="80" w:after="80"/>
        <w:jc w:val="center"/>
      </w:pPr>
    </w:p>
    <w:tbl>
      <w:tblPr>
        <w:bidiVisual/>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500"/>
        <w:gridCol w:w="2500"/>
      </w:tblGrid>
      <w:tr w:rsidR="00175788" w14:paraId="5D46E06B" w14:textId="77777777">
        <w:tblPrEx>
          <w:tblCellMar>
            <w:top w:w="0" w:type="dxa"/>
            <w:bottom w:w="0" w:type="dxa"/>
          </w:tblCellMar>
        </w:tblPrEx>
        <w:tc>
          <w:tcPr>
            <w:tcW w:w="1800" w:type="dxa"/>
            <w:tcBorders>
              <w:top w:val="single" w:sz="6" w:space="0" w:color="D4A017"/>
              <w:left w:val="single" w:sz="6" w:space="0" w:color="D4A017"/>
              <w:bottom w:val="single" w:sz="6" w:space="0" w:color="D4A017"/>
              <w:right w:val="single" w:sz="6" w:space="0" w:color="D4A017"/>
            </w:tcBorders>
            <w:shd w:val="clear" w:color="auto" w:fill="1A6B72"/>
            <w:tcMar>
              <w:top w:w="100" w:type="dxa"/>
              <w:left w:w="140" w:type="dxa"/>
              <w:bottom w:w="100" w:type="dxa"/>
              <w:right w:w="140" w:type="dxa"/>
            </w:tcMar>
            <w:vAlign w:val="center"/>
          </w:tcPr>
          <w:p w14:paraId="35530AC6" w14:textId="77777777" w:rsidR="00175788" w:rsidRDefault="000E5420" w:rsidP="002352BE">
            <w:pPr>
              <w:jc w:val="center"/>
            </w:pPr>
            <w:r>
              <w:rPr>
                <w:b/>
                <w:bCs/>
                <w:color w:val="FFFFFF"/>
                <w:sz w:val="28"/>
                <w:szCs w:val="28"/>
                <w:rtl/>
              </w:rPr>
              <w:t>الرواد</w:t>
            </w:r>
          </w:p>
        </w:tc>
        <w:tc>
          <w:tcPr>
            <w:tcW w:w="2000" w:type="dxa"/>
            <w:tcBorders>
              <w:top w:val="single" w:sz="6" w:space="0" w:color="D4A017"/>
              <w:left w:val="single" w:sz="6" w:space="0" w:color="D4A017"/>
              <w:bottom w:val="single" w:sz="6" w:space="0" w:color="D4A017"/>
              <w:right w:val="single" w:sz="6" w:space="0" w:color="D4A017"/>
            </w:tcBorders>
            <w:shd w:val="clear" w:color="auto" w:fill="1A6B72"/>
            <w:tcMar>
              <w:top w:w="100" w:type="dxa"/>
              <w:left w:w="140" w:type="dxa"/>
              <w:bottom w:w="100" w:type="dxa"/>
              <w:right w:w="140" w:type="dxa"/>
            </w:tcMar>
            <w:vAlign w:val="center"/>
          </w:tcPr>
          <w:p w14:paraId="4DD11B38" w14:textId="77777777" w:rsidR="00175788" w:rsidRDefault="000E5420" w:rsidP="002352BE">
            <w:pPr>
              <w:jc w:val="center"/>
            </w:pPr>
            <w:r>
              <w:rPr>
                <w:b/>
                <w:bCs/>
                <w:color w:val="FFFFFF"/>
                <w:sz w:val="28"/>
                <w:szCs w:val="28"/>
                <w:rtl/>
              </w:rPr>
              <w:t>الدين</w:t>
            </w:r>
          </w:p>
        </w:tc>
        <w:tc>
          <w:tcPr>
            <w:tcW w:w="2500" w:type="dxa"/>
            <w:tcBorders>
              <w:top w:val="single" w:sz="6" w:space="0" w:color="D4A017"/>
              <w:left w:val="single" w:sz="6" w:space="0" w:color="D4A017"/>
              <w:bottom w:val="single" w:sz="6" w:space="0" w:color="D4A017"/>
              <w:right w:val="single" w:sz="6" w:space="0" w:color="D4A017"/>
            </w:tcBorders>
            <w:shd w:val="clear" w:color="auto" w:fill="1A6B72"/>
            <w:tcMar>
              <w:top w:w="100" w:type="dxa"/>
              <w:left w:w="140" w:type="dxa"/>
              <w:bottom w:w="100" w:type="dxa"/>
              <w:right w:w="140" w:type="dxa"/>
            </w:tcMar>
            <w:vAlign w:val="center"/>
          </w:tcPr>
          <w:p w14:paraId="6A0E07E6" w14:textId="77777777" w:rsidR="00175788" w:rsidRDefault="000E5420" w:rsidP="002352BE">
            <w:pPr>
              <w:jc w:val="center"/>
            </w:pPr>
            <w:r>
              <w:rPr>
                <w:b/>
                <w:bCs/>
                <w:color w:val="FFFFFF"/>
                <w:sz w:val="28"/>
                <w:szCs w:val="28"/>
                <w:rtl/>
              </w:rPr>
              <w:t>السياسة</w:t>
            </w:r>
          </w:p>
        </w:tc>
        <w:tc>
          <w:tcPr>
            <w:tcW w:w="2500" w:type="dxa"/>
            <w:tcBorders>
              <w:top w:val="single" w:sz="6" w:space="0" w:color="D4A017"/>
              <w:left w:val="single" w:sz="6" w:space="0" w:color="D4A017"/>
              <w:bottom w:val="single" w:sz="6" w:space="0" w:color="D4A017"/>
              <w:right w:val="single" w:sz="6" w:space="0" w:color="D4A017"/>
            </w:tcBorders>
            <w:shd w:val="clear" w:color="auto" w:fill="1A6B72"/>
            <w:tcMar>
              <w:top w:w="100" w:type="dxa"/>
              <w:left w:w="140" w:type="dxa"/>
              <w:bottom w:w="100" w:type="dxa"/>
              <w:right w:w="140" w:type="dxa"/>
            </w:tcMar>
            <w:vAlign w:val="center"/>
          </w:tcPr>
          <w:p w14:paraId="3751EEE7" w14:textId="77777777" w:rsidR="00175788" w:rsidRDefault="000E5420" w:rsidP="002352BE">
            <w:pPr>
              <w:jc w:val="center"/>
            </w:pPr>
            <w:r>
              <w:rPr>
                <w:b/>
                <w:bCs/>
                <w:color w:val="FFFFFF"/>
                <w:sz w:val="28"/>
                <w:szCs w:val="28"/>
                <w:rtl/>
              </w:rPr>
              <w:t>المجتمع</w:t>
            </w:r>
          </w:p>
        </w:tc>
      </w:tr>
      <w:tr w:rsidR="00175788" w14:paraId="70D5D3A7" w14:textId="77777777">
        <w:tblPrEx>
          <w:tblCellMar>
            <w:top w:w="0" w:type="dxa"/>
            <w:bottom w:w="0" w:type="dxa"/>
          </w:tblCellMar>
        </w:tblPrEx>
        <w:tc>
          <w:tcPr>
            <w:tcW w:w="8800" w:type="dxa"/>
            <w:gridSpan w:val="4"/>
            <w:tcBorders>
              <w:top w:val="single" w:sz="6" w:space="0" w:color="D4A017"/>
              <w:left w:val="single" w:sz="6" w:space="0" w:color="D4A017"/>
              <w:bottom w:val="single" w:sz="6" w:space="0" w:color="D4A017"/>
              <w:right w:val="single" w:sz="6" w:space="0" w:color="D4A017"/>
            </w:tcBorders>
            <w:shd w:val="clear" w:color="auto" w:fill="1A6B72"/>
            <w:tcMar>
              <w:top w:w="80" w:type="dxa"/>
              <w:left w:w="140" w:type="dxa"/>
              <w:bottom w:w="80" w:type="dxa"/>
              <w:right w:w="140" w:type="dxa"/>
            </w:tcMar>
          </w:tcPr>
          <w:p w14:paraId="031C542C" w14:textId="77777777" w:rsidR="00175788" w:rsidRDefault="000E5420" w:rsidP="002352BE">
            <w:pPr>
              <w:jc w:val="center"/>
            </w:pPr>
            <w:r>
              <w:rPr>
                <w:b/>
                <w:bCs/>
                <w:color w:val="D4A017"/>
                <w:sz w:val="28"/>
                <w:szCs w:val="28"/>
                <w:rtl/>
              </w:rPr>
              <w:t>التيار الليبرالي العلماني</w:t>
            </w:r>
          </w:p>
        </w:tc>
      </w:tr>
      <w:tr w:rsidR="00175788" w14:paraId="27873E90" w14:textId="77777777">
        <w:tblPrEx>
          <w:tblCellMar>
            <w:top w:w="0" w:type="dxa"/>
            <w:bottom w:w="0" w:type="dxa"/>
          </w:tblCellMar>
        </w:tblPrEx>
        <w:tc>
          <w:tcPr>
            <w:tcW w:w="1800" w:type="dxa"/>
            <w:tcBorders>
              <w:top w:val="single" w:sz="4" w:space="0" w:color="1A6B72"/>
              <w:left w:val="single" w:sz="4" w:space="0" w:color="1A6B72"/>
              <w:bottom w:val="single" w:sz="4" w:space="0" w:color="1A6B72"/>
              <w:right w:val="single" w:sz="4" w:space="0" w:color="1A6B72"/>
            </w:tcBorders>
            <w:shd w:val="clear" w:color="auto" w:fill="FDF3D0"/>
            <w:tcMar>
              <w:top w:w="80" w:type="dxa"/>
              <w:left w:w="120" w:type="dxa"/>
              <w:bottom w:w="80" w:type="dxa"/>
              <w:right w:w="120" w:type="dxa"/>
            </w:tcMar>
          </w:tcPr>
          <w:p w14:paraId="5625AC4C" w14:textId="77777777" w:rsidR="00175788" w:rsidRDefault="000E5420" w:rsidP="002352BE">
            <w:pPr>
              <w:spacing w:before="40" w:after="40" w:line="300" w:lineRule="auto"/>
              <w:jc w:val="center"/>
            </w:pPr>
            <w:r>
              <w:rPr>
                <w:color w:val="1A1A2E"/>
                <w:sz w:val="24"/>
                <w:szCs w:val="24"/>
                <w:rtl/>
              </w:rPr>
              <w:t>قاسم أمين</w:t>
            </w:r>
          </w:p>
          <w:p w14:paraId="7E4FCF53" w14:textId="77777777" w:rsidR="00175788" w:rsidRDefault="000E5420" w:rsidP="002352BE">
            <w:pPr>
              <w:spacing w:before="40" w:after="40" w:line="300" w:lineRule="auto"/>
              <w:jc w:val="center"/>
            </w:pPr>
            <w:r>
              <w:rPr>
                <w:color w:val="1A1A2E"/>
                <w:sz w:val="24"/>
                <w:szCs w:val="24"/>
                <w:rtl/>
              </w:rPr>
              <w:t>بطرس البستاني</w:t>
            </w:r>
          </w:p>
          <w:p w14:paraId="56D19CAF" w14:textId="77777777" w:rsidR="00175788" w:rsidRDefault="000E5420" w:rsidP="002352BE">
            <w:pPr>
              <w:spacing w:before="40" w:after="40" w:line="300" w:lineRule="auto"/>
              <w:jc w:val="center"/>
            </w:pPr>
            <w:r>
              <w:rPr>
                <w:color w:val="1A1A2E"/>
                <w:sz w:val="24"/>
                <w:szCs w:val="24"/>
                <w:rtl/>
              </w:rPr>
              <w:t>إسحاق أديب</w:t>
            </w:r>
          </w:p>
          <w:p w14:paraId="4274D73E" w14:textId="77777777" w:rsidR="00175788" w:rsidRDefault="000E5420" w:rsidP="002352BE">
            <w:pPr>
              <w:spacing w:before="40" w:after="40" w:line="300" w:lineRule="auto"/>
              <w:jc w:val="center"/>
            </w:pPr>
            <w:r>
              <w:rPr>
                <w:color w:val="1A1A2E"/>
                <w:sz w:val="24"/>
                <w:szCs w:val="24"/>
                <w:rtl/>
              </w:rPr>
              <w:t>رفاعة الطهطاوي</w:t>
            </w:r>
          </w:p>
        </w:tc>
        <w:tc>
          <w:tcPr>
            <w:tcW w:w="2000" w:type="dxa"/>
            <w:tcBorders>
              <w:top w:val="single" w:sz="4" w:space="0" w:color="1A6B72"/>
              <w:left w:val="single" w:sz="4" w:space="0" w:color="1A6B72"/>
              <w:bottom w:val="single" w:sz="4" w:space="0" w:color="1A6B72"/>
              <w:right w:val="single" w:sz="4" w:space="0" w:color="1A6B72"/>
            </w:tcBorders>
            <w:shd w:val="clear" w:color="auto" w:fill="EAF6F7"/>
            <w:tcMar>
              <w:top w:w="80" w:type="dxa"/>
              <w:left w:w="120" w:type="dxa"/>
              <w:bottom w:w="80" w:type="dxa"/>
              <w:right w:w="120" w:type="dxa"/>
            </w:tcMar>
          </w:tcPr>
          <w:p w14:paraId="17722E0F" w14:textId="77777777" w:rsidR="00175788" w:rsidRDefault="000E5420" w:rsidP="002352BE">
            <w:pPr>
              <w:spacing w:before="40" w:after="40" w:line="300" w:lineRule="auto"/>
              <w:jc w:val="center"/>
            </w:pPr>
            <w:r>
              <w:rPr>
                <w:color w:val="1A1A2E"/>
                <w:sz w:val="24"/>
                <w:szCs w:val="24"/>
                <w:rtl/>
              </w:rPr>
              <w:t>فصل الدين عن الدولة.</w:t>
            </w:r>
          </w:p>
          <w:p w14:paraId="125DA256" w14:textId="77777777" w:rsidR="00175788" w:rsidRDefault="000E5420" w:rsidP="002352BE">
            <w:pPr>
              <w:spacing w:before="40" w:after="40" w:line="300" w:lineRule="auto"/>
              <w:jc w:val="center"/>
            </w:pPr>
            <w:r>
              <w:rPr>
                <w:color w:val="1A1A2E"/>
                <w:sz w:val="24"/>
                <w:szCs w:val="24"/>
                <w:rtl/>
              </w:rPr>
              <w:t>نبذ العصبية الطائفية.</w:t>
            </w:r>
          </w:p>
          <w:p w14:paraId="2D296927" w14:textId="77777777" w:rsidR="00175788" w:rsidRDefault="000E5420" w:rsidP="002352BE">
            <w:pPr>
              <w:spacing w:before="40" w:after="40" w:line="300" w:lineRule="auto"/>
              <w:jc w:val="center"/>
            </w:pPr>
            <w:r>
              <w:rPr>
                <w:color w:val="1A1A2E"/>
                <w:sz w:val="24"/>
                <w:szCs w:val="24"/>
                <w:rtl/>
              </w:rPr>
              <w:t>الاهتمام بالتعليم العصري.</w:t>
            </w:r>
          </w:p>
        </w:tc>
        <w:tc>
          <w:tcPr>
            <w:tcW w:w="2500" w:type="dxa"/>
            <w:tcBorders>
              <w:top w:val="single" w:sz="4" w:space="0" w:color="1A6B72"/>
              <w:left w:val="single" w:sz="4" w:space="0" w:color="1A6B72"/>
              <w:bottom w:val="single" w:sz="4" w:space="0" w:color="1A6B72"/>
              <w:right w:val="single" w:sz="4" w:space="0" w:color="1A6B72"/>
            </w:tcBorders>
            <w:shd w:val="clear" w:color="auto" w:fill="FFFFFF"/>
            <w:tcMar>
              <w:top w:w="80" w:type="dxa"/>
              <w:left w:w="120" w:type="dxa"/>
              <w:bottom w:w="80" w:type="dxa"/>
              <w:right w:w="120" w:type="dxa"/>
            </w:tcMar>
          </w:tcPr>
          <w:p w14:paraId="28B3C194" w14:textId="77777777" w:rsidR="00175788" w:rsidRDefault="000E5420" w:rsidP="002352BE">
            <w:pPr>
              <w:spacing w:before="40" w:after="40" w:line="300" w:lineRule="auto"/>
              <w:jc w:val="center"/>
            </w:pPr>
            <w:r>
              <w:rPr>
                <w:color w:val="1A1A2E"/>
                <w:sz w:val="24"/>
                <w:szCs w:val="24"/>
                <w:rtl/>
              </w:rPr>
              <w:t>تحقيق نظام ليبرالي ديمقراطي دستوري.</w:t>
            </w:r>
          </w:p>
          <w:p w14:paraId="13161E63" w14:textId="77777777" w:rsidR="00175788" w:rsidRDefault="000E5420" w:rsidP="002352BE">
            <w:pPr>
              <w:spacing w:before="40" w:after="40" w:line="300" w:lineRule="auto"/>
              <w:jc w:val="center"/>
            </w:pPr>
            <w:r>
              <w:rPr>
                <w:color w:val="1A1A2E"/>
                <w:sz w:val="24"/>
                <w:szCs w:val="24"/>
                <w:rtl/>
              </w:rPr>
              <w:t>نشر الحرية والمساواة.</w:t>
            </w:r>
          </w:p>
          <w:p w14:paraId="52988AB7" w14:textId="77777777" w:rsidR="00175788" w:rsidRDefault="000E5420" w:rsidP="002352BE">
            <w:pPr>
              <w:spacing w:before="40" w:after="40" w:line="300" w:lineRule="auto"/>
              <w:jc w:val="center"/>
            </w:pPr>
            <w:r>
              <w:rPr>
                <w:color w:val="1A1A2E"/>
                <w:sz w:val="24"/>
                <w:szCs w:val="24"/>
                <w:rtl/>
              </w:rPr>
              <w:t>وضع مشروع سياسي نهضوي.</w:t>
            </w:r>
          </w:p>
        </w:tc>
        <w:tc>
          <w:tcPr>
            <w:tcW w:w="2500" w:type="dxa"/>
            <w:tcBorders>
              <w:top w:val="single" w:sz="4" w:space="0" w:color="1A6B72"/>
              <w:left w:val="single" w:sz="4" w:space="0" w:color="1A6B72"/>
              <w:bottom w:val="single" w:sz="4" w:space="0" w:color="1A6B72"/>
              <w:right w:val="single" w:sz="4" w:space="0" w:color="1A6B72"/>
            </w:tcBorders>
            <w:shd w:val="clear" w:color="auto" w:fill="EAF6F7"/>
            <w:tcMar>
              <w:top w:w="80" w:type="dxa"/>
              <w:left w:w="120" w:type="dxa"/>
              <w:bottom w:w="80" w:type="dxa"/>
              <w:right w:w="120" w:type="dxa"/>
            </w:tcMar>
          </w:tcPr>
          <w:p w14:paraId="410E64A6" w14:textId="77777777" w:rsidR="00175788" w:rsidRDefault="000E5420" w:rsidP="002352BE">
            <w:pPr>
              <w:spacing w:before="40" w:after="40" w:line="300" w:lineRule="auto"/>
              <w:jc w:val="center"/>
            </w:pPr>
            <w:r>
              <w:rPr>
                <w:color w:val="1A1A2E"/>
                <w:sz w:val="24"/>
                <w:szCs w:val="24"/>
                <w:rtl/>
              </w:rPr>
              <w:t>نبذ الفوارق الاجتماعية.</w:t>
            </w:r>
          </w:p>
          <w:p w14:paraId="603809CC" w14:textId="77777777" w:rsidR="00175788" w:rsidRDefault="000E5420" w:rsidP="002352BE">
            <w:pPr>
              <w:spacing w:before="40" w:after="40" w:line="300" w:lineRule="auto"/>
              <w:jc w:val="center"/>
            </w:pPr>
            <w:r>
              <w:rPr>
                <w:color w:val="1A1A2E"/>
                <w:sz w:val="24"/>
                <w:szCs w:val="24"/>
                <w:rtl/>
              </w:rPr>
              <w:t>تحرير المرأة.</w:t>
            </w:r>
          </w:p>
          <w:p w14:paraId="60DCBA9D" w14:textId="77777777" w:rsidR="00175788" w:rsidRDefault="000E5420" w:rsidP="002352BE">
            <w:pPr>
              <w:spacing w:before="40" w:after="40" w:line="300" w:lineRule="auto"/>
              <w:jc w:val="center"/>
            </w:pPr>
            <w:r>
              <w:rPr>
                <w:color w:val="1A1A2E"/>
                <w:sz w:val="24"/>
                <w:szCs w:val="24"/>
                <w:rtl/>
              </w:rPr>
              <w:t>تحديث المجتمع.</w:t>
            </w:r>
          </w:p>
          <w:p w14:paraId="0EEFFB45" w14:textId="77777777" w:rsidR="00175788" w:rsidRDefault="000E5420" w:rsidP="002352BE">
            <w:pPr>
              <w:spacing w:before="40" w:after="40" w:line="300" w:lineRule="auto"/>
              <w:jc w:val="center"/>
            </w:pPr>
            <w:r>
              <w:rPr>
                <w:color w:val="1A1A2E"/>
                <w:sz w:val="24"/>
                <w:szCs w:val="24"/>
                <w:rtl/>
              </w:rPr>
              <w:t>عصرنة التعليم والتربية.</w:t>
            </w:r>
          </w:p>
        </w:tc>
      </w:tr>
      <w:tr w:rsidR="00175788" w14:paraId="369F10B0" w14:textId="77777777">
        <w:tblPrEx>
          <w:tblCellMar>
            <w:top w:w="0" w:type="dxa"/>
            <w:bottom w:w="0" w:type="dxa"/>
          </w:tblCellMar>
        </w:tblPrEx>
        <w:tc>
          <w:tcPr>
            <w:tcW w:w="8800" w:type="dxa"/>
            <w:gridSpan w:val="4"/>
            <w:tcBorders>
              <w:top w:val="single" w:sz="6" w:space="0" w:color="D4A017"/>
              <w:left w:val="single" w:sz="6" w:space="0" w:color="D4A017"/>
              <w:bottom w:val="single" w:sz="6" w:space="0" w:color="D4A017"/>
              <w:right w:val="single" w:sz="6" w:space="0" w:color="D4A017"/>
            </w:tcBorders>
            <w:shd w:val="clear" w:color="auto" w:fill="1A6B72"/>
            <w:tcMar>
              <w:top w:w="80" w:type="dxa"/>
              <w:left w:w="140" w:type="dxa"/>
              <w:bottom w:w="80" w:type="dxa"/>
              <w:right w:w="140" w:type="dxa"/>
            </w:tcMar>
          </w:tcPr>
          <w:p w14:paraId="0A77F282" w14:textId="77777777" w:rsidR="00175788" w:rsidRDefault="000E5420" w:rsidP="002352BE">
            <w:pPr>
              <w:jc w:val="center"/>
            </w:pPr>
            <w:r>
              <w:rPr>
                <w:b/>
                <w:bCs/>
                <w:color w:val="D4A017"/>
                <w:sz w:val="28"/>
                <w:szCs w:val="28"/>
                <w:rtl/>
              </w:rPr>
              <w:t>التيار السلفي</w:t>
            </w:r>
          </w:p>
        </w:tc>
      </w:tr>
      <w:tr w:rsidR="00175788" w14:paraId="5D5D22A5" w14:textId="77777777">
        <w:tblPrEx>
          <w:tblCellMar>
            <w:top w:w="0" w:type="dxa"/>
            <w:bottom w:w="0" w:type="dxa"/>
          </w:tblCellMar>
        </w:tblPrEx>
        <w:tc>
          <w:tcPr>
            <w:tcW w:w="1800" w:type="dxa"/>
            <w:tcBorders>
              <w:top w:val="single" w:sz="4" w:space="0" w:color="1A6B72"/>
              <w:left w:val="single" w:sz="4" w:space="0" w:color="1A6B72"/>
              <w:bottom w:val="single" w:sz="4" w:space="0" w:color="1A6B72"/>
              <w:right w:val="single" w:sz="4" w:space="0" w:color="1A6B72"/>
            </w:tcBorders>
            <w:shd w:val="clear" w:color="auto" w:fill="FDF3D0"/>
            <w:tcMar>
              <w:top w:w="80" w:type="dxa"/>
              <w:left w:w="120" w:type="dxa"/>
              <w:bottom w:w="80" w:type="dxa"/>
              <w:right w:w="120" w:type="dxa"/>
            </w:tcMar>
          </w:tcPr>
          <w:p w14:paraId="0F4FF0E7" w14:textId="77777777" w:rsidR="00175788" w:rsidRDefault="000E5420" w:rsidP="002352BE">
            <w:pPr>
              <w:spacing w:before="40" w:after="40" w:line="300" w:lineRule="auto"/>
              <w:jc w:val="center"/>
            </w:pPr>
            <w:r>
              <w:rPr>
                <w:color w:val="1A1A2E"/>
                <w:sz w:val="24"/>
                <w:szCs w:val="24"/>
                <w:rtl/>
              </w:rPr>
              <w:t>جمال الدين الأفغاني</w:t>
            </w:r>
          </w:p>
          <w:p w14:paraId="08D993E8" w14:textId="77777777" w:rsidR="00175788" w:rsidRDefault="000E5420" w:rsidP="002352BE">
            <w:pPr>
              <w:spacing w:before="40" w:after="40" w:line="300" w:lineRule="auto"/>
              <w:jc w:val="center"/>
            </w:pPr>
            <w:r>
              <w:rPr>
                <w:color w:val="1A1A2E"/>
                <w:sz w:val="24"/>
                <w:szCs w:val="24"/>
                <w:rtl/>
              </w:rPr>
              <w:t>محمد عبده</w:t>
            </w:r>
          </w:p>
          <w:p w14:paraId="1E0BD16C" w14:textId="77777777" w:rsidR="00175788" w:rsidRDefault="000E5420" w:rsidP="002352BE">
            <w:pPr>
              <w:spacing w:before="40" w:after="40" w:line="300" w:lineRule="auto"/>
              <w:jc w:val="center"/>
            </w:pPr>
            <w:r>
              <w:rPr>
                <w:color w:val="1A1A2E"/>
                <w:sz w:val="24"/>
                <w:szCs w:val="24"/>
                <w:rtl/>
              </w:rPr>
              <w:t>عبد الرحمان الكواكبي</w:t>
            </w:r>
          </w:p>
        </w:tc>
        <w:tc>
          <w:tcPr>
            <w:tcW w:w="2000" w:type="dxa"/>
            <w:tcBorders>
              <w:top w:val="single" w:sz="4" w:space="0" w:color="1A6B72"/>
              <w:left w:val="single" w:sz="4" w:space="0" w:color="1A6B72"/>
              <w:bottom w:val="single" w:sz="4" w:space="0" w:color="1A6B72"/>
              <w:right w:val="single" w:sz="4" w:space="0" w:color="1A6B72"/>
            </w:tcBorders>
            <w:shd w:val="clear" w:color="auto" w:fill="EAF6F7"/>
            <w:tcMar>
              <w:top w:w="80" w:type="dxa"/>
              <w:left w:w="120" w:type="dxa"/>
              <w:bottom w:w="80" w:type="dxa"/>
              <w:right w:w="120" w:type="dxa"/>
            </w:tcMar>
          </w:tcPr>
          <w:p w14:paraId="466DE12B" w14:textId="77777777" w:rsidR="00175788" w:rsidRDefault="000E5420" w:rsidP="002352BE">
            <w:pPr>
              <w:spacing w:before="40" w:after="40" w:line="300" w:lineRule="auto"/>
              <w:jc w:val="center"/>
            </w:pPr>
            <w:r>
              <w:rPr>
                <w:color w:val="1A1A2E"/>
                <w:sz w:val="24"/>
                <w:szCs w:val="24"/>
                <w:rtl/>
              </w:rPr>
              <w:t>العودة إلى منابع العقيدة.</w:t>
            </w:r>
          </w:p>
          <w:p w14:paraId="00640CA9" w14:textId="77777777" w:rsidR="00175788" w:rsidRDefault="000E5420" w:rsidP="002352BE">
            <w:pPr>
              <w:spacing w:before="40" w:after="40" w:line="300" w:lineRule="auto"/>
              <w:jc w:val="center"/>
            </w:pPr>
            <w:r>
              <w:rPr>
                <w:color w:val="1A1A2E"/>
                <w:sz w:val="24"/>
                <w:szCs w:val="24"/>
                <w:rtl/>
              </w:rPr>
              <w:t>التوفيق بين العلم والدين.</w:t>
            </w:r>
          </w:p>
          <w:p w14:paraId="1946614D" w14:textId="77777777" w:rsidR="00175788" w:rsidRDefault="000E5420" w:rsidP="002352BE">
            <w:pPr>
              <w:spacing w:before="40" w:after="40" w:line="300" w:lineRule="auto"/>
              <w:jc w:val="center"/>
            </w:pPr>
            <w:r>
              <w:rPr>
                <w:color w:val="1A1A2E"/>
                <w:sz w:val="24"/>
                <w:szCs w:val="24"/>
                <w:rtl/>
              </w:rPr>
              <w:t>فتح باب الاجتهاد.</w:t>
            </w:r>
          </w:p>
          <w:p w14:paraId="3C0F7967" w14:textId="77777777" w:rsidR="00175788" w:rsidRDefault="000E5420" w:rsidP="002352BE">
            <w:pPr>
              <w:spacing w:before="40" w:after="40" w:line="300" w:lineRule="auto"/>
              <w:jc w:val="center"/>
            </w:pPr>
            <w:r>
              <w:rPr>
                <w:color w:val="1A1A2E"/>
                <w:sz w:val="24"/>
                <w:szCs w:val="24"/>
                <w:rtl/>
              </w:rPr>
              <w:t>نبذ البدع والتقاليد البالية.</w:t>
            </w:r>
          </w:p>
        </w:tc>
        <w:tc>
          <w:tcPr>
            <w:tcW w:w="2500" w:type="dxa"/>
            <w:tcBorders>
              <w:top w:val="single" w:sz="4" w:space="0" w:color="1A6B72"/>
              <w:left w:val="single" w:sz="4" w:space="0" w:color="1A6B72"/>
              <w:bottom w:val="single" w:sz="4" w:space="0" w:color="1A6B72"/>
              <w:right w:val="single" w:sz="4" w:space="0" w:color="1A6B72"/>
            </w:tcBorders>
            <w:shd w:val="clear" w:color="auto" w:fill="FFFFFF"/>
            <w:tcMar>
              <w:top w:w="80" w:type="dxa"/>
              <w:left w:w="120" w:type="dxa"/>
              <w:bottom w:w="80" w:type="dxa"/>
              <w:right w:w="120" w:type="dxa"/>
            </w:tcMar>
          </w:tcPr>
          <w:p w14:paraId="38B12FA1" w14:textId="77777777" w:rsidR="00175788" w:rsidRDefault="000E5420" w:rsidP="002352BE">
            <w:pPr>
              <w:spacing w:before="40" w:after="40" w:line="300" w:lineRule="auto"/>
              <w:jc w:val="center"/>
            </w:pPr>
            <w:r>
              <w:rPr>
                <w:color w:val="1A1A2E"/>
                <w:sz w:val="24"/>
                <w:szCs w:val="24"/>
                <w:rtl/>
              </w:rPr>
              <w:t>الدعوة إلى تطبيق النظام الديمقراطي (الشورى).</w:t>
            </w:r>
          </w:p>
          <w:p w14:paraId="007CFCEC" w14:textId="77777777" w:rsidR="00175788" w:rsidRDefault="000E5420" w:rsidP="002352BE">
            <w:pPr>
              <w:spacing w:before="40" w:after="40" w:line="300" w:lineRule="auto"/>
              <w:jc w:val="center"/>
            </w:pPr>
            <w:r>
              <w:rPr>
                <w:color w:val="1A1A2E"/>
                <w:sz w:val="24"/>
                <w:szCs w:val="24"/>
                <w:rtl/>
              </w:rPr>
              <w:t>نبذ الاستبداد.</w:t>
            </w:r>
          </w:p>
          <w:p w14:paraId="55FF9D82" w14:textId="77777777" w:rsidR="00175788" w:rsidRDefault="000E5420" w:rsidP="002352BE">
            <w:pPr>
              <w:spacing w:before="40" w:after="40" w:line="300" w:lineRule="auto"/>
              <w:jc w:val="center"/>
            </w:pPr>
            <w:r>
              <w:rPr>
                <w:color w:val="1A1A2E"/>
                <w:sz w:val="24"/>
                <w:szCs w:val="24"/>
                <w:rtl/>
              </w:rPr>
              <w:t>الوحدة بين المسلمين.</w:t>
            </w:r>
          </w:p>
          <w:p w14:paraId="4A4A71C6" w14:textId="77777777" w:rsidR="00175788" w:rsidRDefault="000E5420" w:rsidP="002352BE">
            <w:pPr>
              <w:spacing w:before="40" w:after="40" w:line="300" w:lineRule="auto"/>
              <w:jc w:val="center"/>
            </w:pPr>
            <w:r>
              <w:rPr>
                <w:color w:val="1A1A2E"/>
                <w:sz w:val="24"/>
                <w:szCs w:val="24"/>
                <w:rtl/>
              </w:rPr>
              <w:t>مواجهة الاستعمار.</w:t>
            </w:r>
          </w:p>
        </w:tc>
        <w:tc>
          <w:tcPr>
            <w:tcW w:w="2500" w:type="dxa"/>
            <w:tcBorders>
              <w:top w:val="single" w:sz="4" w:space="0" w:color="1A6B72"/>
              <w:left w:val="single" w:sz="4" w:space="0" w:color="1A6B72"/>
              <w:bottom w:val="single" w:sz="4" w:space="0" w:color="1A6B72"/>
              <w:right w:val="single" w:sz="4" w:space="0" w:color="1A6B72"/>
            </w:tcBorders>
            <w:shd w:val="clear" w:color="auto" w:fill="EAF6F7"/>
            <w:tcMar>
              <w:top w:w="80" w:type="dxa"/>
              <w:left w:w="120" w:type="dxa"/>
              <w:bottom w:w="80" w:type="dxa"/>
              <w:right w:w="120" w:type="dxa"/>
            </w:tcMar>
          </w:tcPr>
          <w:p w14:paraId="24FB8D4D" w14:textId="77777777" w:rsidR="00175788" w:rsidRDefault="000E5420" w:rsidP="002352BE">
            <w:pPr>
              <w:spacing w:before="40" w:after="40" w:line="300" w:lineRule="auto"/>
              <w:jc w:val="center"/>
            </w:pPr>
            <w:r>
              <w:rPr>
                <w:color w:val="1A1A2E"/>
                <w:sz w:val="24"/>
                <w:szCs w:val="24"/>
                <w:rtl/>
              </w:rPr>
              <w:t>الاهتمام بالتربية والتعليم الأخلاقي.</w:t>
            </w:r>
          </w:p>
          <w:p w14:paraId="61688AAD" w14:textId="77777777" w:rsidR="00175788" w:rsidRDefault="000E5420" w:rsidP="002352BE">
            <w:pPr>
              <w:spacing w:before="40" w:after="40" w:line="300" w:lineRule="auto"/>
              <w:jc w:val="center"/>
            </w:pPr>
            <w:r>
              <w:rPr>
                <w:color w:val="1A1A2E"/>
                <w:sz w:val="24"/>
                <w:szCs w:val="24"/>
                <w:rtl/>
              </w:rPr>
              <w:t>تحقيق العدالة الاجتماعية.</w:t>
            </w:r>
          </w:p>
          <w:p w14:paraId="029D0889" w14:textId="77777777" w:rsidR="00175788" w:rsidRDefault="000E5420" w:rsidP="002352BE">
            <w:pPr>
              <w:spacing w:before="40" w:after="40" w:line="300" w:lineRule="auto"/>
              <w:jc w:val="center"/>
            </w:pPr>
            <w:r>
              <w:rPr>
                <w:color w:val="1A1A2E"/>
                <w:sz w:val="24"/>
                <w:szCs w:val="24"/>
                <w:rtl/>
              </w:rPr>
              <w:t>تعليم المرأة وعدم تهميشها.</w:t>
            </w:r>
          </w:p>
        </w:tc>
      </w:tr>
    </w:tbl>
    <w:p w14:paraId="5906FA98" w14:textId="77777777" w:rsidR="00175788" w:rsidRDefault="00175788" w:rsidP="002352BE">
      <w:pPr>
        <w:spacing w:before="120" w:after="120"/>
        <w:jc w:val="center"/>
      </w:pPr>
    </w:p>
    <w:p w14:paraId="7BC88437" w14:textId="77777777" w:rsidR="00175788" w:rsidRDefault="000E5420" w:rsidP="002352BE">
      <w:pPr>
        <w:pBdr>
          <w:left w:val="single" w:sz="18" w:space="4" w:color="D4A017"/>
        </w:pBdr>
        <w:shd w:val="clear" w:color="auto" w:fill="1A6B72"/>
        <w:spacing w:before="280" w:after="120"/>
        <w:ind w:left="200" w:right="200"/>
        <w:jc w:val="center"/>
      </w:pPr>
      <w:r>
        <w:rPr>
          <w:b/>
          <w:bCs/>
          <w:color w:val="FFFFFF"/>
          <w:sz w:val="36"/>
          <w:szCs w:val="36"/>
          <w:rtl/>
        </w:rPr>
        <w:t>ثالثاً: نتائج اليقظة الفكرية</w:t>
      </w:r>
    </w:p>
    <w:p w14:paraId="56851A81" w14:textId="77777777" w:rsidR="00175788" w:rsidRDefault="000E5420" w:rsidP="002352BE">
      <w:pPr>
        <w:spacing w:before="80" w:after="80" w:line="340" w:lineRule="auto"/>
        <w:ind w:right="200"/>
        <w:jc w:val="center"/>
      </w:pPr>
      <w:r>
        <w:rPr>
          <w:color w:val="1A1A2E"/>
          <w:rtl/>
        </w:rPr>
        <w:t>كان من أبرز نتائج اليقظة الفكرية في المشرق العربي:</w:t>
      </w:r>
    </w:p>
    <w:p w14:paraId="4B56AFB0" w14:textId="77777777" w:rsidR="00175788" w:rsidRDefault="000E5420" w:rsidP="002352BE">
      <w:pPr>
        <w:spacing w:before="60" w:after="60" w:line="320" w:lineRule="auto"/>
        <w:ind w:left="200" w:right="360"/>
        <w:jc w:val="center"/>
      </w:pPr>
      <w:r>
        <w:rPr>
          <w:b/>
          <w:bCs/>
          <w:color w:val="D4A017"/>
          <w:rtl/>
        </w:rPr>
        <w:t xml:space="preserve">◄  </w:t>
      </w:r>
      <w:r>
        <w:rPr>
          <w:color w:val="1A1A2E"/>
          <w:rtl/>
        </w:rPr>
        <w:t>ظهور مشروع قومي عربي: إذ نشأت جمعيات دعت إلى الحفاظ على اللغة العربية وصون الحقوق السياسية للأمة، فتصاعد الإقبال على العمل السياسي، حتى بلغ بعض رواد اليقظة مناصب رفيعة في الدولة (محمد عبده: الإفتاء – خير الدين التونسي: الوزارة).</w:t>
      </w:r>
    </w:p>
    <w:p w14:paraId="579ED132" w14:textId="77777777" w:rsidR="00175788" w:rsidRDefault="000E5420" w:rsidP="002352BE">
      <w:pPr>
        <w:spacing w:before="60" w:after="60" w:line="320" w:lineRule="auto"/>
        <w:ind w:left="200" w:right="360"/>
        <w:jc w:val="center"/>
      </w:pPr>
      <w:r>
        <w:rPr>
          <w:b/>
          <w:bCs/>
          <w:color w:val="D4A017"/>
          <w:rtl/>
        </w:rPr>
        <w:t xml:space="preserve">◄  </w:t>
      </w:r>
      <w:r>
        <w:rPr>
          <w:color w:val="1A1A2E"/>
          <w:rtl/>
        </w:rPr>
        <w:t>حمل لواء المناهضة للسياسات الاستعمارية: إذ مثّلت اليقظة الفكرية رصيداً نضالياً في مواجهة الأطماع الاستعمارية المتربصة بالعالم العربي.</w:t>
      </w:r>
    </w:p>
    <w:p w14:paraId="02CC5857" w14:textId="77777777" w:rsidR="00175788" w:rsidRDefault="000E5420" w:rsidP="002352BE">
      <w:pPr>
        <w:spacing w:before="60" w:after="60" w:line="320" w:lineRule="auto"/>
        <w:ind w:left="200" w:right="360"/>
        <w:jc w:val="center"/>
      </w:pPr>
      <w:r>
        <w:rPr>
          <w:b/>
          <w:bCs/>
          <w:color w:val="D4A017"/>
          <w:rtl/>
        </w:rPr>
        <w:t xml:space="preserve">◄  </w:t>
      </w:r>
      <w:r>
        <w:rPr>
          <w:color w:val="1A1A2E"/>
          <w:rtl/>
        </w:rPr>
        <w:t>انتشار الفكر القومي والوطني: وحلوله محل التعصب الديني والطائفي، وتوحّد العرب مسلمين ومسيحيين تحت راية الهوية العربية المشتركة.</w:t>
      </w:r>
    </w:p>
    <w:p w14:paraId="7465A7AB" w14:textId="77777777" w:rsidR="00175788" w:rsidRDefault="000E5420" w:rsidP="002352BE">
      <w:pPr>
        <w:spacing w:before="60" w:after="60" w:line="320" w:lineRule="auto"/>
        <w:ind w:left="200" w:right="360"/>
        <w:jc w:val="center"/>
      </w:pPr>
      <w:r>
        <w:rPr>
          <w:b/>
          <w:bCs/>
          <w:color w:val="D4A017"/>
          <w:rtl/>
        </w:rPr>
        <w:t xml:space="preserve">◄  </w:t>
      </w:r>
      <w:r>
        <w:rPr>
          <w:color w:val="1A1A2E"/>
          <w:rtl/>
        </w:rPr>
        <w:t>نشر ثقافة التسامح الديني: ومدّ جسور الحوار بين الطوائف والديانات، وهو ما يظل حاجةً ماسّةً في عصرنا الراهن.</w:t>
      </w:r>
    </w:p>
    <w:p w14:paraId="7ADE2F73" w14:textId="77777777" w:rsidR="00175788" w:rsidRDefault="00175788" w:rsidP="002352BE">
      <w:pPr>
        <w:spacing w:before="120" w:after="120"/>
        <w:jc w:val="center"/>
      </w:pPr>
    </w:p>
    <w:p w14:paraId="38CF47F0" w14:textId="77777777" w:rsidR="00175788" w:rsidRDefault="000E5420" w:rsidP="002352BE">
      <w:pPr>
        <w:pBdr>
          <w:left w:val="single" w:sz="18" w:space="4" w:color="D4A017"/>
        </w:pBdr>
        <w:shd w:val="clear" w:color="auto" w:fill="1A6B72"/>
        <w:spacing w:before="280" w:after="120"/>
        <w:ind w:left="200" w:right="200"/>
        <w:jc w:val="center"/>
      </w:pPr>
      <w:r>
        <w:rPr>
          <w:b/>
          <w:bCs/>
          <w:color w:val="FFFFFF"/>
          <w:sz w:val="36"/>
          <w:szCs w:val="36"/>
          <w:rtl/>
        </w:rPr>
        <w:t>خاتمة</w:t>
      </w:r>
    </w:p>
    <w:p w14:paraId="03079117" w14:textId="77777777" w:rsidR="00175788" w:rsidRDefault="000E5420" w:rsidP="002352BE">
      <w:pPr>
        <w:pBdr>
          <w:left w:val="single" w:sz="6" w:space="4" w:color="D4A017"/>
          <w:right w:val="thick" w:sz="14" w:space="4" w:color="1A6B72"/>
        </w:pBdr>
        <w:shd w:val="clear" w:color="auto" w:fill="E8F4F5"/>
        <w:spacing w:before="100" w:after="100" w:line="360" w:lineRule="auto"/>
        <w:ind w:right="200"/>
        <w:jc w:val="center"/>
      </w:pPr>
      <w:r>
        <w:rPr>
          <w:color w:val="1A6B72"/>
          <w:sz w:val="28"/>
          <w:szCs w:val="28"/>
          <w:rtl/>
        </w:rPr>
        <w:t>أسهمت النهضة العربية في المشرق، إلى جانب نشر الفكر القومي، في ترسيخ ثقافة التسامح الديني بين العرب على اختلاف دياناتهم وطوائفهم؛ وهي قيمة إنسانية نبيلة نحن في أمسّ الحاجة إلى استحضارها واستلهامها في واقعنا المعاصر.</w:t>
      </w:r>
    </w:p>
    <w:p w14:paraId="5455DD18" w14:textId="77777777" w:rsidR="00175788" w:rsidRDefault="00175788" w:rsidP="002352BE">
      <w:pPr>
        <w:spacing w:before="80" w:after="80"/>
        <w:jc w:val="center"/>
      </w:pPr>
    </w:p>
    <w:sectPr w:rsidR="00175788">
      <w:headerReference w:type="default" r:id="rId7"/>
      <w:footerReference w:type="default" r:id="rId8"/>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41AB1" w14:textId="77777777" w:rsidR="000E5420" w:rsidRDefault="000E5420">
      <w:r>
        <w:separator/>
      </w:r>
    </w:p>
  </w:endnote>
  <w:endnote w:type="continuationSeparator" w:id="0">
    <w:p w14:paraId="64F4C102" w14:textId="77777777" w:rsidR="000E5420" w:rsidRDefault="000E5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B2"/>
    <w:family w:val="auto"/>
    <w:pitch w:val="variable"/>
    <w:sig w:usb0="80002007" w:usb1="80000000" w:usb2="00000008" w:usb3="00000000" w:csb0="000000D3"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C6A86" w14:textId="77777777" w:rsidR="00175788" w:rsidRDefault="000E5420">
    <w:pPr>
      <w:pBdr>
        <w:top w:val="single" w:sz="4" w:space="2" w:color="D4A017"/>
      </w:pBdr>
      <w:bidi/>
      <w:spacing w:before="60"/>
      <w:jc w:val="center"/>
    </w:pPr>
    <w:r>
      <w:rPr>
        <w:color w:val="1A6B72"/>
        <w:sz w:val="20"/>
        <w:szCs w:val="20"/>
        <w:rtl/>
      </w:rPr>
      <w:t>السنة الأولى بكالوريا  –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81922" w14:textId="77777777" w:rsidR="000E5420" w:rsidRDefault="000E5420">
      <w:r>
        <w:separator/>
      </w:r>
    </w:p>
  </w:footnote>
  <w:footnote w:type="continuationSeparator" w:id="0">
    <w:p w14:paraId="09E03F74" w14:textId="77777777" w:rsidR="000E5420" w:rsidRDefault="000E54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0D5E6" w14:textId="77777777" w:rsidR="00175788" w:rsidRDefault="000E5420">
    <w:pPr>
      <w:pBdr>
        <w:bottom w:val="single" w:sz="6" w:space="2" w:color="D4A017"/>
      </w:pBdr>
      <w:bidi/>
      <w:spacing w:after="60"/>
      <w:jc w:val="center"/>
    </w:pPr>
    <w:r>
      <w:rPr>
        <w:b/>
        <w:bCs/>
        <w:color w:val="1A6B72"/>
        <w:sz w:val="22"/>
        <w:szCs w:val="22"/>
        <w:rtl/>
      </w:rPr>
      <w:t>اليقظة الفكرية في المشرق العربي</w:t>
    </w:r>
    <w:r>
      <w:rPr>
        <w:color w:val="D4A017"/>
        <w:sz w:val="20"/>
        <w:szCs w:val="20"/>
        <w:rtl/>
      </w:rPr>
      <w:t xml:space="preserve">   |   الأستاذ أحمد </w:t>
    </w:r>
    <w:proofErr w:type="spellStart"/>
    <w:r>
      <w:rPr>
        <w:color w:val="D4A017"/>
        <w:sz w:val="20"/>
        <w:szCs w:val="20"/>
        <w:rtl/>
      </w:rPr>
      <w:t>بوعمود</w:t>
    </w:r>
    <w:proofErr w:type="spellEnd"/>
    <w:r>
      <w:rPr>
        <w:color w:val="D4A017"/>
        <w:sz w:val="20"/>
        <w:szCs w:val="20"/>
        <w:rtl/>
      </w:rPr>
      <w:t xml:space="preserve">   |   مؤسسة الحنان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E7C4E"/>
    <w:multiLevelType w:val="hybridMultilevel"/>
    <w:tmpl w:val="FFFFFFFF"/>
    <w:lvl w:ilvl="0" w:tplc="2990F236">
      <w:start w:val="1"/>
      <w:numFmt w:val="bullet"/>
      <w:lvlText w:val="●"/>
      <w:lvlJc w:val="left"/>
      <w:pPr>
        <w:ind w:left="720" w:hanging="360"/>
      </w:pPr>
    </w:lvl>
    <w:lvl w:ilvl="1" w:tplc="B5B0A538">
      <w:start w:val="1"/>
      <w:numFmt w:val="bullet"/>
      <w:lvlText w:val="○"/>
      <w:lvlJc w:val="left"/>
      <w:pPr>
        <w:ind w:left="1440" w:hanging="360"/>
      </w:pPr>
    </w:lvl>
    <w:lvl w:ilvl="2" w:tplc="DA8233D0">
      <w:start w:val="1"/>
      <w:numFmt w:val="bullet"/>
      <w:lvlText w:val="■"/>
      <w:lvlJc w:val="left"/>
      <w:pPr>
        <w:ind w:left="2160" w:hanging="360"/>
      </w:pPr>
    </w:lvl>
    <w:lvl w:ilvl="3" w:tplc="170EC63E">
      <w:start w:val="1"/>
      <w:numFmt w:val="bullet"/>
      <w:lvlText w:val="●"/>
      <w:lvlJc w:val="left"/>
      <w:pPr>
        <w:ind w:left="2880" w:hanging="360"/>
      </w:pPr>
    </w:lvl>
    <w:lvl w:ilvl="4" w:tplc="E3582E9E">
      <w:start w:val="1"/>
      <w:numFmt w:val="bullet"/>
      <w:lvlText w:val="○"/>
      <w:lvlJc w:val="left"/>
      <w:pPr>
        <w:ind w:left="3600" w:hanging="360"/>
      </w:pPr>
    </w:lvl>
    <w:lvl w:ilvl="5" w:tplc="CC00BE78">
      <w:start w:val="1"/>
      <w:numFmt w:val="bullet"/>
      <w:lvlText w:val="■"/>
      <w:lvlJc w:val="left"/>
      <w:pPr>
        <w:ind w:left="4320" w:hanging="360"/>
      </w:pPr>
    </w:lvl>
    <w:lvl w:ilvl="6" w:tplc="9E989492">
      <w:start w:val="1"/>
      <w:numFmt w:val="bullet"/>
      <w:lvlText w:val="●"/>
      <w:lvlJc w:val="left"/>
      <w:pPr>
        <w:ind w:left="5040" w:hanging="360"/>
      </w:pPr>
    </w:lvl>
    <w:lvl w:ilvl="7" w:tplc="34F27480">
      <w:start w:val="1"/>
      <w:numFmt w:val="bullet"/>
      <w:lvlText w:val="●"/>
      <w:lvlJc w:val="left"/>
      <w:pPr>
        <w:ind w:left="5760" w:hanging="360"/>
      </w:pPr>
    </w:lvl>
    <w:lvl w:ilvl="8" w:tplc="EBA0E348">
      <w:start w:val="1"/>
      <w:numFmt w:val="bullet"/>
      <w:lvlText w:val="●"/>
      <w:lvlJc w:val="left"/>
      <w:pPr>
        <w:ind w:left="6480" w:hanging="360"/>
      </w:pPr>
    </w:lvl>
  </w:abstractNum>
  <w:num w:numId="1" w16cid:durableId="11257299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788"/>
    <w:rsid w:val="000E5420"/>
    <w:rsid w:val="00175788"/>
    <w:rsid w:val="002352BE"/>
    <w:rsid w:val="00926876"/>
    <w:rsid w:val="00EC2F8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4:docId w14:val="3A8EB761"/>
  <w15:docId w15:val="{96661842-923C-8C49-A054-CB72927ED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Sakkal Majalla" w:hAnsi="Sakkal Majalla" w:cs="Sakkal Majalla"/>
        <w:sz w:val="26"/>
        <w:szCs w:val="26"/>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786</Words>
  <Characters>4329</Characters>
  <Application>Microsoft Office Word</Application>
  <DocSecurity>0</DocSecurity>
  <Lines>36</Lines>
  <Paragraphs>10</Paragraphs>
  <ScaleCrop>false</ScaleCrop>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rimabouamoud@outlook.fr</cp:lastModifiedBy>
  <cp:revision>2</cp:revision>
  <dcterms:created xsi:type="dcterms:W3CDTF">2026-04-18T21:50:00Z</dcterms:created>
  <dcterms:modified xsi:type="dcterms:W3CDTF">2026-04-18T21:50:00Z</dcterms:modified>
</cp:coreProperties>
</file>