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D27" w:rsidRPr="001C5FEE" w:rsidRDefault="001B4D27">
      <w:pPr>
        <w:rPr>
          <w:rFonts w:ascii="Arial" w:hAnsi="Arial" w:cs="Arial"/>
          <w:color w:val="1F3864" w:themeColor="accent1" w:themeShade="80"/>
          <w:sz w:val="48"/>
          <w:szCs w:val="48"/>
          <w:shd w:val="clear" w:color="auto" w:fill="FFFFFF"/>
        </w:rPr>
      </w:pPr>
      <w:r w:rsidRPr="001C5FEE">
        <w:rPr>
          <w:rFonts w:ascii="Arial" w:hAnsi="Arial" w:cs="Arial"/>
          <w:b/>
          <w:bCs/>
          <w:color w:val="1F3864" w:themeColor="accent1" w:themeShade="80"/>
          <w:sz w:val="48"/>
          <w:szCs w:val="48"/>
          <w:shd w:val="clear" w:color="auto" w:fill="FFFFFF"/>
        </w:rPr>
        <w:t>La</w:t>
      </w:r>
      <w:r w:rsidRPr="001C5FEE">
        <w:rPr>
          <w:rFonts w:ascii="Arial" w:hAnsi="Arial" w:cs="Arial"/>
          <w:color w:val="1F3864" w:themeColor="accent1" w:themeShade="80"/>
          <w:sz w:val="48"/>
          <w:szCs w:val="48"/>
          <w:shd w:val="clear" w:color="auto" w:fill="FFFFFF"/>
        </w:rPr>
        <w:t xml:space="preserve"> </w:t>
      </w:r>
      <w:r w:rsidRPr="001C5FEE">
        <w:rPr>
          <w:rFonts w:ascii="Arial" w:hAnsi="Arial" w:cs="Arial"/>
          <w:b/>
          <w:bCs/>
          <w:color w:val="1F3864" w:themeColor="accent1" w:themeShade="80"/>
          <w:sz w:val="48"/>
          <w:szCs w:val="48"/>
          <w:shd w:val="clear" w:color="auto" w:fill="FFFFFF"/>
        </w:rPr>
        <w:t>croissance</w:t>
      </w:r>
      <w:r w:rsidRPr="001C5FEE">
        <w:rPr>
          <w:rFonts w:ascii="Arial" w:hAnsi="Arial" w:cs="Arial"/>
          <w:color w:val="1F3864" w:themeColor="accent1" w:themeShade="80"/>
          <w:sz w:val="48"/>
          <w:szCs w:val="48"/>
          <w:shd w:val="clear" w:color="auto" w:fill="FFFFFF"/>
        </w:rPr>
        <w:t xml:space="preserve"> </w:t>
      </w:r>
      <w:r w:rsidRPr="001C5FEE">
        <w:rPr>
          <w:rFonts w:ascii="Arial" w:hAnsi="Arial" w:cs="Arial"/>
          <w:b/>
          <w:bCs/>
          <w:color w:val="1F3864" w:themeColor="accent1" w:themeShade="80"/>
          <w:sz w:val="48"/>
          <w:szCs w:val="48"/>
          <w:shd w:val="clear" w:color="auto" w:fill="FFFFFF"/>
        </w:rPr>
        <w:t>économique</w:t>
      </w:r>
      <w:r w:rsidRPr="001C5FEE">
        <w:rPr>
          <w:rFonts w:ascii="Arial" w:hAnsi="Arial" w:cs="Arial"/>
          <w:color w:val="1F3864" w:themeColor="accent1" w:themeShade="80"/>
          <w:sz w:val="48"/>
          <w:szCs w:val="48"/>
          <w:shd w:val="clear" w:color="auto" w:fill="FFFFFF"/>
        </w:rPr>
        <w:t xml:space="preserve"> </w:t>
      </w:r>
      <w:r w:rsidRPr="001C5FEE">
        <w:rPr>
          <w:rFonts w:ascii="Arial" w:hAnsi="Arial" w:cs="Arial"/>
          <w:b/>
          <w:bCs/>
          <w:color w:val="1F3864" w:themeColor="accent1" w:themeShade="80"/>
          <w:sz w:val="48"/>
          <w:szCs w:val="48"/>
          <w:shd w:val="clear" w:color="auto" w:fill="FFFFFF"/>
        </w:rPr>
        <w:t>au</w:t>
      </w:r>
      <w:r w:rsidRPr="001C5FEE">
        <w:rPr>
          <w:rFonts w:ascii="Arial" w:hAnsi="Arial" w:cs="Arial"/>
          <w:color w:val="1F3864" w:themeColor="accent1" w:themeShade="80"/>
          <w:sz w:val="48"/>
          <w:szCs w:val="48"/>
          <w:shd w:val="clear" w:color="auto" w:fill="FFFFFF"/>
        </w:rPr>
        <w:t xml:space="preserve"> </w:t>
      </w:r>
      <w:r w:rsidRPr="001C5FEE">
        <w:rPr>
          <w:rFonts w:ascii="Arial" w:hAnsi="Arial" w:cs="Arial"/>
          <w:b/>
          <w:bCs/>
          <w:color w:val="1F3864" w:themeColor="accent1" w:themeShade="80"/>
          <w:sz w:val="48"/>
          <w:szCs w:val="48"/>
          <w:shd w:val="clear" w:color="auto" w:fill="FFFFFF"/>
        </w:rPr>
        <w:t>Maroc</w:t>
      </w:r>
    </w:p>
    <w:p w:rsidR="001B4D27" w:rsidRPr="001C5FEE" w:rsidRDefault="001B4D27" w:rsidP="001B4D27">
      <w:pPr>
        <w:ind w:firstLine="708"/>
        <w:rPr>
          <w:color w:val="1F3864" w:themeColor="accent1" w:themeShade="80"/>
        </w:rPr>
      </w:pPr>
    </w:p>
    <w:p w:rsidR="00100FCB" w:rsidRDefault="001B4D27" w:rsidP="001B4D27">
      <w:pPr>
        <w:rPr>
          <w:sz w:val="28"/>
          <w:szCs w:val="28"/>
        </w:rPr>
      </w:pPr>
      <w:r w:rsidRPr="001B4D27">
        <w:rPr>
          <w:sz w:val="28"/>
          <w:szCs w:val="28"/>
        </w:rPr>
        <w:t xml:space="preserve">        </w:t>
      </w:r>
    </w:p>
    <w:p w:rsidR="009A45F6" w:rsidRDefault="001B4D27" w:rsidP="00100FCB">
      <w:pPr>
        <w:ind w:firstLine="708"/>
        <w:rPr>
          <w:sz w:val="28"/>
          <w:szCs w:val="28"/>
        </w:rPr>
      </w:pPr>
      <w:r w:rsidRPr="001B4D27">
        <w:rPr>
          <w:sz w:val="28"/>
          <w:szCs w:val="28"/>
        </w:rPr>
        <w:t>La croissance économique se manifeste par une augmentation significative et durable de la production de biens et de services. Cette variation positive se mesure grâce à l'évolution annuelle de l'indicateur du produit intérieur brut (PIB), évalué en monnaie constante afin de prendre en compte l'inflation</w:t>
      </w:r>
      <w:r w:rsidR="00160E72">
        <w:rPr>
          <w:sz w:val="28"/>
          <w:szCs w:val="28"/>
        </w:rPr>
        <w:t>.</w:t>
      </w:r>
    </w:p>
    <w:p w:rsidR="00160E72" w:rsidRDefault="009A45F6" w:rsidP="001B4D27">
      <w:pPr>
        <w:rPr>
          <w:sz w:val="28"/>
          <w:szCs w:val="28"/>
        </w:rPr>
      </w:pPr>
      <w:r>
        <w:rPr>
          <w:sz w:val="28"/>
          <w:szCs w:val="28"/>
        </w:rPr>
        <w:t>La</w:t>
      </w:r>
      <w:r w:rsidR="00160E72">
        <w:rPr>
          <w:sz w:val="28"/>
          <w:szCs w:val="28"/>
        </w:rPr>
        <w:t xml:space="preserve"> croissance économique</w:t>
      </w:r>
      <w:r>
        <w:rPr>
          <w:sz w:val="28"/>
          <w:szCs w:val="28"/>
        </w:rPr>
        <w:t xml:space="preserve"> marocaine</w:t>
      </w:r>
      <w:r w:rsidR="00160E72">
        <w:rPr>
          <w:sz w:val="28"/>
          <w:szCs w:val="28"/>
        </w:rPr>
        <w:t xml:space="preserve"> dépend beaucoup </w:t>
      </w:r>
      <w:r>
        <w:rPr>
          <w:sz w:val="28"/>
          <w:szCs w:val="28"/>
        </w:rPr>
        <w:t xml:space="preserve">du domaine </w:t>
      </w:r>
      <w:r w:rsidR="00160E72">
        <w:rPr>
          <w:sz w:val="28"/>
          <w:szCs w:val="28"/>
        </w:rPr>
        <w:t xml:space="preserve">agricole et </w:t>
      </w:r>
      <w:r>
        <w:rPr>
          <w:sz w:val="28"/>
          <w:szCs w:val="28"/>
        </w:rPr>
        <w:t>à</w:t>
      </w:r>
      <w:r w:rsidR="00160E72">
        <w:rPr>
          <w:sz w:val="28"/>
          <w:szCs w:val="28"/>
        </w:rPr>
        <w:t xml:space="preserve"> varier comme suit dans les années 2015-2018</w:t>
      </w:r>
      <w:r>
        <w:rPr>
          <w:sz w:val="28"/>
          <w:szCs w:val="28"/>
        </w:rPr>
        <w:t xml:space="preserve"> selon le haut-commissariat au plan :</w:t>
      </w:r>
      <w:r w:rsidR="00160E72">
        <w:rPr>
          <w:sz w:val="28"/>
          <w:szCs w:val="28"/>
        </w:rPr>
        <w:t xml:space="preserve"> </w:t>
      </w:r>
    </w:p>
    <w:p w:rsidR="00100FCB" w:rsidRDefault="00100FCB" w:rsidP="001B4D27">
      <w:pPr>
        <w:rPr>
          <w:sz w:val="28"/>
          <w:szCs w:val="28"/>
        </w:rPr>
      </w:pPr>
    </w:p>
    <w:p w:rsidR="00100FCB" w:rsidRDefault="00100FCB" w:rsidP="001B4D27">
      <w:pPr>
        <w:rPr>
          <w:sz w:val="28"/>
          <w:szCs w:val="28"/>
        </w:rPr>
      </w:pPr>
      <w:r>
        <w:rPr>
          <w:noProof/>
          <w:sz w:val="28"/>
          <w:szCs w:val="28"/>
        </w:rPr>
        <w:drawing>
          <wp:anchor distT="0" distB="0" distL="114300" distR="114300" simplePos="0" relativeHeight="251658240" behindDoc="1" locked="0" layoutInCell="1" allowOverlap="1">
            <wp:simplePos x="0" y="0"/>
            <wp:positionH relativeFrom="margin">
              <wp:align>center</wp:align>
            </wp:positionH>
            <wp:positionV relativeFrom="paragraph">
              <wp:posOffset>252730</wp:posOffset>
            </wp:positionV>
            <wp:extent cx="5486400" cy="3200400"/>
            <wp:effectExtent l="0" t="0" r="0" b="0"/>
            <wp:wrapNone/>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p>
    <w:p w:rsidR="00100FCB" w:rsidRDefault="00100FCB" w:rsidP="001B4D27">
      <w:pPr>
        <w:rPr>
          <w:sz w:val="28"/>
          <w:szCs w:val="28"/>
        </w:rPr>
      </w:pPr>
    </w:p>
    <w:p w:rsidR="00100FCB" w:rsidRDefault="00100FCB" w:rsidP="001B4D27">
      <w:pPr>
        <w:rPr>
          <w:sz w:val="28"/>
          <w:szCs w:val="28"/>
        </w:rPr>
      </w:pPr>
    </w:p>
    <w:p w:rsidR="00100FCB" w:rsidRDefault="00100FCB" w:rsidP="001B4D27">
      <w:pPr>
        <w:rPr>
          <w:sz w:val="28"/>
          <w:szCs w:val="28"/>
        </w:rPr>
      </w:pPr>
    </w:p>
    <w:p w:rsidR="00100FCB" w:rsidRDefault="00100FCB" w:rsidP="001B4D27">
      <w:pPr>
        <w:rPr>
          <w:sz w:val="28"/>
          <w:szCs w:val="28"/>
        </w:rPr>
      </w:pPr>
    </w:p>
    <w:p w:rsidR="00100FCB" w:rsidRDefault="00100FCB" w:rsidP="001B4D27">
      <w:pPr>
        <w:rPr>
          <w:sz w:val="28"/>
          <w:szCs w:val="28"/>
        </w:rPr>
      </w:pPr>
    </w:p>
    <w:p w:rsidR="00100FCB" w:rsidRDefault="00100FCB" w:rsidP="001B4D27">
      <w:pPr>
        <w:rPr>
          <w:sz w:val="28"/>
          <w:szCs w:val="28"/>
        </w:rPr>
      </w:pPr>
    </w:p>
    <w:p w:rsidR="00100FCB" w:rsidRDefault="00100FCB" w:rsidP="001B4D27">
      <w:pPr>
        <w:rPr>
          <w:sz w:val="28"/>
          <w:szCs w:val="28"/>
        </w:rPr>
      </w:pPr>
    </w:p>
    <w:p w:rsidR="00100FCB" w:rsidRDefault="00100FCB" w:rsidP="001B4D27">
      <w:pPr>
        <w:rPr>
          <w:sz w:val="28"/>
          <w:szCs w:val="28"/>
        </w:rPr>
      </w:pPr>
    </w:p>
    <w:p w:rsidR="00100FCB" w:rsidRDefault="00100FCB" w:rsidP="001B4D27">
      <w:pPr>
        <w:rPr>
          <w:sz w:val="28"/>
          <w:szCs w:val="28"/>
        </w:rPr>
      </w:pPr>
    </w:p>
    <w:p w:rsidR="009A45F6" w:rsidRDefault="009A45F6" w:rsidP="001B4D27">
      <w:pPr>
        <w:rPr>
          <w:sz w:val="28"/>
          <w:szCs w:val="28"/>
        </w:rPr>
      </w:pPr>
    </w:p>
    <w:p w:rsidR="00100FCB" w:rsidRDefault="00100FCB" w:rsidP="00100FCB">
      <w:pPr>
        <w:rPr>
          <w:sz w:val="28"/>
          <w:szCs w:val="28"/>
        </w:rPr>
      </w:pPr>
    </w:p>
    <w:p w:rsidR="001C5FEE" w:rsidRDefault="001C5FEE" w:rsidP="00100FCB">
      <w:pPr>
        <w:rPr>
          <w:sz w:val="28"/>
          <w:szCs w:val="28"/>
        </w:rPr>
      </w:pPr>
    </w:p>
    <w:p w:rsidR="00100FCB" w:rsidRDefault="00100FCB" w:rsidP="00100FCB">
      <w:pPr>
        <w:rPr>
          <w:sz w:val="28"/>
          <w:szCs w:val="28"/>
        </w:rPr>
      </w:pPr>
      <w:r>
        <w:rPr>
          <w:sz w:val="28"/>
          <w:szCs w:val="28"/>
        </w:rPr>
        <w:t>La croissance faible de l’économie marocaine dan</w:t>
      </w:r>
      <w:r w:rsidR="00B43C89">
        <w:rPr>
          <w:sz w:val="28"/>
          <w:szCs w:val="28"/>
        </w:rPr>
        <w:t>s</w:t>
      </w:r>
      <w:r>
        <w:rPr>
          <w:sz w:val="28"/>
          <w:szCs w:val="28"/>
        </w:rPr>
        <w:t xml:space="preserve"> l’année 2016 est dû notamment </w:t>
      </w:r>
      <w:r w:rsidR="005C196C">
        <w:rPr>
          <w:sz w:val="28"/>
          <w:szCs w:val="28"/>
        </w:rPr>
        <w:t>à</w:t>
      </w:r>
      <w:r>
        <w:rPr>
          <w:sz w:val="28"/>
          <w:szCs w:val="28"/>
        </w:rPr>
        <w:t xml:space="preserve"> la faible croissance des activités agricole dans cette année.</w:t>
      </w:r>
    </w:p>
    <w:p w:rsidR="001C5FEE" w:rsidRDefault="001C5FEE" w:rsidP="00100FCB">
      <w:pPr>
        <w:rPr>
          <w:sz w:val="28"/>
          <w:szCs w:val="28"/>
        </w:rPr>
      </w:pPr>
    </w:p>
    <w:p w:rsidR="001C5FEE" w:rsidRDefault="001C5FEE" w:rsidP="00100FCB">
      <w:pPr>
        <w:rPr>
          <w:sz w:val="28"/>
          <w:szCs w:val="28"/>
        </w:rPr>
      </w:pPr>
      <w:r>
        <w:rPr>
          <w:sz w:val="28"/>
          <w:szCs w:val="28"/>
        </w:rPr>
        <w:lastRenderedPageBreak/>
        <w:t>Voici un graph qui décrit l’évolution du PIB dans l’Allemagne et la France ou on constate que même dans ces payes on réalise des taux de croissance qui ne dépasse pas 3% ces dernières années.</w:t>
      </w:r>
    </w:p>
    <w:p w:rsidR="001C5FEE" w:rsidRPr="001B4D27" w:rsidRDefault="001C5FEE" w:rsidP="00100FCB">
      <w:pPr>
        <w:rPr>
          <w:sz w:val="28"/>
          <w:szCs w:val="28"/>
        </w:rPr>
      </w:pPr>
    </w:p>
    <w:p w:rsidR="001C5FEE" w:rsidRDefault="001C5FEE">
      <w:pPr>
        <w:rPr>
          <w:noProof/>
          <w:sz w:val="28"/>
          <w:szCs w:val="28"/>
        </w:rPr>
      </w:pPr>
      <w:r>
        <w:rPr>
          <w:noProof/>
          <w:sz w:val="28"/>
          <w:szCs w:val="28"/>
        </w:rPr>
        <w:drawing>
          <wp:inline distT="0" distB="0" distL="0" distR="0" wp14:anchorId="04BB86F4" wp14:editId="2934EA2D">
            <wp:extent cx="5524500" cy="4362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rotWithShape="1">
                    <a:blip r:embed="rId5">
                      <a:extLst>
                        <a:ext uri="{28A0092B-C50C-407E-A947-70E740481C1C}">
                          <a14:useLocalDpi xmlns:a14="http://schemas.microsoft.com/office/drawing/2010/main" val="0"/>
                        </a:ext>
                      </a:extLst>
                    </a:blip>
                    <a:srcRect t="2620" b="-2620"/>
                    <a:stretch/>
                  </pic:blipFill>
                  <pic:spPr bwMode="auto">
                    <a:xfrm>
                      <a:off x="0" y="0"/>
                      <a:ext cx="5524500" cy="4362450"/>
                    </a:xfrm>
                    <a:prstGeom prst="rect">
                      <a:avLst/>
                    </a:prstGeom>
                    <a:ln>
                      <a:noFill/>
                    </a:ln>
                    <a:extLst>
                      <a:ext uri="{53640926-AAD7-44D8-BBD7-CCE9431645EC}">
                        <a14:shadowObscured xmlns:a14="http://schemas.microsoft.com/office/drawing/2010/main"/>
                      </a:ext>
                    </a:extLst>
                  </pic:spPr>
                </pic:pic>
              </a:graphicData>
            </a:graphic>
          </wp:inline>
        </w:drawing>
      </w:r>
    </w:p>
    <w:p w:rsidR="009A45F6" w:rsidRDefault="009A45F6">
      <w:pPr>
        <w:rPr>
          <w:sz w:val="28"/>
          <w:szCs w:val="28"/>
        </w:rPr>
      </w:pPr>
    </w:p>
    <w:p w:rsidR="009F737B" w:rsidRDefault="009F737B" w:rsidP="009F737B">
      <w:pPr>
        <w:rPr>
          <w:b/>
          <w:bCs/>
          <w:sz w:val="48"/>
          <w:szCs w:val="48"/>
        </w:rPr>
      </w:pPr>
      <w:r>
        <w:rPr>
          <w:sz w:val="28"/>
          <w:szCs w:val="28"/>
        </w:rPr>
        <w:tab/>
      </w:r>
      <w:r>
        <w:rPr>
          <w:sz w:val="28"/>
          <w:szCs w:val="28"/>
        </w:rPr>
        <w:tab/>
      </w:r>
      <w:r w:rsidRPr="001C5FEE">
        <w:rPr>
          <w:b/>
          <w:bCs/>
          <w:color w:val="1F3864" w:themeColor="accent1" w:themeShade="80"/>
          <w:sz w:val="48"/>
          <w:szCs w:val="48"/>
        </w:rPr>
        <w:t>La valeur ajoutée non agricole</w:t>
      </w:r>
    </w:p>
    <w:p w:rsidR="00100FCB" w:rsidRPr="009F737B" w:rsidRDefault="00100FCB" w:rsidP="009F737B">
      <w:pPr>
        <w:rPr>
          <w:b/>
          <w:bCs/>
          <w:sz w:val="48"/>
          <w:szCs w:val="48"/>
        </w:rPr>
      </w:pPr>
    </w:p>
    <w:p w:rsidR="009F737B" w:rsidRPr="009F737B" w:rsidRDefault="00100FCB" w:rsidP="00100FCB">
      <w:pPr>
        <w:rPr>
          <w:sz w:val="28"/>
          <w:szCs w:val="28"/>
        </w:rPr>
      </w:pPr>
      <w:r>
        <w:rPr>
          <w:sz w:val="28"/>
          <w:szCs w:val="28"/>
        </w:rPr>
        <w:t xml:space="preserve">    </w:t>
      </w:r>
      <w:r w:rsidR="009F737B" w:rsidRPr="009F737B">
        <w:rPr>
          <w:sz w:val="28"/>
          <w:szCs w:val="28"/>
        </w:rPr>
        <w:t>La valeur ajoutée est un indicateur économique qui mesure la valeur ou la richesse créée par une entreprise, un secteur d'activité ou un agent économique au cours d'une période donnée.</w:t>
      </w:r>
    </w:p>
    <w:p w:rsidR="009F737B" w:rsidRPr="009F737B" w:rsidRDefault="009F737B" w:rsidP="009F737B">
      <w:pPr>
        <w:rPr>
          <w:sz w:val="28"/>
          <w:szCs w:val="28"/>
        </w:rPr>
      </w:pPr>
    </w:p>
    <w:p w:rsidR="009A45F6" w:rsidRDefault="009F737B" w:rsidP="009F737B">
      <w:pPr>
        <w:rPr>
          <w:sz w:val="28"/>
          <w:szCs w:val="28"/>
        </w:rPr>
      </w:pPr>
      <w:r w:rsidRPr="009F737B">
        <w:rPr>
          <w:sz w:val="28"/>
          <w:szCs w:val="28"/>
        </w:rPr>
        <w:t xml:space="preserve">La valeur ajoutée est définie comme la différence entre la valeur finale de la production (valorisée par le chiffre d'affaires) et la valeur des biens qui ont été </w:t>
      </w:r>
      <w:r w:rsidRPr="009F737B">
        <w:rPr>
          <w:sz w:val="28"/>
          <w:szCs w:val="28"/>
        </w:rPr>
        <w:lastRenderedPageBreak/>
        <w:t>consommés par le processus de production (consommations intermédiaires, comme les matières premières).</w:t>
      </w:r>
    </w:p>
    <w:p w:rsidR="009F737B" w:rsidRDefault="009F737B" w:rsidP="009F737B">
      <w:pPr>
        <w:tabs>
          <w:tab w:val="left" w:pos="5880"/>
        </w:tabs>
        <w:rPr>
          <w:sz w:val="28"/>
          <w:szCs w:val="28"/>
        </w:rPr>
      </w:pPr>
      <w:r>
        <w:rPr>
          <w:sz w:val="28"/>
          <w:szCs w:val="28"/>
        </w:rPr>
        <w:t xml:space="preserve">On s’intéresse </w:t>
      </w:r>
      <w:proofErr w:type="gramStart"/>
      <w:r>
        <w:rPr>
          <w:sz w:val="28"/>
          <w:szCs w:val="28"/>
        </w:rPr>
        <w:t>a</w:t>
      </w:r>
      <w:proofErr w:type="gramEnd"/>
      <w:r>
        <w:rPr>
          <w:sz w:val="28"/>
          <w:szCs w:val="28"/>
        </w:rPr>
        <w:t xml:space="preserve"> la valeur ajoutée non agricole pour voir a quelle degré il y a </w:t>
      </w:r>
      <w:proofErr w:type="spellStart"/>
      <w:r>
        <w:rPr>
          <w:sz w:val="28"/>
          <w:szCs w:val="28"/>
        </w:rPr>
        <w:t>dependance</w:t>
      </w:r>
      <w:proofErr w:type="spellEnd"/>
      <w:r>
        <w:rPr>
          <w:sz w:val="28"/>
          <w:szCs w:val="28"/>
        </w:rPr>
        <w:t xml:space="preserve"> sur le domaine d’agriculture.</w:t>
      </w:r>
    </w:p>
    <w:p w:rsidR="009F737B" w:rsidRDefault="009F737B" w:rsidP="009F737B">
      <w:pPr>
        <w:tabs>
          <w:tab w:val="left" w:pos="5880"/>
        </w:tabs>
        <w:rPr>
          <w:sz w:val="28"/>
          <w:szCs w:val="28"/>
        </w:rPr>
      </w:pPr>
      <w:r>
        <w:rPr>
          <w:sz w:val="28"/>
          <w:szCs w:val="28"/>
        </w:rPr>
        <w:t xml:space="preserve">Voici l’évolution de la valeur ajoutée non agricole ces 4 derniers années : </w:t>
      </w:r>
    </w:p>
    <w:p w:rsidR="009F737B" w:rsidRPr="009F737B" w:rsidRDefault="009F737B" w:rsidP="009F737B">
      <w:pPr>
        <w:tabs>
          <w:tab w:val="left" w:pos="5880"/>
        </w:tabs>
        <w:rPr>
          <w:rFonts w:ascii="Segoe UI Symbol" w:eastAsia="Segoe UI Symbol" w:hAnsi="Segoe UI Symbol"/>
          <w:sz w:val="28"/>
          <w:szCs w:val="28"/>
          <w:lang w:eastAsia="ja-JP"/>
        </w:rPr>
      </w:pPr>
    </w:p>
    <w:p w:rsidR="009F737B" w:rsidRPr="009F737B" w:rsidRDefault="00100FCB" w:rsidP="009F737B">
      <w:pPr>
        <w:rPr>
          <w:sz w:val="48"/>
          <w:szCs w:val="48"/>
        </w:rPr>
      </w:pPr>
      <w:r>
        <w:rPr>
          <w:rFonts w:ascii="Segoe UI Symbol" w:eastAsia="Segoe UI Symbol" w:hAnsi="Segoe UI Symbol" w:hint="eastAsia"/>
          <w:noProof/>
          <w:sz w:val="28"/>
          <w:szCs w:val="28"/>
          <w:lang w:eastAsia="ja-JP"/>
        </w:rPr>
        <w:drawing>
          <wp:anchor distT="0" distB="0" distL="114300" distR="114300" simplePos="0" relativeHeight="251659264" behindDoc="1" locked="0" layoutInCell="1" allowOverlap="1">
            <wp:simplePos x="0" y="0"/>
            <wp:positionH relativeFrom="margin">
              <wp:align>center</wp:align>
            </wp:positionH>
            <wp:positionV relativeFrom="paragraph">
              <wp:posOffset>481965</wp:posOffset>
            </wp:positionV>
            <wp:extent cx="5486400" cy="3200400"/>
            <wp:effectExtent l="0" t="0" r="0" b="0"/>
            <wp:wrapNone/>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100FCB" w:rsidRDefault="009A45F6" w:rsidP="00B43C89">
      <w:pPr>
        <w:jc w:val="center"/>
        <w:rPr>
          <w:b/>
          <w:bCs/>
          <w:sz w:val="48"/>
          <w:szCs w:val="48"/>
        </w:rPr>
      </w:pPr>
      <w:r>
        <w:rPr>
          <w:sz w:val="28"/>
          <w:szCs w:val="28"/>
        </w:rPr>
        <w:br w:type="page"/>
      </w:r>
      <w:r w:rsidR="00100FCB">
        <w:rPr>
          <w:b/>
          <w:bCs/>
          <w:sz w:val="48"/>
          <w:szCs w:val="48"/>
        </w:rPr>
        <w:lastRenderedPageBreak/>
        <w:t>L’inflation</w:t>
      </w:r>
    </w:p>
    <w:p w:rsidR="00100FCB" w:rsidRDefault="00100FCB" w:rsidP="00100FCB">
      <w:pPr>
        <w:rPr>
          <w:sz w:val="28"/>
          <w:szCs w:val="28"/>
        </w:rPr>
      </w:pPr>
      <w:r w:rsidRPr="00100FCB">
        <w:rPr>
          <w:sz w:val="28"/>
          <w:szCs w:val="28"/>
        </w:rPr>
        <w:t>L’inflation est une situation de hausse généralisée et durable des prix des biens et des services. Cette situation correspond à une baisse du pouvoir d’achat de la monnaie. En clair, avec la même somme d’argent, on peut acheter moins de choses qu’auparavant.</w:t>
      </w:r>
    </w:p>
    <w:p w:rsidR="00100FCB" w:rsidRDefault="00100FCB" w:rsidP="00100FCB">
      <w:pPr>
        <w:rPr>
          <w:sz w:val="28"/>
          <w:szCs w:val="28"/>
        </w:rPr>
      </w:pPr>
    </w:p>
    <w:p w:rsidR="00100FCB" w:rsidRDefault="00100FCB" w:rsidP="00100FCB">
      <w:pPr>
        <w:rPr>
          <w:sz w:val="28"/>
          <w:szCs w:val="28"/>
        </w:rPr>
      </w:pPr>
      <w:r w:rsidRPr="00100FCB">
        <w:rPr>
          <w:sz w:val="28"/>
          <w:szCs w:val="28"/>
        </w:rPr>
        <w:t>Le taux d'inflation est généralement mesuré à partir de l’Indice des prix à la consommation (IPC).</w:t>
      </w:r>
    </w:p>
    <w:p w:rsidR="00B43C89" w:rsidRDefault="00B43C89" w:rsidP="00100FCB">
      <w:pPr>
        <w:rPr>
          <w:sz w:val="28"/>
          <w:szCs w:val="28"/>
        </w:rPr>
      </w:pPr>
    </w:p>
    <w:p w:rsidR="00B43C89" w:rsidRPr="00100FCB" w:rsidRDefault="00B43C89" w:rsidP="00B43C89">
      <w:pPr>
        <w:rPr>
          <w:sz w:val="28"/>
          <w:szCs w:val="28"/>
        </w:rPr>
      </w:pPr>
      <w:r>
        <w:rPr>
          <w:sz w:val="28"/>
          <w:szCs w:val="28"/>
        </w:rPr>
        <w:t xml:space="preserve">Les </w:t>
      </w:r>
      <w:r w:rsidRPr="00100FCB">
        <w:rPr>
          <w:sz w:val="28"/>
          <w:szCs w:val="28"/>
        </w:rPr>
        <w:t>différents niveaux d'inflation :</w:t>
      </w:r>
    </w:p>
    <w:p w:rsidR="00B43C89" w:rsidRPr="00100FCB" w:rsidRDefault="00B43C89" w:rsidP="00B43C89">
      <w:pPr>
        <w:rPr>
          <w:sz w:val="28"/>
          <w:szCs w:val="28"/>
        </w:rPr>
      </w:pPr>
      <w:r w:rsidRPr="00100FCB">
        <w:rPr>
          <w:sz w:val="28"/>
          <w:szCs w:val="28"/>
        </w:rPr>
        <w:t>Stabilité des prix : taux d'inflation inférieur à 2% ;</w:t>
      </w:r>
    </w:p>
    <w:p w:rsidR="00B43C89" w:rsidRPr="00100FCB" w:rsidRDefault="00B43C89" w:rsidP="00B43C89">
      <w:pPr>
        <w:rPr>
          <w:sz w:val="28"/>
          <w:szCs w:val="28"/>
        </w:rPr>
      </w:pPr>
      <w:r w:rsidRPr="00100FCB">
        <w:rPr>
          <w:sz w:val="28"/>
          <w:szCs w:val="28"/>
        </w:rPr>
        <w:t>Inflation rampante : 3 à 4% par an ;</w:t>
      </w:r>
    </w:p>
    <w:p w:rsidR="00B43C89" w:rsidRPr="00100FCB" w:rsidRDefault="00B43C89" w:rsidP="00B43C89">
      <w:pPr>
        <w:rPr>
          <w:sz w:val="28"/>
          <w:szCs w:val="28"/>
        </w:rPr>
      </w:pPr>
      <w:r w:rsidRPr="00100FCB">
        <w:rPr>
          <w:sz w:val="28"/>
          <w:szCs w:val="28"/>
        </w:rPr>
        <w:t>Inflation ouverte : 5 à 10% de hausse (avec des pointes à 20%) ;</w:t>
      </w:r>
    </w:p>
    <w:p w:rsidR="00B43C89" w:rsidRDefault="00B43C89" w:rsidP="00B43C89">
      <w:pPr>
        <w:rPr>
          <w:sz w:val="28"/>
          <w:szCs w:val="28"/>
        </w:rPr>
      </w:pPr>
      <w:r w:rsidRPr="00100FCB">
        <w:rPr>
          <w:sz w:val="28"/>
          <w:szCs w:val="28"/>
        </w:rPr>
        <w:t>Inflation galopante ou hyperinflation : plus de 20%.</w:t>
      </w:r>
    </w:p>
    <w:p w:rsidR="00B43C89" w:rsidRPr="00100FCB" w:rsidRDefault="00D95E02" w:rsidP="00B43C89">
      <w:pPr>
        <w:rPr>
          <w:sz w:val="28"/>
          <w:szCs w:val="28"/>
        </w:rPr>
      </w:pPr>
      <w:r>
        <w:rPr>
          <w:sz w:val="28"/>
          <w:szCs w:val="28"/>
        </w:rPr>
        <w:t xml:space="preserve">Les </w:t>
      </w:r>
      <w:r w:rsidR="00B43C89">
        <w:rPr>
          <w:sz w:val="28"/>
          <w:szCs w:val="28"/>
        </w:rPr>
        <w:t>taux d’inflation</w:t>
      </w:r>
      <w:r>
        <w:rPr>
          <w:sz w:val="28"/>
          <w:szCs w:val="28"/>
        </w:rPr>
        <w:t xml:space="preserve"> </w:t>
      </w:r>
      <w:r w:rsidR="00B43C89">
        <w:rPr>
          <w:sz w:val="28"/>
          <w:szCs w:val="28"/>
        </w:rPr>
        <w:t>connus</w:t>
      </w:r>
      <w:r>
        <w:rPr>
          <w:sz w:val="28"/>
          <w:szCs w:val="28"/>
        </w:rPr>
        <w:t xml:space="preserve"> par le Maroc</w:t>
      </w:r>
      <w:r w:rsidR="00B43C89">
        <w:rPr>
          <w:sz w:val="28"/>
          <w:szCs w:val="28"/>
        </w:rPr>
        <w:t xml:space="preserve"> ces 4 derniers années sont comme suit selon le HCP :</w:t>
      </w:r>
    </w:p>
    <w:p w:rsidR="00100FCB" w:rsidRPr="00100FCB" w:rsidRDefault="00100FCB" w:rsidP="00100FCB">
      <w:pPr>
        <w:rPr>
          <w:sz w:val="28"/>
          <w:szCs w:val="28"/>
        </w:rPr>
      </w:pPr>
    </w:p>
    <w:p w:rsidR="00100FCB" w:rsidRPr="00100FCB" w:rsidRDefault="00651EF5" w:rsidP="00B43C89">
      <w:pPr>
        <w:rPr>
          <w:sz w:val="28"/>
          <w:szCs w:val="28"/>
        </w:rPr>
      </w:pPr>
      <w:r>
        <w:rPr>
          <w:sz w:val="28"/>
          <w:szCs w:val="28"/>
        </w:rPr>
        <w:t xml:space="preserve">   </w:t>
      </w:r>
      <w:bookmarkStart w:id="0" w:name="_GoBack"/>
      <w:bookmarkEnd w:id="0"/>
      <w:r w:rsidR="00B43C89">
        <w:rPr>
          <w:noProof/>
          <w:sz w:val="28"/>
          <w:szCs w:val="28"/>
        </w:rPr>
        <w:drawing>
          <wp:inline distT="0" distB="0" distL="0" distR="0">
            <wp:extent cx="5486400" cy="3200400"/>
            <wp:effectExtent l="0" t="0" r="0"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100FCB" w:rsidRPr="00100FCB">
        <w:rPr>
          <w:sz w:val="28"/>
          <w:szCs w:val="28"/>
        </w:rPr>
        <w:t xml:space="preserve"> </w:t>
      </w:r>
    </w:p>
    <w:p w:rsidR="00100FCB" w:rsidRDefault="00D95E02" w:rsidP="00D95E02">
      <w:pPr>
        <w:rPr>
          <w:sz w:val="28"/>
          <w:szCs w:val="28"/>
        </w:rPr>
      </w:pPr>
      <w:r>
        <w:rPr>
          <w:sz w:val="28"/>
          <w:szCs w:val="28"/>
        </w:rPr>
        <w:lastRenderedPageBreak/>
        <w:t xml:space="preserve">Le Maroc </w:t>
      </w:r>
      <w:r w:rsidR="00651EF5">
        <w:rPr>
          <w:sz w:val="28"/>
          <w:szCs w:val="28"/>
        </w:rPr>
        <w:t>connaît</w:t>
      </w:r>
      <w:r>
        <w:rPr>
          <w:sz w:val="28"/>
          <w:szCs w:val="28"/>
        </w:rPr>
        <w:t xml:space="preserve"> alors Une stabilité des prix, puisque dans les 4 dernières année le taux d’inflation n’a pas dépassé 2%. </w:t>
      </w:r>
    </w:p>
    <w:p w:rsidR="00D95E02" w:rsidRDefault="00D95E02" w:rsidP="00D95E02">
      <w:pPr>
        <w:rPr>
          <w:sz w:val="28"/>
          <w:szCs w:val="28"/>
        </w:rPr>
      </w:pPr>
      <w:r>
        <w:rPr>
          <w:sz w:val="28"/>
          <w:szCs w:val="28"/>
        </w:rPr>
        <w:t xml:space="preserve">Par contre en France dans ces dernières années y’avais </w:t>
      </w:r>
      <w:r w:rsidR="00651EF5">
        <w:rPr>
          <w:sz w:val="28"/>
          <w:szCs w:val="28"/>
        </w:rPr>
        <w:t>des dépassements</w:t>
      </w:r>
      <w:r>
        <w:rPr>
          <w:sz w:val="28"/>
          <w:szCs w:val="28"/>
        </w:rPr>
        <w:t xml:space="preserve"> de 2% comme </w:t>
      </w:r>
      <w:r w:rsidR="00651EF5">
        <w:rPr>
          <w:sz w:val="28"/>
          <w:szCs w:val="28"/>
        </w:rPr>
        <w:t xml:space="preserve">le </w:t>
      </w:r>
      <w:r>
        <w:rPr>
          <w:sz w:val="28"/>
          <w:szCs w:val="28"/>
        </w:rPr>
        <w:t xml:space="preserve">montre le graphe suivant : </w:t>
      </w:r>
    </w:p>
    <w:p w:rsidR="00D95E02" w:rsidRDefault="00D95E02" w:rsidP="00D95E02">
      <w:pPr>
        <w:rPr>
          <w:sz w:val="28"/>
          <w:szCs w:val="28"/>
        </w:rPr>
      </w:pPr>
    </w:p>
    <w:p w:rsidR="00D95E02" w:rsidRDefault="00D95E02" w:rsidP="00D95E02">
      <w:pPr>
        <w:rPr>
          <w:sz w:val="28"/>
          <w:szCs w:val="28"/>
        </w:rPr>
      </w:pPr>
      <w:r>
        <w:rPr>
          <w:noProof/>
          <w:sz w:val="28"/>
          <w:szCs w:val="28"/>
        </w:rPr>
        <w:drawing>
          <wp:inline distT="0" distB="0" distL="0" distR="0">
            <wp:extent cx="5760720" cy="381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f47e58_Ma9o0h0TGHvNG6TfzV3AOXjH.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810000"/>
                    </a:xfrm>
                    <a:prstGeom prst="rect">
                      <a:avLst/>
                    </a:prstGeom>
                  </pic:spPr>
                </pic:pic>
              </a:graphicData>
            </a:graphic>
          </wp:inline>
        </w:drawing>
      </w:r>
    </w:p>
    <w:p w:rsidR="00100FCB" w:rsidRPr="00100FCB" w:rsidRDefault="00100FCB" w:rsidP="00100FCB">
      <w:pPr>
        <w:jc w:val="both"/>
        <w:rPr>
          <w:sz w:val="28"/>
          <w:szCs w:val="28"/>
        </w:rPr>
      </w:pPr>
    </w:p>
    <w:p w:rsidR="009A45F6" w:rsidRDefault="009A45F6" w:rsidP="001B4D27">
      <w:pPr>
        <w:rPr>
          <w:sz w:val="28"/>
          <w:szCs w:val="28"/>
        </w:rPr>
      </w:pPr>
    </w:p>
    <w:p w:rsidR="009A45F6" w:rsidRDefault="009A45F6" w:rsidP="001B4D27">
      <w:pPr>
        <w:rPr>
          <w:sz w:val="28"/>
          <w:szCs w:val="28"/>
        </w:rPr>
      </w:pPr>
    </w:p>
    <w:sectPr w:rsidR="009A45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27"/>
    <w:rsid w:val="00100FCB"/>
    <w:rsid w:val="00160E72"/>
    <w:rsid w:val="001B035B"/>
    <w:rsid w:val="001B4D27"/>
    <w:rsid w:val="001C5FEE"/>
    <w:rsid w:val="005C196C"/>
    <w:rsid w:val="00651EF5"/>
    <w:rsid w:val="009A45F6"/>
    <w:rsid w:val="009F737B"/>
    <w:rsid w:val="00B43C89"/>
    <w:rsid w:val="00D152E1"/>
    <w:rsid w:val="00D95E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54F3"/>
  <w15:chartTrackingRefBased/>
  <w15:docId w15:val="{608CF644-EBBB-4239-9266-C59ECDA7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1B4D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23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Croissance</a:t>
            </a:r>
            <a:r>
              <a:rPr lang="fr-FR" baseline="0"/>
              <a:t> 2015-2018</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solidFill>
              <a:schemeClr val="accent1"/>
            </a:solidFill>
            <a:ln>
              <a:noFill/>
            </a:ln>
            <a:effectLst/>
          </c:spPr>
          <c:invertIfNegative val="0"/>
          <c:cat>
            <c:numRef>
              <c:f>Feuil1!$A$2:$A$5</c:f>
              <c:numCache>
                <c:formatCode>General</c:formatCode>
                <c:ptCount val="4"/>
                <c:pt idx="0">
                  <c:v>2015</c:v>
                </c:pt>
                <c:pt idx="1">
                  <c:v>2016</c:v>
                </c:pt>
                <c:pt idx="2">
                  <c:v>2017</c:v>
                </c:pt>
                <c:pt idx="3">
                  <c:v>2018</c:v>
                </c:pt>
              </c:numCache>
            </c:numRef>
          </c:cat>
          <c:val>
            <c:numRef>
              <c:f>Feuil1!$B$2:$B$5</c:f>
              <c:numCache>
                <c:formatCode>General</c:formatCode>
                <c:ptCount val="4"/>
                <c:pt idx="0">
                  <c:v>4.4000000000000004</c:v>
                </c:pt>
                <c:pt idx="1">
                  <c:v>1.3</c:v>
                </c:pt>
                <c:pt idx="2">
                  <c:v>4.0999999999999996</c:v>
                </c:pt>
                <c:pt idx="3">
                  <c:v>3</c:v>
                </c:pt>
              </c:numCache>
            </c:numRef>
          </c:val>
          <c:extLst>
            <c:ext xmlns:c16="http://schemas.microsoft.com/office/drawing/2014/chart" uri="{C3380CC4-5D6E-409C-BE32-E72D297353CC}">
              <c16:uniqueId val="{00000000-C6E7-4261-9F6E-BDEA53037F19}"/>
            </c:ext>
          </c:extLst>
        </c:ser>
        <c:dLbls>
          <c:showLegendKey val="0"/>
          <c:showVal val="0"/>
          <c:showCatName val="0"/>
          <c:showSerName val="0"/>
          <c:showPercent val="0"/>
          <c:showBubbleSize val="0"/>
        </c:dLbls>
        <c:gapWidth val="219"/>
        <c:overlap val="-27"/>
        <c:axId val="465369800"/>
        <c:axId val="465365864"/>
      </c:barChart>
      <c:catAx>
        <c:axId val="46536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5365864"/>
        <c:crosses val="autoZero"/>
        <c:auto val="1"/>
        <c:lblAlgn val="ctr"/>
        <c:lblOffset val="100"/>
        <c:noMultiLvlLbl val="0"/>
      </c:catAx>
      <c:valAx>
        <c:axId val="465365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5369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Valeur ajoutée non agricole</c:v>
                </c:pt>
              </c:strCache>
            </c:strRef>
          </c:tx>
          <c:spPr>
            <a:solidFill>
              <a:schemeClr val="accent1"/>
            </a:solidFill>
            <a:ln>
              <a:noFill/>
            </a:ln>
            <a:effectLst/>
          </c:spPr>
          <c:invertIfNegative val="0"/>
          <c:cat>
            <c:numRef>
              <c:f>Feuil1!$A$2:$A$5</c:f>
              <c:numCache>
                <c:formatCode>General</c:formatCode>
                <c:ptCount val="4"/>
                <c:pt idx="0">
                  <c:v>2015</c:v>
                </c:pt>
                <c:pt idx="1">
                  <c:v>2016</c:v>
                </c:pt>
                <c:pt idx="2">
                  <c:v>2017</c:v>
                </c:pt>
                <c:pt idx="3">
                  <c:v>2019</c:v>
                </c:pt>
              </c:numCache>
            </c:numRef>
          </c:cat>
          <c:val>
            <c:numRef>
              <c:f>Feuil1!$B$2:$B$5</c:f>
              <c:numCache>
                <c:formatCode>General</c:formatCode>
                <c:ptCount val="4"/>
                <c:pt idx="0">
                  <c:v>1.7</c:v>
                </c:pt>
                <c:pt idx="1">
                  <c:v>2.9</c:v>
                </c:pt>
                <c:pt idx="2">
                  <c:v>3.4</c:v>
                </c:pt>
                <c:pt idx="3">
                  <c:v>2.6</c:v>
                </c:pt>
              </c:numCache>
            </c:numRef>
          </c:val>
          <c:extLst>
            <c:ext xmlns:c16="http://schemas.microsoft.com/office/drawing/2014/chart" uri="{C3380CC4-5D6E-409C-BE32-E72D297353CC}">
              <c16:uniqueId val="{00000000-92A9-4E13-9BBF-4DB94413D91D}"/>
            </c:ext>
          </c:extLst>
        </c:ser>
        <c:dLbls>
          <c:showLegendKey val="0"/>
          <c:showVal val="0"/>
          <c:showCatName val="0"/>
          <c:showSerName val="0"/>
          <c:showPercent val="0"/>
          <c:showBubbleSize val="0"/>
        </c:dLbls>
        <c:gapWidth val="219"/>
        <c:overlap val="-27"/>
        <c:axId val="470158984"/>
        <c:axId val="470166528"/>
      </c:barChart>
      <c:catAx>
        <c:axId val="470158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0166528"/>
        <c:crosses val="autoZero"/>
        <c:auto val="1"/>
        <c:lblAlgn val="ctr"/>
        <c:lblOffset val="100"/>
        <c:noMultiLvlLbl val="0"/>
      </c:catAx>
      <c:valAx>
        <c:axId val="47016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0158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Série 1</c:v>
                </c:pt>
              </c:strCache>
            </c:strRef>
          </c:tx>
          <c:spPr>
            <a:solidFill>
              <a:schemeClr val="accent1"/>
            </a:solidFill>
            <a:ln>
              <a:noFill/>
            </a:ln>
            <a:effectLst/>
          </c:spPr>
          <c:invertIfNegative val="0"/>
          <c:cat>
            <c:strRef>
              <c:f>Feuil1!$A$2:$A$5</c:f>
              <c:strCache>
                <c:ptCount val="4"/>
                <c:pt idx="0">
                  <c:v>Catégorie 1</c:v>
                </c:pt>
                <c:pt idx="1">
                  <c:v>Catégorie 2</c:v>
                </c:pt>
                <c:pt idx="2">
                  <c:v>Catégorie 3</c:v>
                </c:pt>
                <c:pt idx="3">
                  <c:v>Catégorie 4</c:v>
                </c:pt>
              </c:strCache>
            </c:strRef>
          </c:cat>
          <c:val>
            <c:numRef>
              <c:f>Feuil1!$B$2:$B$5</c:f>
              <c:numCache>
                <c:formatCode>General</c:formatCode>
                <c:ptCount val="4"/>
                <c:pt idx="0">
                  <c:v>1.7</c:v>
                </c:pt>
                <c:pt idx="1">
                  <c:v>1.6</c:v>
                </c:pt>
                <c:pt idx="2">
                  <c:v>0.7</c:v>
                </c:pt>
                <c:pt idx="3">
                  <c:v>1.9</c:v>
                </c:pt>
              </c:numCache>
            </c:numRef>
          </c:val>
          <c:extLst>
            <c:ext xmlns:c16="http://schemas.microsoft.com/office/drawing/2014/chart" uri="{C3380CC4-5D6E-409C-BE32-E72D297353CC}">
              <c16:uniqueId val="{00000000-B2BE-4220-B28C-6B243A0BFB70}"/>
            </c:ext>
          </c:extLst>
        </c:ser>
        <c:dLbls>
          <c:showLegendKey val="0"/>
          <c:showVal val="0"/>
          <c:showCatName val="0"/>
          <c:showSerName val="0"/>
          <c:showPercent val="0"/>
          <c:showBubbleSize val="0"/>
        </c:dLbls>
        <c:gapWidth val="219"/>
        <c:overlap val="-27"/>
        <c:axId val="396440840"/>
        <c:axId val="396441168"/>
      </c:barChart>
      <c:catAx>
        <c:axId val="396440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6441168"/>
        <c:crosses val="autoZero"/>
        <c:auto val="1"/>
        <c:lblAlgn val="ctr"/>
        <c:lblOffset val="100"/>
        <c:noMultiLvlLbl val="0"/>
      </c:catAx>
      <c:valAx>
        <c:axId val="396441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6440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387</Words>
  <Characters>2133</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4</cp:revision>
  <dcterms:created xsi:type="dcterms:W3CDTF">2019-11-10T18:58:00Z</dcterms:created>
  <dcterms:modified xsi:type="dcterms:W3CDTF">2019-11-13T20:58:00Z</dcterms:modified>
</cp:coreProperties>
</file>