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Publication-ready tables for Geed Deeble NDVI analysis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2"/>
        </w:rPr>
        <w:t>Table 1. Landsat image count and NDVI descriptive statistics for the Geed Deeble Forest Reserve ecosystem, MAM/Gu season, 2000–2024.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007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Primary sensor(s)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Image count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Mean NDVI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Min NDVI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Max NDVI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SD NDVI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Landsat 5 TM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0.113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0.041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0.528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0.026</w:t>
            </w:r>
          </w:p>
        </w:tc>
      </w:tr>
      <w:tr>
        <w:tc>
          <w:tcPr>
            <w:tcW w:type="dxa" w:w="1007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2008</w:t>
            </w:r>
          </w:p>
        </w:tc>
        <w:tc>
          <w:tcPr>
            <w:tcW w:type="dxa" w:w="2880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Landsat 7 ETM+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0.114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0.053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0.521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0.032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2016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Landsat 8 OLI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0.162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0.076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0.702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0.055</w:t>
            </w:r>
          </w:p>
        </w:tc>
      </w:tr>
      <w:tr>
        <w:tc>
          <w:tcPr>
            <w:tcW w:type="dxa" w:w="1007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2024</w:t>
            </w:r>
          </w:p>
        </w:tc>
        <w:tc>
          <w:tcPr>
            <w:tcW w:type="dxa" w:w="2880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Landsat 8 OLI / Landsat 9 OLI-2</w:t>
            </w:r>
          </w:p>
        </w:tc>
        <w:tc>
          <w:tcPr>
            <w:tcW w:type="dxa" w:w="129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11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0.201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-0.311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0.741</w:t>
            </w:r>
          </w:p>
        </w:tc>
        <w:tc>
          <w:tcPr>
            <w:tcW w:type="dxa" w:w="115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0.073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Times New Roman"/>
          <w:i/>
          <w:color w:val="505050"/>
          <w:sz w:val="18"/>
        </w:rPr>
        <w:t>Note: NDVI values are unitless. Statistics were derived from seasonal Landsat Collection 2 Level-2 Surface Reflectance composites.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2"/>
        </w:rPr>
        <w:t>Table 2. NDVI vegetation class area and percentage within the Geed Deeble Forest Reserve ecosystem, 2000–2024.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655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NDVI range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Vegetation condition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Area (ha)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Area (%)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2000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0.00–0.15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Bare or degraded land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5,532.33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93.89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0.15–0.25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Very sparse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298.99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5.07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0.25–0.40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Sparse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32.31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0.55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0.40–0.60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Moderate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4.76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0.08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2008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0.00–0.15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Bare or degraded land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5,414.22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91.88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0.15–0.25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Very sparse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394.67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6.70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0.25–0.40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Sparse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52.09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0.88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0.40–0.60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Moderate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7.40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0.13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2016</w:t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0.00–0.15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Bare or degraded land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3,229.15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54.80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0.15–0.25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Very sparse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2,303.77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39.10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0.25–0.40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Sparse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265.51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4.51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0.40–0.60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Moderate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64.23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1.09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&gt; 0.60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Dense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5.73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0.10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2024</w:t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&lt; 0.00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Negative / water / shadow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0.18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0.00–0.15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Bare or degraded land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633.17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10.75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0.15–0.25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Very sparse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4,489.65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76.19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0.25–0.40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Sparse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548.32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9.31</w:t>
            </w:r>
          </w:p>
        </w:tc>
      </w:tr>
      <w:tr>
        <w:tc>
          <w:tcPr>
            <w:tcW w:type="dxa" w:w="936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0.40–0.60</w:t>
            </w:r>
          </w:p>
        </w:tc>
        <w:tc>
          <w:tcPr>
            <w:tcW w:type="dxa" w:w="3744"/>
            <w:vAlign w:val="center"/>
            <w:shd w:fill="F3F6FA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Moderate vegetation</w:t>
            </w:r>
          </w:p>
        </w:tc>
        <w:tc>
          <w:tcPr>
            <w:tcW w:type="dxa" w:w="1512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173.89</w:t>
            </w:r>
          </w:p>
        </w:tc>
        <w:tc>
          <w:tcPr>
            <w:tcW w:type="dxa" w:w="1440"/>
            <w:vAlign w:val="center"/>
            <w:shd w:fill="F3F6FA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2.95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&gt; 0.60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Dense vegetation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23.18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0.39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Times New Roman"/>
          <w:i/>
          <w:color w:val="505050"/>
          <w:sz w:val="18"/>
        </w:rPr>
        <w:t>Note: Area (%) represents the share of the AOI. Small rounding differences may occur because values are rounded to two decimal places.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Publication-ready tables for Geed Deeble NDVI analysis</dc:title>
  <dc:subject>NDVI descriptive statistics and vegetation class area tables</dc:subject>
  <dc:creator>Ahmed Hussein Ismail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