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: Ahmed Atef Mohamed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Section</w:t>
      </w:r>
      <w:r w:rsidDel="00000000" w:rsidR="00000000" w:rsidRPr="00000000">
        <w:rPr>
          <w:rtl w:val="0"/>
        </w:rPr>
        <w:t xml:space="preserve">: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1-List the access method on Memory?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Sequential access.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Direct access.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Random access.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Associative.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2- Write notes about “Word” on Memory?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The natural unit of organization of memory.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The size of a word is typically equal to the number of bits used to represent an integer and to   the instruction length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Unfortunately there are many exceptions , the cray 90 has a 64-bit word length but used a 46-bit integer representation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3- Write notes about Memory hierarchy?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There is a Trade off among the 3 key characteristics of memory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Capacity.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Access time.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The cost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variety of technologies are used to implement memory systems and across this spectrum of Technologies 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