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A5F"/>
          <w:sz w:val="60"/>
          <w:szCs w:val="60"/>
        </w:rPr>
        <w:t xml:space="preserve">xStore</w:t>
      </w:r>
    </w:p>
    <w:p>
      <w:pPr>
        <w:pBdr>
          <w:bottom w:val="single" w:color="2E7D8F" w:sz="12" w:space="8"/>
        </w:pBdr>
        <w:spacing w:after="60"/>
        <w:jc w:val="center"/>
      </w:pPr>
    </w:p>
    <w:p>
      <w:pPr>
        <w:spacing w:after="40" w:before="200"/>
        <w:jc w:val="center"/>
      </w:pPr>
      <w:r>
        <w:rPr>
          <w:rFonts w:ascii="Calibri" w:cs="Calibri" w:eastAsia="Calibri" w:hAnsi="Calibri"/>
          <w:b/>
          <w:bCs/>
          <w:color w:val="222222"/>
          <w:sz w:val="40"/>
          <w:szCs w:val="40"/>
        </w:rPr>
        <w:t xml:space="preserve">Platform Commission Model</w:t>
      </w:r>
    </w:p>
    <w:p>
      <w:pPr>
        <w:spacing w:after="500"/>
        <w:jc w:val="center"/>
      </w:pPr>
      <w:r>
        <w:rPr>
          <w:rFonts w:ascii="Calibri" w:cs="Calibri" w:eastAsia="Calibri" w:hAnsi="Calibri"/>
          <w:i/>
          <w:iCs/>
          <w:color w:val="5B6470"/>
          <w:sz w:val="24"/>
          <w:szCs w:val="24"/>
        </w:rPr>
        <w:t xml:space="preserve">How the app earns on every order — a Cash-on-Delivery marketplace</w:t>
      </w:r>
    </w:p>
    <w:p>
      <w:pPr>
        <w:spacing w:after="30"/>
        <w:jc w:val="center"/>
      </w:pPr>
      <w:r>
        <w:rPr>
          <w:rFonts w:ascii="Calibri" w:cs="Calibri" w:eastAsia="Calibri" w:hAnsi="Calibri"/>
          <w:color w:val="5B6470"/>
          <w:sz w:val="22"/>
          <w:szCs w:val="22"/>
        </w:rPr>
        <w:t xml:space="preserve">Business Requirements &amp; Revenue Design Document</w:t>
      </w:r>
    </w:p>
    <w:p>
      <w:pPr>
        <w:spacing w:after="30"/>
        <w:jc w:val="center"/>
      </w:pPr>
      <w:r>
        <w:rPr>
          <w:rFonts w:ascii="Calibri" w:cs="Calibri" w:eastAsia="Calibri" w:hAnsi="Calibri"/>
          <w:color w:val="5B6470"/>
          <w:sz w:val="20"/>
          <w:szCs w:val="20"/>
        </w:rPr>
        <w:t xml:space="preserve">Version 1.0  ·  10 July 2026</w:t>
      </w:r>
    </w:p>
    <w:p>
      <w:pPr>
        <w:spacing w:after="30"/>
        <w:jc w:val="center"/>
      </w:pPr>
      <w:r>
        <w:rPr>
          <w:rFonts w:ascii="Calibri" w:cs="Calibri" w:eastAsia="Calibri" w:hAnsi="Calibri"/>
          <w:b/>
          <w:bCs/>
          <w:color w:val="2E7D8F"/>
          <w:sz w:val="20"/>
          <w:szCs w:val="20"/>
        </w:rPr>
        <w:t xml:space="preserve">Status: Draft for approval</w:t>
      </w:r>
    </w:p>
    <w:p>
      <w:r>
        <w:br w:type="page"/>
      </w:r>
    </w:p>
    <w:p>
      <w:pPr>
        <w:pStyle w:val="Heading1"/>
        <w:spacing w:after="140" w:before="32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A5F"/>
          <w:sz w:val="30"/>
          <w:szCs w:val="30"/>
        </w:rPr>
        <w:t xml:space="preserve">1. Executive Summary</w:t>
      </w:r>
    </w:p>
    <w:p>
      <w:pPr>
        <w:spacing w:after="120" w:line="276"/>
      </w:pPr>
      <w:r>
        <w:rPr>
          <w:rFonts w:ascii="Calibri" w:cs="Calibri" w:eastAsia="Calibri" w:hAnsi="Calibri"/>
          <w:color w:val="222222"/>
          <w:sz w:val="21"/>
          <w:szCs w:val="21"/>
        </w:rPr>
        <w:t xml:space="preserve">xStore currently has no mechanism to earn revenue from the transactions it facilitates. A vendor lists a product, a buyer orders it, and the money passes entirely between them — the platform captures nothing. This document defines the feature that changes that: a platform commission (the “benefit for the app”) charged on every completed order.</w:t>
      </w:r>
    </w:p>
    <w:p>
      <w:pPr>
        <w:spacing w:after="120" w:line="276"/>
      </w:pPr>
      <w:r>
        <w:rPr>
          <w:rFonts w:ascii="Calibri" w:cs="Calibri" w:eastAsia="Calibri" w:hAnsi="Calibri"/>
          <w:sz w:val="21"/>
          <w:szCs w:val="21"/>
        </w:rPr>
        <w:t xml:space="preserve">The model is deliberately simple, because the app operates as a </w:t>
      </w:r>
      <w:r>
        <w:rPr>
          <w:rFonts w:ascii="Calibri" w:cs="Calibri" w:eastAsia="Calibri" w:hAnsi="Calibri"/>
          <w:b/>
          <w:bCs/>
          <w:sz w:val="21"/>
          <w:szCs w:val="21"/>
        </w:rPr>
        <w:t xml:space="preserve">Cash-on-Delivery (COD) marketplace</w:t>
      </w:r>
      <w:r>
        <w:rPr>
          <w:rFonts w:ascii="Calibri" w:cs="Calibri" w:eastAsia="Calibri" w:hAnsi="Calibri"/>
          <w:sz w:val="21"/>
          <w:szCs w:val="21"/>
        </w:rPr>
        <w:t xml:space="preserve"> in Algeria (DZD). Every buyer pays cash to the vendor or courier on delivery, so the app never touches the money. That single fact shapes the entire design: the app is always </w:t>
      </w:r>
      <w:r>
        <w:rPr>
          <w:rFonts w:ascii="Calibri" w:cs="Calibri" w:eastAsia="Calibri" w:hAnsi="Calibri"/>
          <w:i/>
          <w:iCs/>
          <w:sz w:val="21"/>
          <w:szCs w:val="21"/>
        </w:rPr>
        <w:t xml:space="preserve">owed</w:t>
      </w:r>
      <w:r>
        <w:rPr>
          <w:rFonts w:ascii="Calibri" w:cs="Calibri" w:eastAsia="Calibri" w:hAnsi="Calibri"/>
          <w:sz w:val="21"/>
          <w:szCs w:val="21"/>
        </w:rPr>
        <w:t xml:space="preserve"> its commission rather than distributing funds, and the money only ever flows in one direction — from the vendor to the platform.</w:t>
      </w:r>
    </w:p>
    <w:p>
      <w:pPr>
        <w:spacing w:after="120" w:line="276"/>
      </w:pPr>
      <w:r>
        <w:rPr>
          <w:rFonts w:ascii="Calibri" w:cs="Calibri" w:eastAsia="Calibri" w:hAnsi="Calibri"/>
          <w:b/>
          <w:bCs/>
          <w:sz w:val="21"/>
          <w:szCs w:val="21"/>
        </w:rPr>
        <w:t xml:space="preserve">In one sentence: </w:t>
      </w:r>
      <w:r>
        <w:rPr>
          <w:rFonts w:ascii="Calibri" w:cs="Calibri" w:eastAsia="Calibri" w:hAnsi="Calibri"/>
          <w:sz w:val="21"/>
          <w:szCs w:val="21"/>
        </w:rPr>
        <w:t xml:space="preserve">the platform sets a commission percentage per category; the buyer pays one clean price and never sees a fee; the vendor sees exactly what they earn and what they owe; and when an order is delivered, the commission becomes a debt the vendor settles with the platform on a weekly cycle.</w:t>
      </w:r>
    </w:p>
    <w:p>
      <w:pPr>
        <w:pStyle w:val="Heading2"/>
        <w:spacing w:after="100" w:before="220"/>
      </w:pPr>
      <w:r>
        <w:rPr>
          <w:rFonts w:ascii="Calibri" w:cs="Calibri" w:eastAsia="Calibri" w:hAnsi="Calibri"/>
          <w:b/>
          <w:bCs/>
          <w:color w:val="2E7D8F"/>
          <w:sz w:val="25"/>
          <w:szCs w:val="25"/>
        </w:rPr>
        <w:t xml:space="preserve">Key decisions locked in this document</w:t>
      </w:r>
    </w:p>
    <w:tbl>
      <w:tblPr>
        <w:tblW w:type="dxa" w:w="9520"/>
        <w:tblBorders>
          <w:top w:val="single" w:color="C9D4DB" w:sz="4"/>
          <w:left w:val="single" w:color="C9D4DB" w:sz="4"/>
          <w:bottom w:val="single" w:color="C9D4DB" w:sz="4"/>
          <w:right w:val="single" w:color="C9D4DB" w:sz="4"/>
          <w:insideH w:val="single" w:color="C9D4DB" w:sz="4"/>
          <w:insideV w:val="single" w:color="C9D4DB" w:sz="4"/>
        </w:tblBorders>
      </w:tblPr>
      <w:tblGrid>
        <w:gridCol w:w="2500"/>
        <w:gridCol w:w="4520"/>
        <w:gridCol w:w="2500"/>
      </w:tblGrid>
      <w:tr>
        <w:trPr>
          <w:tblHeader/>
        </w:trPr>
        <w:tc>
          <w:tcPr>
            <w:tcW w:type="dxa" w:w="25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Decision</w:t>
            </w:r>
          </w:p>
        </w:tc>
        <w:tc>
          <w:tcPr>
            <w:tcW w:type="dxa" w:w="452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Outcome</w:t>
            </w:r>
          </w:p>
        </w:tc>
        <w:tc>
          <w:tcPr>
            <w:tcW w:type="dxa" w:w="25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Rationale</w:t>
            </w:r>
          </w:p>
        </w:tc>
      </w:tr>
      <w:tr>
        <w:tc>
          <w:tcPr>
            <w:tcW w:type="dxa" w:w="25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Who sets the fee</w:t>
            </w:r>
          </w:p>
        </w:tc>
        <w:tc>
          <w:tcPr>
            <w:tcW w:type="dxa" w:w="45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Platform sets a % per category</w:t>
            </w:r>
          </w:p>
        </w:tc>
        <w:tc>
          <w:tcPr>
            <w:tcW w:type="dxa" w:w="25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Vendors cannot negotiate the app's own revenue</w:t>
            </w:r>
          </w:p>
        </w:tc>
      </w:tr>
      <w:tr>
        <w:tc>
          <w:tcPr>
            <w:tcW w:type="dxa" w:w="25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Buyer visibility</w:t>
            </w:r>
          </w:p>
        </w:tc>
        <w:tc>
          <w:tcPr>
            <w:tcW w:type="dxa" w:w="45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Fee is invisible to the buyer</w:t>
            </w:r>
          </w:p>
        </w:tc>
        <w:tc>
          <w:tcPr>
            <w:tcW w:type="dxa" w:w="25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Buyer pays one clean price; fee shown only to vendor</w:t>
            </w:r>
          </w:p>
        </w:tc>
      </w:tr>
      <w:tr>
        <w:tc>
          <w:tcPr>
            <w:tcW w:type="dxa" w:w="25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Payment context</w:t>
            </w:r>
          </w:p>
        </w:tc>
        <w:tc>
          <w:tcPr>
            <w:tcW w:type="dxa" w:w="45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100% Cash on Delivery</w:t>
            </w:r>
          </w:p>
        </w:tc>
        <w:tc>
          <w:tcPr>
            <w:tcW w:type="dxa" w:w="25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Money flows vendor → app only; app never holds funds</w:t>
            </w:r>
          </w:p>
        </w:tc>
      </w:tr>
      <w:tr>
        <w:tc>
          <w:tcPr>
            <w:tcW w:type="dxa" w:w="25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Commission trigger</w:t>
            </w:r>
          </w:p>
        </w:tc>
        <w:tc>
          <w:tcPr>
            <w:tcW w:type="dxa" w:w="45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 marked Delivered</w:t>
            </w:r>
          </w:p>
        </w:tc>
        <w:tc>
          <w:tcPr>
            <w:tcW w:type="dxa" w:w="25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No delivery, no fee; protects against failed orders</w:t>
            </w:r>
          </w:p>
        </w:tc>
      </w:tr>
      <w:tr>
        <w:tc>
          <w:tcPr>
            <w:tcW w:type="dxa" w:w="25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Settlement</w:t>
            </w:r>
          </w:p>
        </w:tc>
        <w:tc>
          <w:tcPr>
            <w:tcW w:type="dxa" w:w="45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Weekly, vendor pays the platform</w:t>
            </w:r>
          </w:p>
        </w:tc>
        <w:tc>
          <w:tcPr>
            <w:tcW w:type="dxa" w:w="25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One batch per vendor instead of per-order chasing</w:t>
            </w:r>
          </w:p>
        </w:tc>
      </w:tr>
    </w:tbl>
    <w:p>
      <w:r>
        <w:br w:type="page"/>
      </w:r>
    </w:p>
    <w:p>
      <w:pPr>
        <w:pStyle w:val="Heading1"/>
        <w:spacing w:after="140" w:before="320"/>
      </w:pPr>
      <w:r>
        <w:rPr>
          <w:rFonts w:ascii="Calibri" w:cs="Calibri" w:eastAsia="Calibri" w:hAnsi="Calibri"/>
          <w:b/>
          <w:bCs/>
          <w:color w:val="1F3A5F"/>
          <w:sz w:val="30"/>
          <w:szCs w:val="30"/>
        </w:rPr>
        <w:t xml:space="preserve">2. Business Context &amp; Objective</w:t>
      </w:r>
    </w:p>
    <w:p>
      <w:pPr>
        <w:pStyle w:val="Heading2"/>
        <w:spacing w:after="100" w:before="220"/>
      </w:pPr>
      <w:r>
        <w:rPr>
          <w:rFonts w:ascii="Calibri" w:cs="Calibri" w:eastAsia="Calibri" w:hAnsi="Calibri"/>
          <w:b/>
          <w:bCs/>
          <w:color w:val="2E7D8F"/>
          <w:sz w:val="25"/>
          <w:szCs w:val="25"/>
        </w:rPr>
        <w:t xml:space="preserve">The problem</w:t>
      </w:r>
    </w:p>
    <w:p>
      <w:pPr>
        <w:pStyle w:val="ListParagraph"/>
        <w:numPr>
          <w:ilvl w:val="0"/>
          <w:numId w:val="2"/>
        </w:numPr>
        <w:spacing w:after="70" w:line="270"/>
      </w:pPr>
      <w:r>
        <w:rPr>
          <w:rFonts w:ascii="Calibri" w:cs="Calibri" w:eastAsia="Calibri" w:hAnsi="Calibri"/>
          <w:b/>
          <w:bCs/>
          <w:sz w:val="21"/>
          <w:szCs w:val="21"/>
        </w:rPr>
        <w:t xml:space="preserve">No revenue capture. </w:t>
      </w:r>
      <w:r>
        <w:rPr>
          <w:rFonts w:ascii="Calibri" w:cs="Calibri" w:eastAsia="Calibri" w:hAnsi="Calibri"/>
          <w:sz w:val="21"/>
          <w:szCs w:val="21"/>
        </w:rPr>
        <w:t xml:space="preserve">The app facilitates every sale but earns nothing from it — the current order model has fields for subtotal, shipping, discount and total, but nothing representing the platform's cut.</w:t>
      </w:r>
    </w:p>
    <w:p>
      <w:pPr>
        <w:pStyle w:val="ListParagraph"/>
        <w:numPr>
          <w:ilvl w:val="0"/>
          <w:numId w:val="2"/>
        </w:numPr>
        <w:spacing w:after="70" w:line="270"/>
      </w:pPr>
      <w:r>
        <w:rPr>
          <w:rFonts w:ascii="Calibri" w:cs="Calibri" w:eastAsia="Calibri" w:hAnsi="Calibri"/>
          <w:b/>
          <w:bCs/>
          <w:sz w:val="21"/>
          <w:szCs w:val="21"/>
        </w:rPr>
        <w:t xml:space="preserve">No vendor accounting. </w:t>
      </w:r>
      <w:r>
        <w:rPr>
          <w:rFonts w:ascii="Calibri" w:cs="Calibri" w:eastAsia="Calibri" w:hAnsi="Calibri"/>
          <w:sz w:val="21"/>
          <w:szCs w:val="21"/>
        </w:rPr>
        <w:t xml:space="preserve">The vendor “Earnings” screen is an unbuilt placeholder (“Coming Soon”). Vendors have no view of what they earn or owe.</w:t>
      </w:r>
    </w:p>
    <w:p>
      <w:pPr>
        <w:pStyle w:val="ListParagraph"/>
        <w:numPr>
          <w:ilvl w:val="0"/>
          <w:numId w:val="2"/>
        </w:numPr>
        <w:spacing w:after="70" w:line="270"/>
      </w:pPr>
      <w:r>
        <w:rPr>
          <w:rFonts w:ascii="Calibri" w:cs="Calibri" w:eastAsia="Calibri" w:hAnsi="Calibri"/>
          <w:b/>
          <w:bCs/>
          <w:sz w:val="21"/>
          <w:szCs w:val="21"/>
        </w:rPr>
        <w:t xml:space="preserve">Cash changes hands off-platform. </w:t>
      </w:r>
      <w:r>
        <w:rPr>
          <w:rFonts w:ascii="Calibri" w:cs="Calibri" w:eastAsia="Calibri" w:hAnsi="Calibri"/>
          <w:sz w:val="21"/>
          <w:szCs w:val="21"/>
        </w:rPr>
        <w:t xml:space="preserve">Because payment is COD, the platform cannot simply deduct its fee from a payment it processes — it processes none.</w:t>
      </w:r>
    </w:p>
    <w:p>
      <w:pPr>
        <w:pStyle w:val="Heading2"/>
        <w:spacing w:after="100" w:before="220"/>
      </w:pPr>
      <w:r>
        <w:rPr>
          <w:rFonts w:ascii="Calibri" w:cs="Calibri" w:eastAsia="Calibri" w:hAnsi="Calibri"/>
          <w:b/>
          <w:bCs/>
          <w:color w:val="2E7D8F"/>
          <w:sz w:val="25"/>
          <w:szCs w:val="25"/>
        </w:rPr>
        <w:t xml:space="preserve">The objective</w:t>
      </w:r>
    </w:p>
    <w:p>
      <w:pPr>
        <w:spacing w:after="120" w:line="276"/>
      </w:pPr>
      <w:r>
        <w:rPr>
          <w:rFonts w:ascii="Calibri" w:cs="Calibri" w:eastAsia="Calibri" w:hAnsi="Calibri"/>
          <w:color w:val="222222"/>
          <w:sz w:val="21"/>
          <w:szCs w:val="21"/>
        </w:rPr>
        <w:t xml:space="preserve">Introduce a transparent, enforceable platform commission that: (a) earns the app a defined percentage of every delivered order; (b) is fully visible to the vendor and fully invisible to the buyer; and (c) can be collected reliably in a cash-only environment through a running vendor balance and a weekly settlement cycle.</w:t>
      </w:r>
    </w:p>
    <w:p>
      <w:pPr>
        <w:pStyle w:val="Heading2"/>
        <w:spacing w:after="100" w:before="220"/>
      </w:pPr>
      <w:r>
        <w:rPr>
          <w:rFonts w:ascii="Calibri" w:cs="Calibri" w:eastAsia="Calibri" w:hAnsi="Calibri"/>
          <w:b/>
          <w:bCs/>
          <w:color w:val="2E7D8F"/>
          <w:sz w:val="25"/>
          <w:szCs w:val="25"/>
        </w:rPr>
        <w:t xml:space="preserve">Guiding principles</w:t>
      </w:r>
    </w:p>
    <w:p>
      <w:pPr>
        <w:pStyle w:val="ListParagraph"/>
        <w:numPr>
          <w:ilvl w:val="0"/>
          <w:numId w:val="2"/>
        </w:numPr>
        <w:spacing w:after="70" w:line="270"/>
      </w:pPr>
      <w:r>
        <w:rPr>
          <w:rFonts w:ascii="Calibri" w:cs="Calibri" w:eastAsia="Calibri" w:hAnsi="Calibri"/>
          <w:b/>
          <w:bCs/>
          <w:sz w:val="21"/>
          <w:szCs w:val="21"/>
        </w:rPr>
        <w:t xml:space="preserve">Buyer simplicity. </w:t>
      </w:r>
      <w:r>
        <w:rPr>
          <w:rFonts w:ascii="Calibri" w:cs="Calibri" w:eastAsia="Calibri" w:hAnsi="Calibri"/>
          <w:sz w:val="21"/>
          <w:szCs w:val="21"/>
        </w:rPr>
        <w:t xml:space="preserve">The buyer sees one price and pays it in cash. Nothing about the platform's economics ever appears to them.</w:t>
      </w:r>
    </w:p>
    <w:p>
      <w:pPr>
        <w:pStyle w:val="ListParagraph"/>
        <w:numPr>
          <w:ilvl w:val="0"/>
          <w:numId w:val="2"/>
        </w:numPr>
        <w:spacing w:after="70" w:line="270"/>
      </w:pPr>
      <w:r>
        <w:rPr>
          <w:rFonts w:ascii="Calibri" w:cs="Calibri" w:eastAsia="Calibri" w:hAnsi="Calibri"/>
          <w:b/>
          <w:bCs/>
          <w:sz w:val="21"/>
          <w:szCs w:val="21"/>
        </w:rPr>
        <w:t xml:space="preserve">Vendor transparency. </w:t>
      </w:r>
      <w:r>
        <w:rPr>
          <w:rFonts w:ascii="Calibri" w:cs="Calibri" w:eastAsia="Calibri" w:hAnsi="Calibri"/>
          <w:sz w:val="21"/>
          <w:szCs w:val="21"/>
        </w:rPr>
        <w:t xml:space="preserve">Before publishing a listing the vendor knows their exact earning; on every order they see the fee and their net; at any time they see what they owe.</w:t>
      </w:r>
    </w:p>
    <w:p>
      <w:pPr>
        <w:pStyle w:val="ListParagraph"/>
        <w:numPr>
          <w:ilvl w:val="0"/>
          <w:numId w:val="2"/>
        </w:numPr>
        <w:spacing w:after="70" w:line="270"/>
      </w:pPr>
      <w:r>
        <w:rPr>
          <w:rFonts w:ascii="Calibri" w:cs="Calibri" w:eastAsia="Calibri" w:hAnsi="Calibri"/>
          <w:b/>
          <w:bCs/>
          <w:sz w:val="21"/>
          <w:szCs w:val="21"/>
        </w:rPr>
        <w:t xml:space="preserve">Platform trust boundary. </w:t>
      </w:r>
      <w:r>
        <w:rPr>
          <w:rFonts w:ascii="Calibri" w:cs="Calibri" w:eastAsia="Calibri" w:hAnsi="Calibri"/>
          <w:sz w:val="21"/>
          <w:szCs w:val="21"/>
        </w:rPr>
        <w:t xml:space="preserve">Commission rates, owed balances and settlement are computed and stored on the backend. The app displays these values; it never calculates the platform's own revenue on the device.</w:t>
      </w:r>
    </w:p>
    <w:p>
      <w:r>
        <w:br w:type="page"/>
      </w:r>
    </w:p>
    <w:p>
      <w:pPr>
        <w:pStyle w:val="Heading1"/>
        <w:spacing w:after="140" w:before="320"/>
      </w:pPr>
      <w:r>
        <w:rPr>
          <w:rFonts w:ascii="Calibri" w:cs="Calibri" w:eastAsia="Calibri" w:hAnsi="Calibri"/>
          <w:b/>
          <w:bCs/>
          <w:color w:val="1F3A5F"/>
          <w:sz w:val="30"/>
          <w:szCs w:val="30"/>
        </w:rPr>
        <w:t xml:space="preserve">3. The Commission Model</w:t>
      </w:r>
    </w:p>
    <w:p>
      <w:pPr>
        <w:pStyle w:val="Heading2"/>
        <w:spacing w:after="100" w:before="220"/>
      </w:pPr>
      <w:r>
        <w:rPr>
          <w:rFonts w:ascii="Calibri" w:cs="Calibri" w:eastAsia="Calibri" w:hAnsi="Calibri"/>
          <w:b/>
          <w:bCs/>
          <w:color w:val="2E7D8F"/>
          <w:sz w:val="25"/>
          <w:szCs w:val="25"/>
        </w:rPr>
        <w:t xml:space="preserve">3.1  Rate structure — percentage by category</w:t>
      </w:r>
    </w:p>
    <w:p>
      <w:pPr>
        <w:spacing w:after="120" w:line="276"/>
      </w:pPr>
      <w:r>
        <w:rPr>
          <w:rFonts w:ascii="Calibri" w:cs="Calibri" w:eastAsia="Calibri" w:hAnsi="Calibri"/>
          <w:color w:val="222222"/>
          <w:sz w:val="21"/>
          <w:szCs w:val="21"/>
        </w:rPr>
        <w:t xml:space="preserve">The platform maintains a commission percentage for each product category. Different categories carry different margins, so the rate is configurable per category rather than a single global number. The vendor never sets or negotiates this value.</w:t>
      </w:r>
    </w:p>
    <w:tbl>
      <w:tblPr>
        <w:tblW w:type="dxa" w:w="9520"/>
        <w:tblBorders>
          <w:top w:val="single" w:color="C9D4DB" w:sz="4"/>
          <w:left w:val="single" w:color="C9D4DB" w:sz="4"/>
          <w:bottom w:val="single" w:color="C9D4DB" w:sz="4"/>
          <w:right w:val="single" w:color="C9D4DB" w:sz="4"/>
          <w:insideH w:val="single" w:color="C9D4DB" w:sz="4"/>
          <w:insideV w:val="single" w:color="C9D4DB" w:sz="4"/>
        </w:tblBorders>
      </w:tblPr>
      <w:tblGrid>
        <w:gridCol w:w="3200"/>
        <w:gridCol w:w="2000"/>
        <w:gridCol w:w="4320"/>
      </w:tblGrid>
      <w:tr>
        <w:trPr>
          <w:tblHeader/>
        </w:trPr>
        <w:tc>
          <w:tcPr>
            <w:tcW w:type="dxa" w:w="32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Category (example)</w:t>
            </w:r>
          </w:p>
        </w:tc>
        <w:tc>
          <w:tcPr>
            <w:tcW w:type="dxa" w:w="20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Commission</w:t>
            </w:r>
          </w:p>
        </w:tc>
        <w:tc>
          <w:tcPr>
            <w:tcW w:type="dxa" w:w="432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Illustrative effect on a 12,000 DZD sale</w:t>
            </w:r>
          </w:p>
        </w:tc>
      </w:tr>
      <w:tr>
        <w:tc>
          <w:tcPr>
            <w:tcW w:type="dxa" w:w="32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Electronics</w:t>
            </w:r>
          </w:p>
        </w:tc>
        <w:tc>
          <w:tcPr>
            <w:tcW w:type="dxa" w:w="20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5%</w:t>
            </w:r>
          </w:p>
        </w:tc>
        <w:tc>
          <w:tcPr>
            <w:tcW w:type="dxa" w:w="43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Fee 600 → vendor nets 11,400</w:t>
            </w:r>
          </w:p>
        </w:tc>
      </w:tr>
      <w:tr>
        <w:tc>
          <w:tcPr>
            <w:tcW w:type="dxa" w:w="32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Home &amp; Furniture</w:t>
            </w:r>
          </w:p>
        </w:tc>
        <w:tc>
          <w:tcPr>
            <w:tcW w:type="dxa" w:w="20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8%</w:t>
            </w:r>
          </w:p>
        </w:tc>
        <w:tc>
          <w:tcPr>
            <w:tcW w:type="dxa" w:w="43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Fee 960 → vendor nets 11,040</w:t>
            </w:r>
          </w:p>
        </w:tc>
      </w:tr>
      <w:tr>
        <w:tc>
          <w:tcPr>
            <w:tcW w:type="dxa" w:w="32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Fashion &amp; Apparel</w:t>
            </w:r>
          </w:p>
        </w:tc>
        <w:tc>
          <w:tcPr>
            <w:tcW w:type="dxa" w:w="20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12%</w:t>
            </w:r>
          </w:p>
        </w:tc>
        <w:tc>
          <w:tcPr>
            <w:tcW w:type="dxa" w:w="43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Fee 1,440 → vendor nets 10,560</w:t>
            </w:r>
          </w:p>
        </w:tc>
      </w:tr>
      <w:tr>
        <w:tc>
          <w:tcPr>
            <w:tcW w:type="dxa" w:w="3200"/>
            <w:shd w:fill="F7FAFB" w:color="auto" w:val="clear"/>
            <w:tcMar>
              <w:top w:type="dxa" w:w="70"/>
              <w:left w:type="dxa" w:w="110"/>
              <w:bottom w:type="dxa" w:w="70"/>
              <w:right w:type="dxa" w:w="110"/>
            </w:tcMar>
          </w:tcPr>
          <w:p>
            <w:pPr>
              <w:spacing w:after="0" w:line="264"/>
            </w:pPr>
            <w:r>
              <w:rPr>
                <w:rFonts w:ascii="Calibri" w:cs="Calibri" w:eastAsia="Calibri" w:hAnsi="Calibri"/>
                <w:color w:val="5B6470"/>
                <w:sz w:val="20"/>
                <w:szCs w:val="20"/>
              </w:rPr>
              <w:t xml:space="preserve">Default (uncategorised)</w:t>
            </w:r>
          </w:p>
        </w:tc>
        <w:tc>
          <w:tcPr>
            <w:tcW w:type="dxa" w:w="2000"/>
            <w:shd w:fill="F7FAFB" w:color="auto" w:val="clear"/>
            <w:tcMar>
              <w:top w:type="dxa" w:w="70"/>
              <w:left w:type="dxa" w:w="110"/>
              <w:bottom w:type="dxa" w:w="70"/>
              <w:right w:type="dxa" w:w="110"/>
            </w:tcMar>
          </w:tcPr>
          <w:p>
            <w:pPr>
              <w:spacing w:after="0" w:line="264"/>
            </w:pPr>
            <w:r>
              <w:rPr>
                <w:rFonts w:ascii="Calibri" w:cs="Calibri" w:eastAsia="Calibri" w:hAnsi="Calibri"/>
                <w:color w:val="5B6470"/>
                <w:sz w:val="20"/>
                <w:szCs w:val="20"/>
              </w:rPr>
              <w:t xml:space="preserve">10%</w:t>
            </w:r>
          </w:p>
        </w:tc>
        <w:tc>
          <w:tcPr>
            <w:tcW w:type="dxa" w:w="4320"/>
            <w:shd w:fill="F7FAFB" w:color="auto" w:val="clear"/>
            <w:tcMar>
              <w:top w:type="dxa" w:w="70"/>
              <w:left w:type="dxa" w:w="110"/>
              <w:bottom w:type="dxa" w:w="70"/>
              <w:right w:type="dxa" w:w="110"/>
            </w:tcMar>
          </w:tcPr>
          <w:p>
            <w:pPr>
              <w:spacing w:after="0" w:line="264"/>
            </w:pPr>
            <w:r>
              <w:rPr>
                <w:rFonts w:ascii="Calibri" w:cs="Calibri" w:eastAsia="Calibri" w:hAnsi="Calibri"/>
                <w:color w:val="5B6470"/>
                <w:sz w:val="20"/>
                <w:szCs w:val="20"/>
              </w:rPr>
              <w:t xml:space="preserve">Fee 1,200 → vendor nets 10,800</w:t>
            </w:r>
          </w:p>
        </w:tc>
      </w:tr>
    </w:tbl>
    <w:p>
      <w:pPr>
        <w:spacing w:after="200" w:line="276"/>
      </w:pPr>
      <w:r>
        <w:rPr>
          <w:rFonts w:ascii="Calibri" w:cs="Calibri" w:eastAsia="Calibri" w:hAnsi="Calibri"/>
          <w:b/>
          <w:bCs/>
          <w:color w:val="5B6470"/>
          <w:sz w:val="21"/>
          <w:szCs w:val="21"/>
        </w:rPr>
        <w:t xml:space="preserve">Note: </w:t>
      </w:r>
      <w:r>
        <w:rPr>
          <w:rFonts w:ascii="Calibri" w:cs="Calibri" w:eastAsia="Calibri" w:hAnsi="Calibri"/>
          <w:i/>
          <w:iCs/>
          <w:color w:val="5B6470"/>
          <w:sz w:val="21"/>
          <w:szCs w:val="21"/>
        </w:rPr>
        <w:t xml:space="preserve">the figures above are illustrative. Actual rates are a business input, set and adjusted by the platform owner in the commission configuration.</w:t>
      </w:r>
    </w:p>
    <w:p>
      <w:pPr>
        <w:pStyle w:val="Heading2"/>
        <w:spacing w:after="100" w:before="220"/>
      </w:pPr>
      <w:r>
        <w:rPr>
          <w:rFonts w:ascii="Calibri" w:cs="Calibri" w:eastAsia="Calibri" w:hAnsi="Calibri"/>
          <w:b/>
          <w:bCs/>
          <w:color w:val="2E7D8F"/>
          <w:sz w:val="25"/>
          <w:szCs w:val="25"/>
        </w:rPr>
        <w:t xml:space="preserve">3.2  Pricing method — deducted from the vendor</w:t>
      </w:r>
    </w:p>
    <w:p>
      <w:pPr>
        <w:spacing w:after="120" w:line="276"/>
      </w:pPr>
      <w:r>
        <w:rPr>
          <w:rFonts w:ascii="Calibri" w:cs="Calibri" w:eastAsia="Calibri" w:hAnsi="Calibri"/>
          <w:sz w:val="21"/>
          <w:szCs w:val="21"/>
        </w:rPr>
        <w:t xml:space="preserve">The commission is </w:t>
      </w:r>
      <w:r>
        <w:rPr>
          <w:rFonts w:ascii="Calibri" w:cs="Calibri" w:eastAsia="Calibri" w:hAnsi="Calibri"/>
          <w:b/>
          <w:bCs/>
          <w:sz w:val="21"/>
          <w:szCs w:val="21"/>
        </w:rPr>
        <w:t xml:space="preserve">carved out of the vendor's share</w:t>
      </w:r>
      <w:r>
        <w:rPr>
          <w:rFonts w:ascii="Calibri" w:cs="Calibri" w:eastAsia="Calibri" w:hAnsi="Calibri"/>
          <w:sz w:val="21"/>
          <w:szCs w:val="21"/>
        </w:rPr>
        <w:t xml:space="preserve">, not added on top of the buyer's price. The buyer pays the sticker price the vendor set. The platform's fee reduces what the vendor keeps — it does not inflate what the buyer pays. This keeps prices competitive and hides the platform's economics from the buyer entirely.</w:t>
      </w:r>
    </w:p>
    <w:p>
      <w:pPr>
        <w:pStyle w:val="Heading2"/>
        <w:spacing w:after="100" w:before="220"/>
      </w:pPr>
      <w:r>
        <w:rPr>
          <w:rFonts w:ascii="Calibri" w:cs="Calibri" w:eastAsia="Calibri" w:hAnsi="Calibri"/>
          <w:b/>
          <w:bCs/>
          <w:color w:val="2E7D8F"/>
          <w:sz w:val="25"/>
          <w:szCs w:val="25"/>
        </w:rPr>
        <w:t xml:space="preserve">3.3  The core calculation</w:t>
      </w:r>
    </w:p>
    <w:tbl>
      <w:tblPr>
        <w:tblW w:type="dxa" w:w="6520"/>
        <w:tblBorders>
          <w:top w:val="single" w:color="C9D4DB" w:sz="4"/>
          <w:left w:val="single" w:color="C9D4DB" w:sz="4"/>
          <w:bottom w:val="single" w:color="C9D4DB" w:sz="4"/>
          <w:right w:val="single" w:color="C9D4DB" w:sz="4"/>
          <w:insideH w:val="none" w:color="FFFFFF" w:sz="0"/>
          <w:insideV w:val="none" w:color="FFFFFF" w:sz="0"/>
        </w:tblBorders>
      </w:tblPr>
      <w:tblGrid>
        <w:gridCol w:w="4320"/>
        <w:gridCol w:w="2200"/>
      </w:tblGrid>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Selling price (per item)</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color w:val="333333"/>
                <w:sz w:val="19"/>
                <w:szCs w:val="19"/>
              </w:rPr>
              <w:t xml:space="preserve">12,000 DZD</w:t>
            </w:r>
          </w:p>
        </w:tc>
      </w:tr>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Platform commission (8%)</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color w:val="B23A3A"/>
                <w:sz w:val="19"/>
                <w:szCs w:val="19"/>
              </w:rPr>
              <w:t xml:space="preserve">− 960 DZD</w:t>
            </w:r>
          </w:p>
        </w:tc>
      </w:tr>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b/>
                <w:bCs/>
                <w:color w:val="1F3A5F"/>
                <w:sz w:val="19"/>
                <w:szCs w:val="19"/>
              </w:rPr>
              <w:t xml:space="preserve">Vendor net earning</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b/>
                <w:bCs/>
                <w:color w:val="1E7A46"/>
                <w:sz w:val="19"/>
                <w:szCs w:val="19"/>
              </w:rPr>
              <w:t xml:space="preserve">11,040 DZD</w:t>
            </w:r>
          </w:p>
        </w:tc>
      </w:tr>
    </w:tbl>
    <w:p>
      <w:pPr>
        <w:spacing w:after="120"/>
      </w:pPr>
    </w:p>
    <w:p>
      <w:pPr>
        <w:spacing w:after="120" w:line="276"/>
      </w:pPr>
      <w:r>
        <w:rPr>
          <w:rFonts w:ascii="Consolas" w:cs="Consolas" w:eastAsia="Consolas" w:hAnsi="Consolas"/>
          <w:sz w:val="19"/>
          <w:szCs w:val="19"/>
        </w:rPr>
        <w:t xml:space="preserve">Line commission = unit price × quantity × category rate.</w:t>
      </w:r>
    </w:p>
    <w:p>
      <w:pPr>
        <w:spacing w:after="120" w:line="276"/>
      </w:pPr>
      <w:r>
        <w:rPr>
          <w:rFonts w:ascii="Consolas" w:cs="Consolas" w:eastAsia="Consolas" w:hAnsi="Consolas"/>
          <w:sz w:val="19"/>
          <w:szCs w:val="19"/>
        </w:rPr>
        <w:t xml:space="preserve">Vendor net = line total − line commission.</w:t>
      </w:r>
    </w:p>
    <w:p>
      <w:pPr>
        <w:spacing w:after="40" w:line="276"/>
      </w:pPr>
      <w:r>
        <w:rPr>
          <w:rFonts w:ascii="Consolas" w:cs="Consolas" w:eastAsia="Consolas" w:hAnsi="Consolas"/>
          <w:sz w:val="19"/>
          <w:szCs w:val="19"/>
        </w:rPr>
        <w:t xml:space="preserve">Order commission (the app's benefit) = sum of all line commissions.</w:t>
      </w:r>
    </w:p>
    <w:p>
      <w:r>
        <w:br w:type="page"/>
      </w:r>
    </w:p>
    <w:p>
      <w:pPr>
        <w:pStyle w:val="Heading1"/>
        <w:spacing w:after="140" w:before="320"/>
      </w:pPr>
      <w:r>
        <w:rPr>
          <w:rFonts w:ascii="Calibri" w:cs="Calibri" w:eastAsia="Calibri" w:hAnsi="Calibri"/>
          <w:b/>
          <w:bCs/>
          <w:color w:val="1F3A5F"/>
          <w:sz w:val="30"/>
          <w:szCs w:val="30"/>
        </w:rPr>
        <w:t xml:space="preserve">4. How the Money Flows (COD)</w:t>
      </w:r>
    </w:p>
    <w:p>
      <w:pPr>
        <w:spacing w:after="120" w:line="276"/>
      </w:pPr>
      <w:r>
        <w:rPr>
          <w:rFonts w:ascii="Calibri" w:cs="Calibri" w:eastAsia="Calibri" w:hAnsi="Calibri"/>
          <w:b/>
          <w:bCs/>
          <w:sz w:val="21"/>
          <w:szCs w:val="21"/>
        </w:rPr>
        <w:t xml:space="preserve">The defining constraint: </w:t>
      </w:r>
      <w:r>
        <w:rPr>
          <w:rFonts w:ascii="Calibri" w:cs="Calibri" w:eastAsia="Calibri" w:hAnsi="Calibri"/>
          <w:sz w:val="21"/>
          <w:szCs w:val="21"/>
        </w:rPr>
        <w:t xml:space="preserve">on every order the vendor or courier collects the full cash at the door. The app never holds money and never pays the vendor. The only movement is the vendor owing the app its commission.</w:t>
      </w:r>
    </w:p>
    <w:p>
      <w:pPr>
        <w:pStyle w:val="Heading2"/>
        <w:spacing w:after="100" w:before="220"/>
      </w:pPr>
      <w:r>
        <w:rPr>
          <w:rFonts w:ascii="Calibri" w:cs="Calibri" w:eastAsia="Calibri" w:hAnsi="Calibri"/>
          <w:b/>
          <w:bCs/>
          <w:color w:val="2E7D8F"/>
          <w:sz w:val="25"/>
          <w:szCs w:val="25"/>
        </w:rPr>
        <w:t xml:space="preserve">Order lifecycle</w:t>
      </w:r>
    </w:p>
    <w:p>
      <w:pPr>
        <w:pStyle w:val="ListParagraph"/>
        <w:numPr>
          <w:ilvl w:val="0"/>
          <w:numId w:val="3"/>
        </w:numPr>
        <w:spacing w:after="80" w:line="270"/>
      </w:pPr>
      <w:r>
        <w:rPr>
          <w:rFonts w:ascii="Calibri" w:cs="Calibri" w:eastAsia="Calibri" w:hAnsi="Calibri"/>
          <w:b/>
          <w:bCs/>
          <w:sz w:val="21"/>
          <w:szCs w:val="21"/>
        </w:rPr>
        <w:t xml:space="preserve">Listing published. </w:t>
      </w:r>
      <w:r>
        <w:rPr>
          <w:rFonts w:ascii="Calibri" w:cs="Calibri" w:eastAsia="Calibri" w:hAnsi="Calibri"/>
          <w:sz w:val="21"/>
          <w:szCs w:val="21"/>
        </w:rPr>
        <w:t xml:space="preserve">Vendor sets a price and sees their net earning after the category fee.</w:t>
      </w:r>
    </w:p>
    <w:p>
      <w:pPr>
        <w:pStyle w:val="ListParagraph"/>
        <w:numPr>
          <w:ilvl w:val="0"/>
          <w:numId w:val="3"/>
        </w:numPr>
        <w:spacing w:after="80" w:line="270"/>
      </w:pPr>
      <w:r>
        <w:rPr>
          <w:rFonts w:ascii="Calibri" w:cs="Calibri" w:eastAsia="Calibri" w:hAnsi="Calibri"/>
          <w:b/>
          <w:bCs/>
          <w:sz w:val="21"/>
          <w:szCs w:val="21"/>
        </w:rPr>
        <w:t xml:space="preserve">Order placed. </w:t>
      </w:r>
      <w:r>
        <w:rPr>
          <w:rFonts w:ascii="Calibri" w:cs="Calibri" w:eastAsia="Calibri" w:hAnsi="Calibri"/>
          <w:sz w:val="21"/>
          <w:szCs w:val="21"/>
        </w:rPr>
        <w:t xml:space="preserve">Buyer confirms; the commission for the order is recorded with status Pending. No money has moved and nothing is owed yet.</w:t>
      </w:r>
    </w:p>
    <w:p>
      <w:pPr>
        <w:pStyle w:val="ListParagraph"/>
        <w:numPr>
          <w:ilvl w:val="0"/>
          <w:numId w:val="3"/>
        </w:numPr>
        <w:spacing w:after="80" w:line="270"/>
      </w:pPr>
      <w:r>
        <w:rPr>
          <w:rFonts w:ascii="Calibri" w:cs="Calibri" w:eastAsia="Calibri" w:hAnsi="Calibri"/>
          <w:b/>
          <w:bCs/>
          <w:sz w:val="21"/>
          <w:szCs w:val="21"/>
        </w:rPr>
        <w:t xml:space="preserve">Delivered. </w:t>
      </w:r>
      <w:r>
        <w:rPr>
          <w:rFonts w:ascii="Calibri" w:cs="Calibri" w:eastAsia="Calibri" w:hAnsi="Calibri"/>
          <w:sz w:val="21"/>
          <w:szCs w:val="21"/>
        </w:rPr>
        <w:t xml:space="preserve">The buyer pays cash to the vendor/courier. The commission flips to Due and is added to the vendor's outstanding balance with the platform.</w:t>
      </w:r>
    </w:p>
    <w:p>
      <w:pPr>
        <w:pStyle w:val="ListParagraph"/>
        <w:numPr>
          <w:ilvl w:val="0"/>
          <w:numId w:val="3"/>
        </w:numPr>
        <w:spacing w:after="80" w:line="270"/>
      </w:pPr>
      <w:r>
        <w:rPr>
          <w:rFonts w:ascii="Calibri" w:cs="Calibri" w:eastAsia="Calibri" w:hAnsi="Calibri"/>
          <w:b/>
          <w:bCs/>
          <w:sz w:val="21"/>
          <w:szCs w:val="21"/>
        </w:rPr>
        <w:t xml:space="preserve">Cancelled or returned. </w:t>
      </w:r>
      <w:r>
        <w:rPr>
          <w:rFonts w:ascii="Calibri" w:cs="Calibri" w:eastAsia="Calibri" w:hAnsi="Calibri"/>
          <w:sz w:val="21"/>
          <w:szCs w:val="21"/>
        </w:rPr>
        <w:t xml:space="preserve">The commission is Voided — nothing is owed. No delivery, no fee.</w:t>
      </w:r>
    </w:p>
    <w:p>
      <w:pPr>
        <w:pStyle w:val="ListParagraph"/>
        <w:numPr>
          <w:ilvl w:val="0"/>
          <w:numId w:val="3"/>
        </w:numPr>
        <w:spacing w:after="80" w:line="270"/>
      </w:pPr>
      <w:r>
        <w:rPr>
          <w:rFonts w:ascii="Calibri" w:cs="Calibri" w:eastAsia="Calibri" w:hAnsi="Calibri"/>
          <w:b/>
          <w:bCs/>
          <w:sz w:val="21"/>
          <w:szCs w:val="21"/>
        </w:rPr>
        <w:t xml:space="preserve">Weekly settlement. </w:t>
      </w:r>
      <w:r>
        <w:rPr>
          <w:rFonts w:ascii="Calibri" w:cs="Calibri" w:eastAsia="Calibri" w:hAnsi="Calibri"/>
          <w:sz w:val="21"/>
          <w:szCs w:val="21"/>
        </w:rPr>
        <w:t xml:space="preserve">The vendor receives a statement of commissions owed and pays the platform. Balance returns to zero.</w:t>
      </w:r>
    </w:p>
    <w:p>
      <w:pPr>
        <w:pStyle w:val="Heading2"/>
        <w:spacing w:after="100" w:before="220"/>
      </w:pPr>
      <w:r>
        <w:rPr>
          <w:rFonts w:ascii="Calibri" w:cs="Calibri" w:eastAsia="Calibri" w:hAnsi="Calibri"/>
          <w:b/>
          <w:bCs/>
          <w:color w:val="2E7D8F"/>
          <w:sz w:val="25"/>
          <w:szCs w:val="25"/>
        </w:rPr>
        <w:t xml:space="preserve">Commission status model</w:t>
      </w:r>
    </w:p>
    <w:tbl>
      <w:tblPr>
        <w:tblW w:type="dxa" w:w="10220"/>
        <w:tblBorders>
          <w:top w:val="single" w:color="C9D4DB" w:sz="4"/>
          <w:left w:val="single" w:color="C9D4DB" w:sz="4"/>
          <w:bottom w:val="single" w:color="C9D4DB" w:sz="4"/>
          <w:right w:val="single" w:color="C9D4DB" w:sz="4"/>
          <w:insideH w:val="single" w:color="C9D4DB" w:sz="4"/>
          <w:insideV w:val="single" w:color="C9D4DB" w:sz="4"/>
        </w:tblBorders>
      </w:tblPr>
      <w:tblGrid>
        <w:gridCol w:w="2200"/>
        <w:gridCol w:w="5000"/>
        <w:gridCol w:w="3020"/>
      </w:tblGrid>
      <w:tr>
        <w:trPr>
          <w:tblHeader/>
        </w:trPr>
        <w:tc>
          <w:tcPr>
            <w:tcW w:type="dxa" w:w="22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Status</w:t>
            </w:r>
          </w:p>
        </w:tc>
        <w:tc>
          <w:tcPr>
            <w:tcW w:type="dxa" w:w="50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Meaning</w:t>
            </w:r>
          </w:p>
        </w:tc>
        <w:tc>
          <w:tcPr>
            <w:tcW w:type="dxa" w:w="302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Triggered by</w:t>
            </w:r>
          </w:p>
        </w:tc>
      </w:tr>
      <w:tr>
        <w:tc>
          <w:tcPr>
            <w:tcW w:type="dxa" w:w="2200"/>
            <w:shd w:fill="FFFFFF" w:color="auto" w:val="clear"/>
            <w:tcMar>
              <w:top w:type="dxa" w:w="70"/>
              <w:left w:type="dxa" w:w="110"/>
              <w:bottom w:type="dxa" w:w="70"/>
              <w:right w:type="dxa" w:w="110"/>
            </w:tcMar>
          </w:tcPr>
          <w:p>
            <w:pPr>
              <w:spacing w:after="0" w:line="264"/>
            </w:pPr>
            <w:r>
              <w:rPr>
                <w:rFonts w:ascii="Calibri" w:cs="Calibri" w:eastAsia="Calibri" w:hAnsi="Calibri"/>
                <w:color w:val="5B6470"/>
                <w:sz w:val="20"/>
                <w:szCs w:val="20"/>
              </w:rPr>
              <w:t xml:space="preserve">Pending</w:t>
            </w:r>
          </w:p>
        </w:tc>
        <w:tc>
          <w:tcPr>
            <w:tcW w:type="dxa" w:w="50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 placed, not yet delivered — provisional, not owed</w:t>
            </w:r>
          </w:p>
        </w:tc>
        <w:tc>
          <w:tcPr>
            <w:tcW w:type="dxa" w:w="30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 created</w:t>
            </w:r>
          </w:p>
        </w:tc>
      </w:tr>
      <w:tr>
        <w:tc>
          <w:tcPr>
            <w:tcW w:type="dxa" w:w="2200"/>
            <w:shd w:fill="F7FAFB" w:color="auto" w:val="clear"/>
            <w:tcMar>
              <w:top w:type="dxa" w:w="70"/>
              <w:left w:type="dxa" w:w="110"/>
              <w:bottom w:type="dxa" w:w="70"/>
              <w:right w:type="dxa" w:w="110"/>
            </w:tcMar>
          </w:tcPr>
          <w:p>
            <w:pPr>
              <w:spacing w:after="0" w:line="264"/>
            </w:pPr>
            <w:r>
              <w:rPr>
                <w:rFonts w:ascii="Calibri" w:cs="Calibri" w:eastAsia="Calibri" w:hAnsi="Calibri"/>
                <w:b/>
                <w:bCs/>
                <w:color w:val="1F3A5F"/>
                <w:sz w:val="20"/>
                <w:szCs w:val="20"/>
              </w:rPr>
              <w:t xml:space="preserve">Due</w:t>
            </w:r>
          </w:p>
        </w:tc>
        <w:tc>
          <w:tcPr>
            <w:tcW w:type="dxa" w:w="50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Delivered — commission added to vendor's owed balance</w:t>
            </w:r>
          </w:p>
        </w:tc>
        <w:tc>
          <w:tcPr>
            <w:tcW w:type="dxa" w:w="30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 marked Delivered</w:t>
            </w:r>
          </w:p>
        </w:tc>
      </w:tr>
      <w:tr>
        <w:tc>
          <w:tcPr>
            <w:tcW w:type="dxa" w:w="2200"/>
            <w:shd w:fill="FFFFFF" w:color="auto" w:val="clear"/>
            <w:tcMar>
              <w:top w:type="dxa" w:w="70"/>
              <w:left w:type="dxa" w:w="110"/>
              <w:bottom w:type="dxa" w:w="70"/>
              <w:right w:type="dxa" w:w="110"/>
            </w:tcMar>
          </w:tcPr>
          <w:p>
            <w:pPr>
              <w:spacing w:after="0" w:line="264"/>
            </w:pPr>
            <w:r>
              <w:rPr>
                <w:rFonts w:ascii="Calibri" w:cs="Calibri" w:eastAsia="Calibri" w:hAnsi="Calibri"/>
                <w:b/>
                <w:bCs/>
                <w:color w:val="1E7A46"/>
                <w:sz w:val="20"/>
                <w:szCs w:val="20"/>
              </w:rPr>
              <w:t xml:space="preserve">Settled</w:t>
            </w:r>
          </w:p>
        </w:tc>
        <w:tc>
          <w:tcPr>
            <w:tcW w:type="dxa" w:w="50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Vendor has paid the platform for this commission</w:t>
            </w:r>
          </w:p>
        </w:tc>
        <w:tc>
          <w:tcPr>
            <w:tcW w:type="dxa" w:w="30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Weekly settlement</w:t>
            </w:r>
          </w:p>
        </w:tc>
      </w:tr>
      <w:tr>
        <w:tc>
          <w:tcPr>
            <w:tcW w:type="dxa" w:w="2200"/>
            <w:shd w:fill="F7FAFB" w:color="auto" w:val="clear"/>
            <w:tcMar>
              <w:top w:type="dxa" w:w="70"/>
              <w:left w:type="dxa" w:w="110"/>
              <w:bottom w:type="dxa" w:w="70"/>
              <w:right w:type="dxa" w:w="110"/>
            </w:tcMar>
          </w:tcPr>
          <w:p>
            <w:pPr>
              <w:spacing w:after="0" w:line="264"/>
            </w:pPr>
            <w:r>
              <w:rPr>
                <w:rFonts w:ascii="Calibri" w:cs="Calibri" w:eastAsia="Calibri" w:hAnsi="Calibri"/>
                <w:color w:val="B23A3A"/>
                <w:sz w:val="20"/>
                <w:szCs w:val="20"/>
              </w:rPr>
              <w:t xml:space="preserve">Voided</w:t>
            </w:r>
          </w:p>
        </w:tc>
        <w:tc>
          <w:tcPr>
            <w:tcW w:type="dxa" w:w="50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 cancelled/returned — nothing owed</w:t>
            </w:r>
          </w:p>
        </w:tc>
        <w:tc>
          <w:tcPr>
            <w:tcW w:type="dxa" w:w="30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Cancel / return</w:t>
            </w:r>
          </w:p>
        </w:tc>
      </w:tr>
    </w:tbl>
    <w:p>
      <w:pPr>
        <w:spacing w:after="60"/>
      </w:pPr>
    </w:p>
    <w:p>
      <w:pPr>
        <w:spacing w:after="120" w:line="276"/>
      </w:pPr>
      <w:r>
        <w:rPr>
          <w:rFonts w:ascii="Calibri" w:cs="Calibri" w:eastAsia="Calibri" w:hAnsi="Calibri"/>
          <w:b/>
          <w:bCs/>
          <w:sz w:val="21"/>
          <w:szCs w:val="21"/>
        </w:rPr>
        <w:t xml:space="preserve">Delivery is the single event that settles the ledger: </w:t>
      </w:r>
      <w:r>
        <w:rPr>
          <w:rFonts w:ascii="Calibri" w:cs="Calibri" w:eastAsia="Calibri" w:hAnsi="Calibri"/>
          <w:sz w:val="21"/>
          <w:szCs w:val="21"/>
        </w:rPr>
        <w:t xml:space="preserve">it converts a provisional commission into a real debt. This replaces the traditional “payout” concept entirely — because the vendor already holds all the cash, there is nothing for the platform to pay out.</w:t>
      </w:r>
    </w:p>
    <w:p>
      <w:r>
        <w:br w:type="page"/>
      </w:r>
    </w:p>
    <w:p>
      <w:pPr>
        <w:pStyle w:val="Heading1"/>
        <w:spacing w:after="140" w:before="320"/>
      </w:pPr>
      <w:r>
        <w:rPr>
          <w:rFonts w:ascii="Calibri" w:cs="Calibri" w:eastAsia="Calibri" w:hAnsi="Calibri"/>
          <w:b/>
          <w:bCs/>
          <w:color w:val="1F3A5F"/>
          <w:sz w:val="30"/>
          <w:szCs w:val="30"/>
        </w:rPr>
        <w:t xml:space="preserve">5. How Payment Is Shown</w:t>
      </w:r>
    </w:p>
    <w:p>
      <w:pPr>
        <w:spacing w:after="120" w:line="276"/>
      </w:pPr>
      <w:r>
        <w:rPr>
          <w:rFonts w:ascii="Calibri" w:cs="Calibri" w:eastAsia="Calibri" w:hAnsi="Calibri"/>
          <w:color w:val="222222"/>
          <w:sz w:val="21"/>
          <w:szCs w:val="21"/>
        </w:rPr>
        <w:t xml:space="preserve">The same order is presented differently to each side. The commission appears only on the vendor and owner views.</w:t>
      </w:r>
    </w:p>
    <w:p>
      <w:pPr>
        <w:pStyle w:val="Heading2"/>
        <w:spacing w:after="100" w:before="220"/>
      </w:pPr>
      <w:r>
        <w:rPr>
          <w:rFonts w:ascii="Calibri" w:cs="Calibri" w:eastAsia="Calibri" w:hAnsi="Calibri"/>
          <w:b/>
          <w:bCs/>
          <w:color w:val="2E7D8F"/>
          <w:sz w:val="25"/>
          <w:szCs w:val="25"/>
        </w:rPr>
        <w:t xml:space="preserve">5.1  Buyer view — pays cash, sees no fee</w:t>
      </w:r>
    </w:p>
    <w:tbl>
      <w:tblPr>
        <w:tblW w:type="dxa" w:w="6520"/>
        <w:tblBorders>
          <w:top w:val="single" w:color="C9D4DB" w:sz="4"/>
          <w:left w:val="single" w:color="C9D4DB" w:sz="4"/>
          <w:bottom w:val="single" w:color="C9D4DB" w:sz="4"/>
          <w:right w:val="single" w:color="C9D4DB" w:sz="4"/>
          <w:insideH w:val="none" w:color="FFFFFF" w:sz="0"/>
          <w:insideV w:val="none" w:color="FFFFFF" w:sz="0"/>
        </w:tblBorders>
      </w:tblPr>
      <w:tblGrid>
        <w:gridCol w:w="4320"/>
        <w:gridCol w:w="2200"/>
      </w:tblGrid>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Subtotal</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color w:val="333333"/>
                <w:sz w:val="19"/>
                <w:szCs w:val="19"/>
              </w:rPr>
              <w:t xml:space="preserve">12,000 DZD</w:t>
            </w:r>
          </w:p>
        </w:tc>
      </w:tr>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Shipping</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color w:val="333333"/>
                <w:sz w:val="19"/>
                <w:szCs w:val="19"/>
              </w:rPr>
              <w:t xml:space="preserve">400 DZD</w:t>
            </w:r>
          </w:p>
        </w:tc>
      </w:tr>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b/>
                <w:bCs/>
                <w:color w:val="1F3A5F"/>
                <w:sz w:val="19"/>
                <w:szCs w:val="19"/>
              </w:rPr>
              <w:t xml:space="preserve">Total (cash on delivery)</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b/>
                <w:bCs/>
                <w:color w:val="1F3A5F"/>
                <w:sz w:val="19"/>
                <w:szCs w:val="19"/>
              </w:rPr>
              <w:t xml:space="preserve">12,400 DZD</w:t>
            </w:r>
          </w:p>
        </w:tc>
      </w:tr>
    </w:tbl>
    <w:p>
      <w:pPr>
        <w:spacing w:after="200" w:line="276"/>
      </w:pPr>
      <w:r>
        <w:rPr>
          <w:rFonts w:ascii="Calibri" w:cs="Calibri" w:eastAsia="Calibri" w:hAnsi="Calibri"/>
          <w:i/>
          <w:iCs/>
          <w:color w:val="5B6470"/>
          <w:sz w:val="21"/>
          <w:szCs w:val="21"/>
        </w:rPr>
        <w:t xml:space="preserve">The buyer never sees the word “commission.” They pay 12,400 DZD in cash on delivery.</w:t>
      </w:r>
    </w:p>
    <w:p>
      <w:pPr>
        <w:pStyle w:val="Heading2"/>
        <w:spacing w:after="100" w:before="220"/>
      </w:pPr>
      <w:r>
        <w:rPr>
          <w:rFonts w:ascii="Calibri" w:cs="Calibri" w:eastAsia="Calibri" w:hAnsi="Calibri"/>
          <w:b/>
          <w:bCs/>
          <w:color w:val="2E7D8F"/>
          <w:sz w:val="25"/>
          <w:szCs w:val="25"/>
        </w:rPr>
        <w:t xml:space="preserve">5.2  Vendor view — order breakdown + running balance</w:t>
      </w:r>
    </w:p>
    <w:tbl>
      <w:tblPr>
        <w:tblW w:type="dxa" w:w="6520"/>
        <w:tblBorders>
          <w:top w:val="single" w:color="F7FAFB" w:sz="4"/>
          <w:left w:val="single" w:color="F7FAFB" w:sz="4"/>
          <w:bottom w:val="single" w:color="F7FAFB" w:sz="4"/>
          <w:right w:val="single" w:color="F7FAFB" w:sz="4"/>
          <w:insideH w:val="none" w:color="FFFFFF" w:sz="0"/>
          <w:insideV w:val="none" w:color="FFFFFF" w:sz="0"/>
        </w:tblBorders>
      </w:tblPr>
      <w:tblGrid>
        <w:gridCol w:w="4320"/>
        <w:gridCol w:w="2200"/>
      </w:tblGrid>
      <w:tr>
        <w:tc>
          <w:tcPr>
            <w:tcW w:type="dxa" w:w="4320"/>
            <w:tcBorders>
              <w:top w:val="none" w:color="FFFFFF" w:sz="0"/>
              <w:left w:val="none" w:color="FFFFFF" w:sz="0"/>
              <w:bottom w:val="none" w:color="FFFFFF" w:sz="0"/>
              <w:right w:val="none" w:color="FFFFFF" w:sz="0"/>
            </w:tcBorders>
            <w:shd w:fill="F7FAFB"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Cash you collect</w:t>
            </w:r>
          </w:p>
        </w:tc>
        <w:tc>
          <w:tcPr>
            <w:tcW w:type="dxa" w:w="2200"/>
            <w:tcBorders>
              <w:top w:val="none" w:color="FFFFFF" w:sz="0"/>
              <w:left w:val="none" w:color="FFFFFF" w:sz="0"/>
              <w:bottom w:val="none" w:color="FFFFFF" w:sz="0"/>
              <w:right w:val="none" w:color="FFFFFF" w:sz="0"/>
            </w:tcBorders>
            <w:shd w:fill="F7FAFB" w:color="auto" w:val="clear"/>
            <w:tcMar>
              <w:top w:type="dxa" w:w="20"/>
              <w:left w:type="dxa" w:w="60"/>
              <w:bottom w:type="dxa" w:w="20"/>
              <w:right w:type="dxa" w:w="160"/>
            </w:tcMar>
          </w:tcPr>
          <w:p>
            <w:pPr>
              <w:spacing w:after="0"/>
              <w:jc w:val="right"/>
            </w:pPr>
            <w:r>
              <w:rPr>
                <w:rFonts w:ascii="Consolas" w:cs="Consolas" w:eastAsia="Consolas" w:hAnsi="Consolas"/>
                <w:color w:val="333333"/>
                <w:sz w:val="19"/>
                <w:szCs w:val="19"/>
              </w:rPr>
              <w:t xml:space="preserve">12,400 DZD</w:t>
            </w:r>
          </w:p>
        </w:tc>
      </w:tr>
      <w:tr>
        <w:tc>
          <w:tcPr>
            <w:tcW w:type="dxa" w:w="4320"/>
            <w:tcBorders>
              <w:top w:val="none" w:color="FFFFFF" w:sz="0"/>
              <w:left w:val="none" w:color="FFFFFF" w:sz="0"/>
              <w:bottom w:val="none" w:color="FFFFFF" w:sz="0"/>
              <w:right w:val="none" w:color="FFFFFF" w:sz="0"/>
            </w:tcBorders>
            <w:shd w:fill="F7FAFB"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Platform commission (8%)</w:t>
            </w:r>
          </w:p>
        </w:tc>
        <w:tc>
          <w:tcPr>
            <w:tcW w:type="dxa" w:w="2200"/>
            <w:tcBorders>
              <w:top w:val="none" w:color="FFFFFF" w:sz="0"/>
              <w:left w:val="none" w:color="FFFFFF" w:sz="0"/>
              <w:bottom w:val="none" w:color="FFFFFF" w:sz="0"/>
              <w:right w:val="none" w:color="FFFFFF" w:sz="0"/>
            </w:tcBorders>
            <w:shd w:fill="F7FAFB" w:color="auto" w:val="clear"/>
            <w:tcMar>
              <w:top w:type="dxa" w:w="20"/>
              <w:left w:type="dxa" w:w="60"/>
              <w:bottom w:type="dxa" w:w="20"/>
              <w:right w:type="dxa" w:w="160"/>
            </w:tcMar>
          </w:tcPr>
          <w:p>
            <w:pPr>
              <w:spacing w:after="0"/>
              <w:jc w:val="right"/>
            </w:pPr>
            <w:r>
              <w:rPr>
                <w:rFonts w:ascii="Consolas" w:cs="Consolas" w:eastAsia="Consolas" w:hAnsi="Consolas"/>
                <w:color w:val="B23A3A"/>
                <w:sz w:val="19"/>
                <w:szCs w:val="19"/>
              </w:rPr>
              <w:t xml:space="preserve">− 960 DZD</w:t>
            </w:r>
          </w:p>
        </w:tc>
      </w:tr>
      <w:tr>
        <w:tc>
          <w:tcPr>
            <w:tcW w:type="dxa" w:w="4320"/>
            <w:tcBorders>
              <w:top w:val="none" w:color="FFFFFF" w:sz="0"/>
              <w:left w:val="none" w:color="FFFFFF" w:sz="0"/>
              <w:bottom w:val="none" w:color="FFFFFF" w:sz="0"/>
              <w:right w:val="none" w:color="FFFFFF" w:sz="0"/>
            </w:tcBorders>
            <w:shd w:fill="F7FAFB" w:color="auto" w:val="clear"/>
            <w:tcMar>
              <w:top w:type="dxa" w:w="20"/>
              <w:left w:type="dxa" w:w="160"/>
              <w:bottom w:type="dxa" w:w="20"/>
              <w:right w:type="dxa" w:w="60"/>
            </w:tcMar>
          </w:tcPr>
          <w:p>
            <w:pPr>
              <w:spacing w:after="0"/>
            </w:pPr>
            <w:r>
              <w:rPr>
                <w:rFonts w:ascii="Consolas" w:cs="Consolas" w:eastAsia="Consolas" w:hAnsi="Consolas"/>
                <w:b/>
                <w:bCs/>
                <w:color w:val="1F3A5F"/>
                <w:sz w:val="19"/>
                <w:szCs w:val="19"/>
              </w:rPr>
              <w:t xml:space="preserve">Your net earning</w:t>
            </w:r>
          </w:p>
        </w:tc>
        <w:tc>
          <w:tcPr>
            <w:tcW w:type="dxa" w:w="2200"/>
            <w:tcBorders>
              <w:top w:val="none" w:color="FFFFFF" w:sz="0"/>
              <w:left w:val="none" w:color="FFFFFF" w:sz="0"/>
              <w:bottom w:val="none" w:color="FFFFFF" w:sz="0"/>
              <w:right w:val="none" w:color="FFFFFF" w:sz="0"/>
            </w:tcBorders>
            <w:shd w:fill="F7FAFB" w:color="auto" w:val="clear"/>
            <w:tcMar>
              <w:top w:type="dxa" w:w="20"/>
              <w:left w:type="dxa" w:w="60"/>
              <w:bottom w:type="dxa" w:w="20"/>
              <w:right w:type="dxa" w:w="160"/>
            </w:tcMar>
          </w:tcPr>
          <w:p>
            <w:pPr>
              <w:spacing w:after="0"/>
              <w:jc w:val="right"/>
            </w:pPr>
            <w:r>
              <w:rPr>
                <w:rFonts w:ascii="Consolas" w:cs="Consolas" w:eastAsia="Consolas" w:hAnsi="Consolas"/>
                <w:b/>
                <w:bCs/>
                <w:color w:val="1E7A46"/>
                <w:sz w:val="19"/>
                <w:szCs w:val="19"/>
              </w:rPr>
              <w:t xml:space="preserve">11,440 DZD</w:t>
            </w:r>
          </w:p>
        </w:tc>
      </w:tr>
    </w:tbl>
    <w:p>
      <w:pPr>
        <w:spacing w:after="80"/>
      </w:pPr>
    </w:p>
    <w:tbl>
      <w:tblPr>
        <w:tblW w:type="dxa" w:w="6520"/>
        <w:tblBorders>
          <w:top w:val="single" w:color="FBEFEF" w:sz="4"/>
          <w:left w:val="single" w:color="FBEFEF" w:sz="4"/>
          <w:bottom w:val="single" w:color="FBEFEF" w:sz="4"/>
          <w:right w:val="single" w:color="FBEFEF" w:sz="4"/>
          <w:insideH w:val="none" w:color="FFFFFF" w:sz="0"/>
          <w:insideV w:val="none" w:color="FFFFFF" w:sz="0"/>
        </w:tblBorders>
      </w:tblPr>
      <w:tblGrid>
        <w:gridCol w:w="4320"/>
        <w:gridCol w:w="2200"/>
      </w:tblGrid>
      <w:tr>
        <w:tc>
          <w:tcPr>
            <w:tcW w:type="dxa" w:w="4320"/>
            <w:tcBorders>
              <w:top w:val="none" w:color="FFFFFF" w:sz="0"/>
              <w:left w:val="none" w:color="FFFFFF" w:sz="0"/>
              <w:bottom w:val="none" w:color="FFFFFF" w:sz="0"/>
              <w:right w:val="none" w:color="FFFFFF" w:sz="0"/>
            </w:tcBorders>
            <w:shd w:fill="FBEFEF" w:color="auto" w:val="clear"/>
            <w:tcMar>
              <w:top w:type="dxa" w:w="20"/>
              <w:left w:type="dxa" w:w="160"/>
              <w:bottom w:type="dxa" w:w="20"/>
              <w:right w:type="dxa" w:w="60"/>
            </w:tcMar>
          </w:tcPr>
          <w:p>
            <w:pPr>
              <w:spacing w:after="0"/>
            </w:pPr>
            <w:r>
              <w:rPr>
                <w:rFonts w:ascii="Consolas" w:cs="Consolas" w:eastAsia="Consolas" w:hAnsi="Consolas"/>
                <w:b/>
                <w:bCs/>
                <w:color w:val="1F3A5F"/>
                <w:sz w:val="19"/>
                <w:szCs w:val="19"/>
              </w:rPr>
              <w:t xml:space="preserve">Wallet — you owe the platform</w:t>
            </w:r>
          </w:p>
        </w:tc>
        <w:tc>
          <w:tcPr>
            <w:tcW w:type="dxa" w:w="2200"/>
            <w:tcBorders>
              <w:top w:val="none" w:color="FFFFFF" w:sz="0"/>
              <w:left w:val="none" w:color="FFFFFF" w:sz="0"/>
              <w:bottom w:val="none" w:color="FFFFFF" w:sz="0"/>
              <w:right w:val="none" w:color="FFFFFF" w:sz="0"/>
            </w:tcBorders>
            <w:shd w:fill="FBEFEF" w:color="auto" w:val="clear"/>
            <w:tcMar>
              <w:top w:type="dxa" w:w="20"/>
              <w:left w:type="dxa" w:w="60"/>
              <w:bottom w:type="dxa" w:w="20"/>
              <w:right w:type="dxa" w:w="160"/>
            </w:tcMar>
          </w:tcPr>
          <w:p>
            <w:pPr>
              <w:spacing w:after="0"/>
              <w:jc w:val="right"/>
            </w:pPr>
            <w:r>
              <w:rPr>
                <w:rFonts w:ascii="Consolas" w:cs="Consolas" w:eastAsia="Consolas" w:hAnsi="Consolas"/>
                <w:b/>
                <w:bCs/>
                <w:color w:val="B23A3A"/>
                <w:sz w:val="19"/>
                <w:szCs w:val="19"/>
              </w:rPr>
              <w:t xml:space="preserve">4,300 DZD</w:t>
            </w:r>
          </w:p>
        </w:tc>
      </w:tr>
      <w:tr>
        <w:tc>
          <w:tcPr>
            <w:tcW w:type="dxa" w:w="4320"/>
            <w:tcBorders>
              <w:top w:val="none" w:color="FFFFFF" w:sz="0"/>
              <w:left w:val="none" w:color="FFFFFF" w:sz="0"/>
              <w:bottom w:val="none" w:color="FFFFFF" w:sz="0"/>
              <w:right w:val="none" w:color="FFFFFF" w:sz="0"/>
            </w:tcBorders>
            <w:shd w:fill="FBEFEF"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Settle by</w:t>
            </w:r>
          </w:p>
        </w:tc>
        <w:tc>
          <w:tcPr>
            <w:tcW w:type="dxa" w:w="2200"/>
            <w:tcBorders>
              <w:top w:val="none" w:color="FFFFFF" w:sz="0"/>
              <w:left w:val="none" w:color="FFFFFF" w:sz="0"/>
              <w:bottom w:val="none" w:color="FFFFFF" w:sz="0"/>
              <w:right w:val="none" w:color="FFFFFF" w:sz="0"/>
            </w:tcBorders>
            <w:shd w:fill="FBEFEF" w:color="auto" w:val="clear"/>
            <w:tcMar>
              <w:top w:type="dxa" w:w="20"/>
              <w:left w:type="dxa" w:w="60"/>
              <w:bottom w:type="dxa" w:w="20"/>
              <w:right w:type="dxa" w:w="160"/>
            </w:tcMar>
          </w:tcPr>
          <w:p>
            <w:pPr>
              <w:spacing w:after="0"/>
              <w:jc w:val="right"/>
            </w:pPr>
            <w:r>
              <w:rPr>
                <w:rFonts w:ascii="Consolas" w:cs="Consolas" w:eastAsia="Consolas" w:hAnsi="Consolas"/>
                <w:color w:val="333333"/>
                <w:sz w:val="19"/>
                <w:szCs w:val="19"/>
              </w:rPr>
              <w:t xml:space="preserve">Friday</w:t>
            </w:r>
          </w:p>
        </w:tc>
      </w:tr>
    </w:tbl>
    <w:p>
      <w:pPr>
        <w:spacing w:after="160" w:line="276"/>
      </w:pPr>
      <w:r>
        <w:rPr>
          <w:rFonts w:ascii="Calibri" w:cs="Calibri" w:eastAsia="Calibri" w:hAnsi="Calibri"/>
          <w:i/>
          <w:iCs/>
          <w:color w:val="5B6470"/>
          <w:sz w:val="21"/>
          <w:szCs w:val="21"/>
        </w:rPr>
        <w:t xml:space="preserve">The vendor sees the fee, their true earning, and a running “what I owe” balance that grows as orders are delivered and resets at settlement.</w:t>
      </w:r>
    </w:p>
    <w:p>
      <w:pPr>
        <w:pStyle w:val="Heading2"/>
        <w:spacing w:after="100" w:before="220"/>
      </w:pPr>
      <w:r>
        <w:rPr>
          <w:rFonts w:ascii="Calibri" w:cs="Calibri" w:eastAsia="Calibri" w:hAnsi="Calibri"/>
          <w:b/>
          <w:bCs/>
          <w:color w:val="2E7D8F"/>
          <w:sz w:val="25"/>
          <w:szCs w:val="25"/>
        </w:rPr>
        <w:t xml:space="preserve">5.3  Owner / platform view — the benefit</w:t>
      </w:r>
    </w:p>
    <w:tbl>
      <w:tblPr>
        <w:tblW w:type="dxa" w:w="6520"/>
        <w:tblBorders>
          <w:top w:val="single" w:color="C9D4DB" w:sz="4"/>
          <w:left w:val="single" w:color="C9D4DB" w:sz="4"/>
          <w:bottom w:val="single" w:color="C9D4DB" w:sz="4"/>
          <w:right w:val="single" w:color="C9D4DB" w:sz="4"/>
          <w:insideH w:val="none" w:color="FFFFFF" w:sz="0"/>
          <w:insideV w:val="none" w:color="FFFFFF" w:sz="0"/>
        </w:tblBorders>
      </w:tblPr>
      <w:tblGrid>
        <w:gridCol w:w="4320"/>
        <w:gridCol w:w="2200"/>
      </w:tblGrid>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Gross order value</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color w:val="333333"/>
                <w:sz w:val="19"/>
                <w:szCs w:val="19"/>
              </w:rPr>
              <w:t xml:space="preserve">12,400 DZD</w:t>
            </w:r>
          </w:p>
        </w:tc>
      </w:tr>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color w:val="333333"/>
                <w:sz w:val="19"/>
                <w:szCs w:val="19"/>
              </w:rPr>
              <w:t xml:space="preserve">Vendor keeps (net + shipping)</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color w:val="333333"/>
                <w:sz w:val="19"/>
                <w:szCs w:val="19"/>
              </w:rPr>
              <w:t xml:space="preserve">11,440 DZD</w:t>
            </w:r>
          </w:p>
        </w:tc>
      </w:tr>
      <w:tr>
        <w:tc>
          <w:tcPr>
            <w:tcW w:type="dxa" w:w="4320"/>
            <w:tcBorders>
              <w:top w:val="none" w:color="FFFFFF" w:sz="0"/>
              <w:left w:val="none" w:color="FFFFFF" w:sz="0"/>
              <w:bottom w:val="none" w:color="FFFFFF" w:sz="0"/>
              <w:right w:val="none" w:color="FFFFFF" w:sz="0"/>
            </w:tcBorders>
            <w:shd w:fill="EEF3F6" w:color="auto" w:val="clear"/>
            <w:tcMar>
              <w:top w:type="dxa" w:w="20"/>
              <w:left w:type="dxa" w:w="160"/>
              <w:bottom w:type="dxa" w:w="20"/>
              <w:right w:type="dxa" w:w="60"/>
            </w:tcMar>
          </w:tcPr>
          <w:p>
            <w:pPr>
              <w:spacing w:after="0"/>
            </w:pPr>
            <w:r>
              <w:rPr>
                <w:rFonts w:ascii="Consolas" w:cs="Consolas" w:eastAsia="Consolas" w:hAnsi="Consolas"/>
                <w:b/>
                <w:bCs/>
                <w:color w:val="1F3A5F"/>
                <w:sz w:val="19"/>
                <w:szCs w:val="19"/>
              </w:rPr>
              <w:t xml:space="preserve">Commission earned (app benefit)</w:t>
            </w:r>
          </w:p>
        </w:tc>
        <w:tc>
          <w:tcPr>
            <w:tcW w:type="dxa" w:w="2200"/>
            <w:tcBorders>
              <w:top w:val="none" w:color="FFFFFF" w:sz="0"/>
              <w:left w:val="none" w:color="FFFFFF" w:sz="0"/>
              <w:bottom w:val="none" w:color="FFFFFF" w:sz="0"/>
              <w:right w:val="none" w:color="FFFFFF" w:sz="0"/>
            </w:tcBorders>
            <w:shd w:fill="EEF3F6" w:color="auto" w:val="clear"/>
            <w:tcMar>
              <w:top w:type="dxa" w:w="20"/>
              <w:left w:type="dxa" w:w="60"/>
              <w:bottom w:type="dxa" w:w="20"/>
              <w:right w:type="dxa" w:w="160"/>
            </w:tcMar>
          </w:tcPr>
          <w:p>
            <w:pPr>
              <w:spacing w:after="0"/>
              <w:jc w:val="right"/>
            </w:pPr>
            <w:r>
              <w:rPr>
                <w:rFonts w:ascii="Consolas" w:cs="Consolas" w:eastAsia="Consolas" w:hAnsi="Consolas"/>
                <w:b/>
                <w:bCs/>
                <w:color w:val="1E7A46"/>
                <w:sz w:val="19"/>
                <w:szCs w:val="19"/>
              </w:rPr>
              <w:t xml:space="preserve">960 DZD</w:t>
            </w:r>
          </w:p>
        </w:tc>
      </w:tr>
    </w:tbl>
    <w:p>
      <w:pPr>
        <w:spacing w:after="120" w:line="276"/>
      </w:pPr>
      <w:r>
        <w:rPr>
          <w:rFonts w:ascii="Calibri" w:cs="Calibri" w:eastAsia="Calibri" w:hAnsi="Calibri"/>
          <w:i/>
          <w:iCs/>
          <w:color w:val="5B6470"/>
          <w:sz w:val="21"/>
          <w:szCs w:val="21"/>
        </w:rPr>
        <w:t xml:space="preserve">Across all vendors, the platform tracks total </w:t>
      </w:r>
      <w:r>
        <w:rPr>
          <w:rFonts w:ascii="Calibri" w:cs="Calibri" w:eastAsia="Calibri" w:hAnsi="Calibri"/>
          <w:b/>
          <w:bCs/>
          <w:i/>
          <w:iCs/>
          <w:color w:val="5B6470"/>
          <w:sz w:val="21"/>
          <w:szCs w:val="21"/>
        </w:rPr>
        <w:t xml:space="preserve">receivables</w:t>
      </w:r>
      <w:r>
        <w:rPr>
          <w:rFonts w:ascii="Calibri" w:cs="Calibri" w:eastAsia="Calibri" w:hAnsi="Calibri"/>
          <w:i/>
          <w:iCs/>
          <w:color w:val="5B6470"/>
          <w:sz w:val="21"/>
          <w:szCs w:val="21"/>
        </w:rPr>
        <w:t xml:space="preserve"> — the sum of every Due-but-unsettled commission. That total is the app's earned, collectable revenue.</w:t>
      </w:r>
    </w:p>
    <w:p>
      <w:r>
        <w:br w:type="page"/>
      </w:r>
    </w:p>
    <w:p>
      <w:pPr>
        <w:pStyle w:val="Heading1"/>
        <w:spacing w:after="140" w:before="320"/>
      </w:pPr>
      <w:r>
        <w:rPr>
          <w:rFonts w:ascii="Calibri" w:cs="Calibri" w:eastAsia="Calibri" w:hAnsi="Calibri"/>
          <w:b/>
          <w:bCs/>
          <w:color w:val="1F3A5F"/>
          <w:sz w:val="30"/>
          <w:szCs w:val="30"/>
        </w:rPr>
        <w:t xml:space="preserve">6. Vendor Wallet &amp; Settlement</w:t>
      </w:r>
    </w:p>
    <w:p>
      <w:pPr>
        <w:spacing w:after="120" w:line="276"/>
      </w:pPr>
      <w:r>
        <w:rPr>
          <w:rFonts w:ascii="Calibri" w:cs="Calibri" w:eastAsia="Calibri" w:hAnsi="Calibri"/>
          <w:color w:val="222222"/>
          <w:sz w:val="21"/>
          <w:szCs w:val="21"/>
        </w:rPr>
        <w:t xml:space="preserve">Because cash changes hands off-platform, the platform cannot deduct its fee at the moment of sale. Instead each vendor carries a running balance — a one-directional debt ledger that only grows as orders are delivered and returns to zero when the vendor settles.</w:t>
      </w:r>
    </w:p>
    <w:p>
      <w:pPr>
        <w:pStyle w:val="Heading2"/>
        <w:spacing w:after="100" w:before="220"/>
      </w:pPr>
      <w:r>
        <w:rPr>
          <w:rFonts w:ascii="Calibri" w:cs="Calibri" w:eastAsia="Calibri" w:hAnsi="Calibri"/>
          <w:b/>
          <w:bCs/>
          <w:color w:val="2E7D8F"/>
          <w:sz w:val="25"/>
          <w:szCs w:val="25"/>
        </w:rPr>
        <w:t xml:space="preserve">How it works</w:t>
      </w:r>
    </w:p>
    <w:p>
      <w:pPr>
        <w:pStyle w:val="ListParagraph"/>
        <w:numPr>
          <w:ilvl w:val="0"/>
          <w:numId w:val="2"/>
        </w:numPr>
        <w:spacing w:after="70" w:line="270"/>
      </w:pPr>
      <w:r>
        <w:rPr>
          <w:rFonts w:ascii="Calibri" w:cs="Calibri" w:eastAsia="Calibri" w:hAnsi="Calibri"/>
          <w:b/>
          <w:bCs/>
          <w:sz w:val="21"/>
          <w:szCs w:val="21"/>
        </w:rPr>
        <w:t xml:space="preserve">One balance per vendor. </w:t>
      </w:r>
      <w:r>
        <w:rPr>
          <w:rFonts w:ascii="Calibri" w:cs="Calibri" w:eastAsia="Calibri" w:hAnsi="Calibri"/>
          <w:sz w:val="21"/>
          <w:szCs w:val="21"/>
        </w:rPr>
        <w:t xml:space="preserve">Every delivered order adds its commission to the vendor's outstanding balance.</w:t>
      </w:r>
    </w:p>
    <w:p>
      <w:pPr>
        <w:pStyle w:val="ListParagraph"/>
        <w:numPr>
          <w:ilvl w:val="0"/>
          <w:numId w:val="2"/>
        </w:numPr>
        <w:spacing w:after="70" w:line="270"/>
      </w:pPr>
      <w:r>
        <w:rPr>
          <w:rFonts w:ascii="Calibri" w:cs="Calibri" w:eastAsia="Calibri" w:hAnsi="Calibri"/>
          <w:b/>
          <w:bCs/>
          <w:sz w:val="21"/>
          <w:szCs w:val="21"/>
        </w:rPr>
        <w:t xml:space="preserve">Weekly statement. </w:t>
      </w:r>
      <w:r>
        <w:rPr>
          <w:rFonts w:ascii="Calibri" w:cs="Calibri" w:eastAsia="Calibri" w:hAnsi="Calibri"/>
          <w:sz w:val="21"/>
          <w:szCs w:val="21"/>
        </w:rPr>
        <w:t xml:space="preserve">Each cycle the vendor receives a statement listing the orders and the total commission owed, and pays the platform.</w:t>
      </w:r>
    </w:p>
    <w:p>
      <w:pPr>
        <w:pStyle w:val="ListParagraph"/>
        <w:numPr>
          <w:ilvl w:val="0"/>
          <w:numId w:val="2"/>
        </w:numPr>
        <w:spacing w:after="70" w:line="270"/>
      </w:pPr>
      <w:r>
        <w:rPr>
          <w:rFonts w:ascii="Calibri" w:cs="Calibri" w:eastAsia="Calibri" w:hAnsi="Calibri"/>
          <w:b/>
          <w:bCs/>
          <w:sz w:val="21"/>
          <w:szCs w:val="21"/>
        </w:rPr>
        <w:t xml:space="preserve">Overdue protection. </w:t>
      </w:r>
      <w:r>
        <w:rPr>
          <w:rFonts w:ascii="Calibri" w:cs="Calibri" w:eastAsia="Calibri" w:hAnsi="Calibri"/>
          <w:sz w:val="21"/>
          <w:szCs w:val="21"/>
        </w:rPr>
        <w:t xml:space="preserve">If a vendor's owed balance passes a defined cap, or a statement goes unpaid past its due date, new listings are automatically paused until the balance is settled. This is the platform's primary enforcement lever in a cash environment.</w:t>
      </w:r>
    </w:p>
    <w:p>
      <w:pPr>
        <w:pStyle w:val="Heading2"/>
        <w:spacing w:after="100" w:before="220"/>
      </w:pPr>
      <w:r>
        <w:rPr>
          <w:rFonts w:ascii="Calibri" w:cs="Calibri" w:eastAsia="Calibri" w:hAnsi="Calibri"/>
          <w:b/>
          <w:bCs/>
          <w:color w:val="2E7D8F"/>
          <w:sz w:val="25"/>
          <w:szCs w:val="25"/>
        </w:rPr>
        <w:t xml:space="preserve">Why this model</w:t>
      </w:r>
    </w:p>
    <w:p>
      <w:pPr>
        <w:spacing w:after="120" w:line="276"/>
      </w:pPr>
      <w:r>
        <w:rPr>
          <w:rFonts w:ascii="Calibri" w:cs="Calibri" w:eastAsia="Calibri" w:hAnsi="Calibri"/>
          <w:color w:val="222222"/>
          <w:sz w:val="21"/>
          <w:szCs w:val="21"/>
        </w:rPr>
        <w:t xml:space="preserve">It mirrors how established COD marketplaces in the region operate. It avoids per-order cash collection, gives the vendor a predictable settlement rhythm, and gives the platform a clear, enforceable receivable backed by the ability to suspend a non-paying vendor's ability to sell.</w:t>
      </w:r>
    </w:p>
    <w:p>
      <w:pPr>
        <w:pStyle w:val="Heading2"/>
        <w:spacing w:after="100" w:before="220"/>
      </w:pPr>
      <w:r>
        <w:rPr>
          <w:rFonts w:ascii="Calibri" w:cs="Calibri" w:eastAsia="Calibri" w:hAnsi="Calibri"/>
          <w:b/>
          <w:bCs/>
          <w:color w:val="2E7D8F"/>
          <w:sz w:val="25"/>
          <w:szCs w:val="25"/>
        </w:rPr>
        <w:t xml:space="preserve">Risks &amp; mitigations</w:t>
      </w:r>
    </w:p>
    <w:tbl>
      <w:tblPr>
        <w:tblW w:type="dxa" w:w="9620"/>
        <w:tblBorders>
          <w:top w:val="single" w:color="C9D4DB" w:sz="4"/>
          <w:left w:val="single" w:color="C9D4DB" w:sz="4"/>
          <w:bottom w:val="single" w:color="C9D4DB" w:sz="4"/>
          <w:right w:val="single" w:color="C9D4DB" w:sz="4"/>
          <w:insideH w:val="single" w:color="C9D4DB" w:sz="4"/>
          <w:insideV w:val="single" w:color="C9D4DB" w:sz="4"/>
        </w:tblBorders>
      </w:tblPr>
      <w:tblGrid>
        <w:gridCol w:w="3400"/>
        <w:gridCol w:w="3210"/>
        <w:gridCol w:w="3010"/>
      </w:tblGrid>
      <w:tr>
        <w:trPr>
          <w:tblHeader/>
        </w:trPr>
        <w:tc>
          <w:tcPr>
            <w:tcW w:type="dxa" w:w="34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Risk</w:t>
            </w:r>
          </w:p>
        </w:tc>
        <w:tc>
          <w:tcPr>
            <w:tcW w:type="dxa" w:w="321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Impact</w:t>
            </w:r>
          </w:p>
        </w:tc>
        <w:tc>
          <w:tcPr>
            <w:tcW w:type="dxa" w:w="301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Mitigation</w:t>
            </w:r>
          </w:p>
        </w:tc>
      </w:tr>
      <w:tr>
        <w:tc>
          <w:tcPr>
            <w:tcW w:type="dxa" w:w="34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Vendor collects cash but never settles</w:t>
            </w:r>
          </w:p>
        </w:tc>
        <w:tc>
          <w:tcPr>
            <w:tcW w:type="dxa" w:w="321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Lost commission revenue</w:t>
            </w:r>
          </w:p>
        </w:tc>
        <w:tc>
          <w:tcPr>
            <w:tcW w:type="dxa" w:w="301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Owed-balance cap + auto-pause listings on overdue</w:t>
            </w:r>
          </w:p>
        </w:tc>
      </w:tr>
      <w:tr>
        <w:tc>
          <w:tcPr>
            <w:tcW w:type="dxa" w:w="34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High return/cancellation rate</w:t>
            </w:r>
          </w:p>
        </w:tc>
        <w:tc>
          <w:tcPr>
            <w:tcW w:type="dxa" w:w="321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Provisional commissions never realise</w:t>
            </w:r>
          </w:p>
        </w:tc>
        <w:tc>
          <w:tcPr>
            <w:tcW w:type="dxa" w:w="301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Fee only becomes Due on delivery; voided on return</w:t>
            </w:r>
          </w:p>
        </w:tc>
      </w:tr>
      <w:tr>
        <w:tc>
          <w:tcPr>
            <w:tcW w:type="dxa" w:w="34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Vendor disputes an order's fee</w:t>
            </w:r>
          </w:p>
        </w:tc>
        <w:tc>
          <w:tcPr>
            <w:tcW w:type="dxa" w:w="321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Settlement delays</w:t>
            </w:r>
          </w:p>
        </w:tc>
        <w:tc>
          <w:tcPr>
            <w:tcW w:type="dxa" w:w="301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Per-order breakdown visible in statement; itemised audit trail</w:t>
            </w:r>
          </w:p>
        </w:tc>
      </w:tr>
      <w:tr>
        <w:tc>
          <w:tcPr>
            <w:tcW w:type="dxa" w:w="34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Client-side tampering with rates</w:t>
            </w:r>
          </w:p>
        </w:tc>
        <w:tc>
          <w:tcPr>
            <w:tcW w:type="dxa" w:w="321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Under-reported revenue</w:t>
            </w:r>
          </w:p>
        </w:tc>
        <w:tc>
          <w:tcPr>
            <w:tcW w:type="dxa" w:w="301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Rates &amp; balances computed and stored server-side only</w:t>
            </w:r>
          </w:p>
        </w:tc>
      </w:tr>
    </w:tbl>
    <w:p>
      <w:r>
        <w:br w:type="page"/>
      </w:r>
    </w:p>
    <w:p>
      <w:pPr>
        <w:pStyle w:val="Heading1"/>
        <w:spacing w:after="140" w:before="320"/>
      </w:pPr>
      <w:r>
        <w:rPr>
          <w:rFonts w:ascii="Calibri" w:cs="Calibri" w:eastAsia="Calibri" w:hAnsi="Calibri"/>
          <w:b/>
          <w:bCs/>
          <w:color w:val="1F3A5F"/>
          <w:sz w:val="30"/>
          <w:szCs w:val="30"/>
        </w:rPr>
        <w:t xml:space="preserve">7. What This Changes in the Product</w:t>
      </w:r>
    </w:p>
    <w:p>
      <w:pPr>
        <w:spacing w:after="120" w:line="276"/>
      </w:pPr>
      <w:r>
        <w:rPr>
          <w:rFonts w:ascii="Calibri" w:cs="Calibri" w:eastAsia="Calibri" w:hAnsi="Calibri"/>
          <w:color w:val="222222"/>
          <w:sz w:val="21"/>
          <w:szCs w:val="21"/>
        </w:rPr>
        <w:t xml:space="preserve">The feature spans data, backend rules and three screens. The client displays commission and balance figures; the backend is the source of truth for all of them.</w:t>
      </w:r>
    </w:p>
    <w:p>
      <w:pPr>
        <w:pStyle w:val="Heading2"/>
        <w:spacing w:after="100" w:before="220"/>
      </w:pPr>
      <w:r>
        <w:rPr>
          <w:rFonts w:ascii="Calibri" w:cs="Calibri" w:eastAsia="Calibri" w:hAnsi="Calibri"/>
          <w:b/>
          <w:bCs/>
          <w:color w:val="2E7D8F"/>
          <w:sz w:val="25"/>
          <w:szCs w:val="25"/>
        </w:rPr>
        <w:t xml:space="preserve">7.1  Data model additions</w:t>
      </w:r>
    </w:p>
    <w:tbl>
      <w:tblPr>
        <w:tblW w:type="dxa" w:w="10320"/>
        <w:tblBorders>
          <w:top w:val="single" w:color="C9D4DB" w:sz="4"/>
          <w:left w:val="single" w:color="C9D4DB" w:sz="4"/>
          <w:bottom w:val="single" w:color="C9D4DB" w:sz="4"/>
          <w:right w:val="single" w:color="C9D4DB" w:sz="4"/>
          <w:insideH w:val="single" w:color="C9D4DB" w:sz="4"/>
          <w:insideV w:val="single" w:color="C9D4DB" w:sz="4"/>
        </w:tblBorders>
      </w:tblPr>
      <w:tblGrid>
        <w:gridCol w:w="2600"/>
        <w:gridCol w:w="3200"/>
        <w:gridCol w:w="4520"/>
      </w:tblGrid>
      <w:tr>
        <w:trPr>
          <w:tblHeader/>
        </w:trPr>
        <w:tc>
          <w:tcPr>
            <w:tcW w:type="dxa" w:w="26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Where</w:t>
            </w:r>
          </w:p>
        </w:tc>
        <w:tc>
          <w:tcPr>
            <w:tcW w:type="dxa" w:w="32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New concept</w:t>
            </w:r>
          </w:p>
        </w:tc>
        <w:tc>
          <w:tcPr>
            <w:tcW w:type="dxa" w:w="452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Purpose</w:t>
            </w:r>
          </w:p>
        </w:tc>
      </w:tr>
      <w:tr>
        <w:tc>
          <w:tcPr>
            <w:tcW w:type="dxa" w:w="26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Commission config</w:t>
            </w:r>
          </w:p>
        </w:tc>
        <w:tc>
          <w:tcPr>
            <w:tcW w:type="dxa" w:w="32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category → percent</w:t>
            </w:r>
          </w:p>
        </w:tc>
        <w:tc>
          <w:tcPr>
            <w:tcW w:type="dxa" w:w="45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Owner-set rate per category (server-side)</w:t>
            </w:r>
          </w:p>
        </w:tc>
      </w:tr>
      <w:tr>
        <w:tc>
          <w:tcPr>
            <w:tcW w:type="dxa" w:w="26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 line item</w:t>
            </w:r>
          </w:p>
        </w:tc>
        <w:tc>
          <w:tcPr>
            <w:tcW w:type="dxa" w:w="32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commissionAmount, vendorNet</w:t>
            </w:r>
          </w:p>
        </w:tc>
        <w:tc>
          <w:tcPr>
            <w:tcW w:type="dxa" w:w="45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Fee and net earning for each line</w:t>
            </w:r>
          </w:p>
        </w:tc>
      </w:tr>
      <w:tr>
        <w:tc>
          <w:tcPr>
            <w:tcW w:type="dxa" w:w="26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w:t>
            </w:r>
          </w:p>
        </w:tc>
        <w:tc>
          <w:tcPr>
            <w:tcW w:type="dxa" w:w="32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platformCommission, vendorNet, commissionStatus</w:t>
            </w:r>
          </w:p>
        </w:tc>
        <w:tc>
          <w:tcPr>
            <w:tcW w:type="dxa" w:w="45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Order-level fee, net, and lifecycle status</w:t>
            </w:r>
          </w:p>
        </w:tc>
      </w:tr>
      <w:tr>
        <w:tc>
          <w:tcPr>
            <w:tcW w:type="dxa" w:w="26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Vendor wallet</w:t>
            </w:r>
          </w:p>
        </w:tc>
        <w:tc>
          <w:tcPr>
            <w:tcW w:type="dxa" w:w="32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outstandingCommission + statements</w:t>
            </w:r>
          </w:p>
        </w:tc>
        <w:tc>
          <w:tcPr>
            <w:tcW w:type="dxa" w:w="45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Running owed balance and settlement history</w:t>
            </w:r>
          </w:p>
        </w:tc>
      </w:tr>
    </w:tbl>
    <w:p>
      <w:pPr>
        <w:spacing w:after="160" w:line="276"/>
      </w:pPr>
      <w:r>
        <w:rPr>
          <w:rFonts w:ascii="Calibri" w:cs="Calibri" w:eastAsia="Calibri" w:hAnsi="Calibri"/>
          <w:b/>
          <w:bCs/>
          <w:color w:val="5B6470"/>
          <w:sz w:val="21"/>
          <w:szCs w:val="21"/>
        </w:rPr>
        <w:t xml:space="preserve">Note: </w:t>
      </w:r>
      <w:r>
        <w:rPr>
          <w:rFonts w:ascii="Calibri" w:cs="Calibri" w:eastAsia="Calibri" w:hAnsi="Calibri"/>
          <w:i/>
          <w:iCs/>
          <w:color w:val="5B6470"/>
          <w:sz w:val="21"/>
          <w:szCs w:val="21"/>
        </w:rPr>
        <w:t xml:space="preserve">the traditional “payout” field is intentionally omitted — in a COD model there is no payout, only commission owed.</w:t>
      </w:r>
    </w:p>
    <w:p>
      <w:pPr>
        <w:pStyle w:val="Heading2"/>
        <w:spacing w:after="100" w:before="220"/>
      </w:pPr>
      <w:r>
        <w:rPr>
          <w:rFonts w:ascii="Calibri" w:cs="Calibri" w:eastAsia="Calibri" w:hAnsi="Calibri"/>
          <w:b/>
          <w:bCs/>
          <w:color w:val="2E7D8F"/>
          <w:sz w:val="25"/>
          <w:szCs w:val="25"/>
        </w:rPr>
        <w:t xml:space="preserve">7.2  Screens affected</w:t>
      </w:r>
    </w:p>
    <w:p>
      <w:pPr>
        <w:pStyle w:val="ListParagraph"/>
        <w:numPr>
          <w:ilvl w:val="0"/>
          <w:numId w:val="2"/>
        </w:numPr>
        <w:spacing w:after="70" w:line="270"/>
      </w:pPr>
      <w:r>
        <w:rPr>
          <w:rFonts w:ascii="Calibri" w:cs="Calibri" w:eastAsia="Calibri" w:hAnsi="Calibri"/>
          <w:b/>
          <w:bCs/>
          <w:sz w:val="21"/>
          <w:szCs w:val="21"/>
        </w:rPr>
        <w:t xml:space="preserve">Add-listing screen. </w:t>
      </w:r>
      <w:r>
        <w:rPr>
          <w:rFonts w:ascii="Calibri" w:cs="Calibri" w:eastAsia="Calibri" w:hAnsi="Calibri"/>
          <w:sz w:val="21"/>
          <w:szCs w:val="21"/>
        </w:rPr>
        <w:t xml:space="preserve">Gains a live breakdown under the price field: “You earn X, platform fee Y.”</w:t>
      </w:r>
    </w:p>
    <w:p>
      <w:pPr>
        <w:pStyle w:val="ListParagraph"/>
        <w:numPr>
          <w:ilvl w:val="0"/>
          <w:numId w:val="2"/>
        </w:numPr>
        <w:spacing w:after="70" w:line="270"/>
      </w:pPr>
      <w:r>
        <w:rPr>
          <w:rFonts w:ascii="Calibri" w:cs="Calibri" w:eastAsia="Calibri" w:hAnsi="Calibri"/>
          <w:b/>
          <w:bCs/>
          <w:sz w:val="21"/>
          <w:szCs w:val="21"/>
        </w:rPr>
        <w:t xml:space="preserve">Order detail (vendor). </w:t>
      </w:r>
      <w:r>
        <w:rPr>
          <w:rFonts w:ascii="Calibri" w:cs="Calibri" w:eastAsia="Calibri" w:hAnsi="Calibri"/>
          <w:sz w:val="21"/>
          <w:szCs w:val="21"/>
        </w:rPr>
        <w:t xml:space="preserve">Gains the cash-collected / commission / net-earning breakdown.</w:t>
      </w:r>
    </w:p>
    <w:p>
      <w:pPr>
        <w:pStyle w:val="ListParagraph"/>
        <w:numPr>
          <w:ilvl w:val="0"/>
          <w:numId w:val="2"/>
        </w:numPr>
        <w:spacing w:after="70" w:line="270"/>
      </w:pPr>
      <w:r>
        <w:rPr>
          <w:rFonts w:ascii="Calibri" w:cs="Calibri" w:eastAsia="Calibri" w:hAnsi="Calibri"/>
          <w:b/>
          <w:bCs/>
          <w:sz w:val="21"/>
          <w:szCs w:val="21"/>
        </w:rPr>
        <w:t xml:space="preserve">Earnings screen (currently “Coming Soon”). </w:t>
      </w:r>
      <w:r>
        <w:rPr>
          <w:rFonts w:ascii="Calibri" w:cs="Calibri" w:eastAsia="Calibri" w:hAnsi="Calibri"/>
          <w:sz w:val="21"/>
          <w:szCs w:val="21"/>
        </w:rPr>
        <w:t xml:space="preserve">Becomes the real vendor view: net earnings, outstanding balance, and settlement statements.</w:t>
      </w:r>
    </w:p>
    <w:p>
      <w:pPr>
        <w:pStyle w:val="ListParagraph"/>
        <w:numPr>
          <w:ilvl w:val="0"/>
          <w:numId w:val="2"/>
        </w:numPr>
        <w:spacing w:after="70" w:line="270"/>
      </w:pPr>
      <w:r>
        <w:rPr>
          <w:rFonts w:ascii="Calibri" w:cs="Calibri" w:eastAsia="Calibri" w:hAnsi="Calibri"/>
          <w:b/>
          <w:bCs/>
          <w:sz w:val="21"/>
          <w:szCs w:val="21"/>
        </w:rPr>
        <w:t xml:space="preserve">Owner ledger (new). </w:t>
      </w:r>
      <w:r>
        <w:rPr>
          <w:rFonts w:ascii="Calibri" w:cs="Calibri" w:eastAsia="Calibri" w:hAnsi="Calibri"/>
          <w:sz w:val="21"/>
          <w:szCs w:val="21"/>
        </w:rPr>
        <w:t xml:space="preserve">Commission earned per order and total receivables across vendors.</w:t>
      </w:r>
    </w:p>
    <w:p>
      <w:pPr>
        <w:pStyle w:val="Heading2"/>
        <w:spacing w:after="100" w:before="220"/>
      </w:pPr>
      <w:r>
        <w:rPr>
          <w:rFonts w:ascii="Calibri" w:cs="Calibri" w:eastAsia="Calibri" w:hAnsi="Calibri"/>
          <w:b/>
          <w:bCs/>
          <w:color w:val="2E7D8F"/>
          <w:sz w:val="25"/>
          <w:szCs w:val="25"/>
        </w:rPr>
        <w:t xml:space="preserve">7.3  Suggested delivery phases</w:t>
      </w:r>
    </w:p>
    <w:tbl>
      <w:tblPr>
        <w:tblW w:type="dxa" w:w="10320"/>
        <w:tblBorders>
          <w:top w:val="single" w:color="C9D4DB" w:sz="4"/>
          <w:left w:val="single" w:color="C9D4DB" w:sz="4"/>
          <w:bottom w:val="single" w:color="C9D4DB" w:sz="4"/>
          <w:right w:val="single" w:color="C9D4DB" w:sz="4"/>
          <w:insideH w:val="single" w:color="C9D4DB" w:sz="4"/>
          <w:insideV w:val="single" w:color="C9D4DB" w:sz="4"/>
        </w:tblBorders>
      </w:tblPr>
      <w:tblGrid>
        <w:gridCol w:w="1400"/>
        <w:gridCol w:w="3400"/>
        <w:gridCol w:w="4520"/>
        <w:gridCol w:w="1000"/>
      </w:tblGrid>
      <w:tr>
        <w:trPr>
          <w:tblHeader/>
        </w:trPr>
        <w:tc>
          <w:tcPr>
            <w:tcW w:type="dxa" w:w="14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Phase</w:t>
            </w:r>
          </w:p>
        </w:tc>
        <w:tc>
          <w:tcPr>
            <w:tcW w:type="dxa" w:w="34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Scope</w:t>
            </w:r>
          </w:p>
        </w:tc>
        <w:tc>
          <w:tcPr>
            <w:tcW w:type="dxa" w:w="452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Value delivered</w:t>
            </w:r>
          </w:p>
        </w:tc>
        <w:tc>
          <w:tcPr>
            <w:tcW w:type="dxa" w:w="10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Size</w:t>
            </w:r>
          </w:p>
        </w:tc>
      </w:tr>
      <w:tr>
        <w:tc>
          <w:tcPr>
            <w:tcW w:type="dxa" w:w="1400"/>
            <w:shd w:fill="FFFFFF" w:color="auto" w:val="clear"/>
            <w:tcMar>
              <w:top w:type="dxa" w:w="70"/>
              <w:left w:type="dxa" w:w="110"/>
              <w:bottom w:type="dxa" w:w="70"/>
              <w:right w:type="dxa" w:w="110"/>
            </w:tcMar>
          </w:tcPr>
          <w:p>
            <w:pPr>
              <w:spacing w:after="0" w:line="264"/>
            </w:pPr>
            <w:r>
              <w:rPr>
                <w:rFonts w:ascii="Calibri" w:cs="Calibri" w:eastAsia="Calibri" w:hAnsi="Calibri"/>
                <w:b/>
                <w:bCs/>
                <w:color w:val="1F3A5F"/>
                <w:sz w:val="20"/>
                <w:szCs w:val="20"/>
              </w:rPr>
              <w:t xml:space="preserve">A</w:t>
            </w:r>
          </w:p>
        </w:tc>
        <w:tc>
          <w:tcPr>
            <w:tcW w:type="dxa" w:w="34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Listing-time transparency</w:t>
            </w:r>
          </w:p>
        </w:tc>
        <w:tc>
          <w:tcPr>
            <w:tcW w:type="dxa" w:w="45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Category rate config + “you earn X, fee Y” on add-listing</w:t>
            </w:r>
          </w:p>
        </w:tc>
        <w:tc>
          <w:tcPr>
            <w:tcW w:type="dxa" w:w="10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S</w:t>
            </w:r>
          </w:p>
        </w:tc>
      </w:tr>
      <w:tr>
        <w:tc>
          <w:tcPr>
            <w:tcW w:type="dxa" w:w="1400"/>
            <w:shd w:fill="F7FAFB" w:color="auto" w:val="clear"/>
            <w:tcMar>
              <w:top w:type="dxa" w:w="70"/>
              <w:left w:type="dxa" w:w="110"/>
              <w:bottom w:type="dxa" w:w="70"/>
              <w:right w:type="dxa" w:w="110"/>
            </w:tcMar>
          </w:tcPr>
          <w:p>
            <w:pPr>
              <w:spacing w:after="0" w:line="264"/>
            </w:pPr>
            <w:r>
              <w:rPr>
                <w:rFonts w:ascii="Calibri" w:cs="Calibri" w:eastAsia="Calibri" w:hAnsi="Calibri"/>
                <w:b/>
                <w:bCs/>
                <w:color w:val="1F3A5F"/>
                <w:sz w:val="20"/>
                <w:szCs w:val="20"/>
              </w:rPr>
              <w:t xml:space="preserve">B</w:t>
            </w:r>
          </w:p>
        </w:tc>
        <w:tc>
          <w:tcPr>
            <w:tcW w:type="dxa" w:w="34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Order money model</w:t>
            </w:r>
          </w:p>
        </w:tc>
        <w:tc>
          <w:tcPr>
            <w:tcW w:type="dxa" w:w="45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Commission / net / status fields + vendor order breakdown</w:t>
            </w:r>
          </w:p>
        </w:tc>
        <w:tc>
          <w:tcPr>
            <w:tcW w:type="dxa" w:w="10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M</w:t>
            </w:r>
          </w:p>
        </w:tc>
      </w:tr>
      <w:tr>
        <w:tc>
          <w:tcPr>
            <w:tcW w:type="dxa" w:w="1400"/>
            <w:shd w:fill="FFFFFF" w:color="auto" w:val="clear"/>
            <w:tcMar>
              <w:top w:type="dxa" w:w="70"/>
              <w:left w:type="dxa" w:w="110"/>
              <w:bottom w:type="dxa" w:w="70"/>
              <w:right w:type="dxa" w:w="110"/>
            </w:tcMar>
          </w:tcPr>
          <w:p>
            <w:pPr>
              <w:spacing w:after="0" w:line="264"/>
            </w:pPr>
            <w:r>
              <w:rPr>
                <w:rFonts w:ascii="Calibri" w:cs="Calibri" w:eastAsia="Calibri" w:hAnsi="Calibri"/>
                <w:b/>
                <w:bCs/>
                <w:color w:val="1F3A5F"/>
                <w:sz w:val="20"/>
                <w:szCs w:val="20"/>
              </w:rPr>
              <w:t xml:space="preserve">C</w:t>
            </w:r>
          </w:p>
        </w:tc>
        <w:tc>
          <w:tcPr>
            <w:tcW w:type="dxa" w:w="34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Earnings &amp; wallet</w:t>
            </w:r>
          </w:p>
        </w:tc>
        <w:tc>
          <w:tcPr>
            <w:tcW w:type="dxa" w:w="45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Real Earnings screen, owed balance, statements</w:t>
            </w:r>
          </w:p>
        </w:tc>
        <w:tc>
          <w:tcPr>
            <w:tcW w:type="dxa" w:w="10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L</w:t>
            </w:r>
          </w:p>
        </w:tc>
      </w:tr>
    </w:tbl>
    <w:p>
      <w:pPr>
        <w:spacing w:after="120" w:line="276"/>
      </w:pPr>
      <w:r>
        <w:rPr>
          <w:rFonts w:ascii="Calibri" w:cs="Calibri" w:eastAsia="Calibri" w:hAnsi="Calibri"/>
          <w:b/>
          <w:bCs/>
          <w:sz w:val="21"/>
          <w:szCs w:val="21"/>
        </w:rPr>
        <w:t xml:space="preserve">Recommended starting point: Phase A</w:t>
      </w:r>
      <w:r>
        <w:rPr>
          <w:rFonts w:ascii="Calibri" w:cs="Calibri" w:eastAsia="Calibri" w:hAnsi="Calibri"/>
          <w:sz w:val="21"/>
          <w:szCs w:val="21"/>
        </w:rPr>
        <w:t xml:space="preserve"> — the smallest slice, the most visible to vendors, and the foundation the rest builds on.</w:t>
      </w:r>
    </w:p>
    <w:p>
      <w:pPr>
        <w:pStyle w:val="Heading2"/>
        <w:spacing w:after="100" w:before="220"/>
      </w:pPr>
      <w:r>
        <w:rPr>
          <w:rFonts w:ascii="Calibri" w:cs="Calibri" w:eastAsia="Calibri" w:hAnsi="Calibri"/>
          <w:b/>
          <w:bCs/>
          <w:color w:val="2E7D8F"/>
          <w:sz w:val="25"/>
          <w:szCs w:val="25"/>
        </w:rPr>
        <w:t xml:space="preserve">7.4  Open item — backend</w:t>
      </w:r>
    </w:p>
    <w:p>
      <w:pPr>
        <w:spacing w:after="120" w:line="276"/>
      </w:pPr>
      <w:r>
        <w:rPr>
          <w:rFonts w:ascii="Calibri" w:cs="Calibri" w:eastAsia="Calibri" w:hAnsi="Calibri"/>
          <w:color w:val="222222"/>
          <w:sz w:val="21"/>
          <w:szCs w:val="21"/>
        </w:rPr>
        <w:t xml:space="preserve">The commission rates, owed balances and settlement logic must live on the backend, which is currently mid-integration. Before Phase B, confirm whether the API already exposes commission and wallet fields on orders, or whether those endpoints need to be specified as part of this work.</w:t>
      </w:r>
    </w:p>
    <w:p>
      <w:r>
        <w:br w:type="page"/>
      </w:r>
    </w:p>
    <w:p>
      <w:pPr>
        <w:pStyle w:val="Heading1"/>
        <w:spacing w:after="140" w:before="320"/>
      </w:pPr>
      <w:r>
        <w:rPr>
          <w:rFonts w:ascii="Calibri" w:cs="Calibri" w:eastAsia="Calibri" w:hAnsi="Calibri"/>
          <w:b/>
          <w:bCs/>
          <w:color w:val="1F3A5F"/>
          <w:sz w:val="30"/>
          <w:szCs w:val="30"/>
        </w:rPr>
        <w:t xml:space="preserve">8. Glossary</w:t>
      </w:r>
    </w:p>
    <w:tbl>
      <w:tblPr>
        <w:tblW w:type="dxa" w:w="10320"/>
        <w:tblBorders>
          <w:top w:val="single" w:color="C9D4DB" w:sz="4"/>
          <w:left w:val="single" w:color="C9D4DB" w:sz="4"/>
          <w:bottom w:val="single" w:color="C9D4DB" w:sz="4"/>
          <w:right w:val="single" w:color="C9D4DB" w:sz="4"/>
          <w:insideH w:val="single" w:color="C9D4DB" w:sz="4"/>
          <w:insideV w:val="single" w:color="C9D4DB" w:sz="4"/>
        </w:tblBorders>
      </w:tblPr>
      <w:tblGrid>
        <w:gridCol w:w="2600"/>
        <w:gridCol w:w="7720"/>
      </w:tblGrid>
      <w:tr>
        <w:trPr>
          <w:tblHeader/>
        </w:trPr>
        <w:tc>
          <w:tcPr>
            <w:tcW w:type="dxa" w:w="260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Term</w:t>
            </w:r>
          </w:p>
        </w:tc>
        <w:tc>
          <w:tcPr>
            <w:tcW w:type="dxa" w:w="7720"/>
            <w:shd w:fill="1F3A5F" w:color="auto" w:val="clear"/>
            <w:tcMar>
              <w:top w:type="dxa" w:w="70"/>
              <w:left w:type="dxa" w:w="110"/>
              <w:bottom w:type="dxa" w:w="70"/>
              <w:right w:type="dxa" w:w="110"/>
            </w:tcMar>
          </w:tcPr>
          <w:p>
            <w:pPr>
              <w:spacing w:after="0" w:line="264"/>
              <w:jc w:val="left"/>
            </w:pPr>
            <w:r>
              <w:rPr>
                <w:rFonts w:ascii="Calibri" w:cs="Calibri" w:eastAsia="Calibri" w:hAnsi="Calibri"/>
                <w:b/>
                <w:bCs/>
                <w:color w:val="FFFFFF"/>
                <w:sz w:val="20"/>
                <w:szCs w:val="20"/>
              </w:rPr>
              <w:t xml:space="preserve">Definition</w:t>
            </w:r>
          </w:p>
        </w:tc>
      </w:tr>
      <w:tr>
        <w:tc>
          <w:tcPr>
            <w:tcW w:type="dxa" w:w="26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Commission / benefit</w:t>
            </w:r>
          </w:p>
        </w:tc>
        <w:tc>
          <w:tcPr>
            <w:tcW w:type="dxa" w:w="77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The platform's revenue on an order — a percentage of the item price, set by category.</w:t>
            </w:r>
          </w:p>
        </w:tc>
      </w:tr>
      <w:tr>
        <w:tc>
          <w:tcPr>
            <w:tcW w:type="dxa" w:w="26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COD</w:t>
            </w:r>
          </w:p>
        </w:tc>
        <w:tc>
          <w:tcPr>
            <w:tcW w:type="dxa" w:w="77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Cash on Delivery. The buyer pays cash to the vendor/courier when the order arrives.</w:t>
            </w:r>
          </w:p>
        </w:tc>
      </w:tr>
      <w:tr>
        <w:tc>
          <w:tcPr>
            <w:tcW w:type="dxa" w:w="26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Vendor net</w:t>
            </w:r>
          </w:p>
        </w:tc>
        <w:tc>
          <w:tcPr>
            <w:tcW w:type="dxa" w:w="77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What the vendor effectively earns after the commission is deducted.</w:t>
            </w:r>
          </w:p>
        </w:tc>
      </w:tr>
      <w:tr>
        <w:tc>
          <w:tcPr>
            <w:tcW w:type="dxa" w:w="26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Owed balance</w:t>
            </w:r>
          </w:p>
        </w:tc>
        <w:tc>
          <w:tcPr>
            <w:tcW w:type="dxa" w:w="77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The running total of Due commissions a vendor has not yet settled with the platform.</w:t>
            </w:r>
          </w:p>
        </w:tc>
      </w:tr>
      <w:tr>
        <w:tc>
          <w:tcPr>
            <w:tcW w:type="dxa" w:w="260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Settlement</w:t>
            </w:r>
          </w:p>
        </w:tc>
        <w:tc>
          <w:tcPr>
            <w:tcW w:type="dxa" w:w="7720"/>
            <w:shd w:fill="FFFFFF"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The weekly cycle in which the vendor pays the platform the commissions they owe.</w:t>
            </w:r>
          </w:p>
        </w:tc>
      </w:tr>
      <w:tr>
        <w:tc>
          <w:tcPr>
            <w:tcW w:type="dxa" w:w="260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Receivables</w:t>
            </w:r>
          </w:p>
        </w:tc>
        <w:tc>
          <w:tcPr>
            <w:tcW w:type="dxa" w:w="7720"/>
            <w:shd w:fill="F7FAFB" w:color="auto" w:val="clear"/>
            <w:tcMar>
              <w:top w:type="dxa" w:w="70"/>
              <w:left w:type="dxa" w:w="110"/>
              <w:bottom w:type="dxa" w:w="70"/>
              <w:right w:type="dxa" w:w="110"/>
            </w:tcMar>
          </w:tcPr>
          <w:p>
            <w:pPr>
              <w:spacing w:after="0" w:line="264"/>
            </w:pPr>
            <w:r>
              <w:rPr>
                <w:rFonts w:ascii="Calibri" w:cs="Calibri" w:eastAsia="Calibri" w:hAnsi="Calibri"/>
                <w:color w:val="222222"/>
                <w:sz w:val="20"/>
                <w:szCs w:val="20"/>
              </w:rPr>
              <w:t xml:space="preserve">Across all vendors, the platform's total earned-but-uncollected commission.</w:t>
            </w:r>
          </w:p>
        </w:tc>
      </w:tr>
    </w:tbl>
    <w:p>
      <w:pPr>
        <w:spacing w:after="200"/>
      </w:pPr>
    </w:p>
    <w:p>
      <w:pPr>
        <w:pBdr>
          <w:top w:val="single" w:color="C9D4DB" w:sz="6" w:space="6"/>
        </w:pBdr>
        <w:spacing w:after="60" w:before="200"/>
      </w:pPr>
    </w:p>
    <w:p>
      <w:r>
        <w:rPr>
          <w:rFonts w:ascii="Calibri" w:cs="Calibri" w:eastAsia="Calibri" w:hAnsi="Calibri"/>
          <w:i/>
          <w:iCs/>
          <w:color w:val="5B6470"/>
          <w:sz w:val="16"/>
          <w:szCs w:val="16"/>
        </w:rPr>
        <w:t xml:space="preserve">xStore — Platform Commission Model · v1.0 · Draft for approval · 10 July 2026</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D8F"/>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xStore Platform Commission Model</dc:title>
  <dc:creator>xStore</dc:creator>
  <dc:description>Business requirements &amp; revenue design document</dc:description>
  <cp:lastModifiedBy>Un-named</cp:lastModifiedBy>
  <cp:revision>1</cp:revision>
  <dcterms:created xsi:type="dcterms:W3CDTF">2026-07-10T14:47:24.184Z</dcterms:created>
  <dcterms:modified xsi:type="dcterms:W3CDTF">2026-07-10T14:47:24.185Z</dcterms:modified>
</cp:coreProperties>
</file>

<file path=docProps/custom.xml><?xml version="1.0" encoding="utf-8"?>
<Properties xmlns="http://schemas.openxmlformats.org/officeDocument/2006/custom-properties" xmlns:vt="http://schemas.openxmlformats.org/officeDocument/2006/docPropsVTypes"/>
</file>