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Get FT Details (1026)</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CIB.GET.FT.DETAILS</w:t>
      </w:r>
    </w:p>
    <w:p>
      <w:pPr>
        <w:spacing w:after="60"/>
      </w:pPr>
      <w:r>
        <w:rPr>
          <w:b/>
          <w:bCs/>
        </w:rPr>
        <w:t xml:space="preserve">Type: </w:t>
      </w:r>
      <w:r>
        <w:t xml:space="preserve">Read-Only Enquiry Routine (Custom Call Routine) — no OFS posting</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Service ID (SRVC.ID): </w:t>
      </w:r>
      <w:r>
        <w:t xml:space="preserve">1026</w:t>
      </w:r>
    </w:p>
    <w:p>
      <w:pPr>
        <w:spacing w:after="60"/>
      </w:pPr>
      <w:r>
        <w:rPr>
          <w:b/>
          <w:bCs/>
        </w:rPr>
        <w:t xml:space="preserve">Used By: </w:t>
      </w:r>
      <w:r>
        <w:t xml:space="preserve">Channels retrieving the full details/status of a previously created outward or Nostro transfer</w:t>
      </w:r>
    </w:p>
    <w:p>
      <w:pPr>
        <w:spacing w:after="60"/>
      </w:pPr>
      <w:r>
        <w:rPr>
          <w:b/>
          <w:bCs/>
        </w:rPr>
        <w:t xml:space="preserve">Sibling Documents: </w:t>
      </w:r>
      <w:r>
        <w:t xml:space="preserve">01 - Create Outward Transfer; 02 - Simulate Fees &amp; Calculate Commission (FT08); 03 - Amend Outward Transfer (1012); 04 - Authorise FT (SC02); 05 - Create Nostro Transfer (NA02)</w:t>
      </w:r>
    </w:p>
    <w:p>
      <w:pPr>
        <w:spacing w:after="120"/>
      </w:pPr>
      <w:r>
        <w:rPr>
          <w:i/>
          <w:iCs/>
          <w:color w:val="555555"/>
        </w:rPr>
        <w:t xml:space="preserve">Note: no sample request/response was available for this service at the time of this review.</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Get FT Details (CIB.GET.FT.DETAILS / 1026)</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CIB.GET.FT.DETAILS (as supplied) — no sample request/response available</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25-Aug-2026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02 - Simulate Fees &amp; Calculate Commission (FT08); 03 - Amend Outward Transfer (1012); 04 - Authorise FT (SC02); 05 - Create Nostro Transfer (NA02)</w:t>
            </w:r>
          </w:p>
        </w:tc>
      </w:tr>
    </w:tbl>
    <w:p>
      <w:pPr>
        <w:pStyle w:val="Heading1"/>
        <w:pBdr>
          <w:bottom w:val="single" w:color="2E5395" w:sz="6" w:space="4"/>
        </w:pBdr>
        <w:spacing w:after="150" w:before="300"/>
      </w:pPr>
      <w:r>
        <w:t xml:space="preserve">Executive Summary</w:t>
      </w:r>
    </w:p>
    <w:p>
      <w:pPr>
        <w:spacing w:after="120"/>
      </w:pPr>
      <w:r>
        <w:t xml:space="preserve">CIB.GET.FT.DETAILS is a read-only enquiry service — a welcome contrast to the five transactional routines reviewed so far. It performs no OFS posting, no balance checks, and carries no risk of unintended money movement, which meaningfully lowers its risk profile relative to Documents 01, 03, and 05. Its main points of interest for migration are structural rather than defect-driven: a four-tier record lookup cascade (pending → live → two generations of history) to find a transfer regardless of its lifecycle stage, and a large, hardcoded ~49-field positional response that echoes most of the underlying FUNDS.TRANSFER record. That response was found to contain the same data in four separate duplicate positions, apparently accumulated through incremental patches over time rather than a single design — worth a deliberate decision (preserve for compatibility, or clean up) in the TPH/IRIS design rather than being silently carried forward.</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Medium</w:t>
            </w:r>
          </w:p>
        </w:tc>
        <w:tc>
          <w:tcPr>
            <w:tcW w:type="dxa" w:w="5307"/>
            <w:tcMar>
              <w:top w:type="dxa" w:w="60"/>
              <w:left w:type="dxa" w:w="100"/>
              <w:bottom w:type="dxa" w:w="60"/>
              <w:right w:type="dxa" w:w="100"/>
            </w:tcMar>
          </w:tcPr>
          <w:p>
            <w:r>
              <w:rPr>
                <w:b w:val="false"/>
                <w:bCs w:val="false"/>
              </w:rPr>
              <w:t xml:space="preserve">Read-only — no direct financial risk, but channels likely depend on it to show accurate transfer status to customers</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Medium</w:t>
            </w:r>
          </w:p>
        </w:tc>
        <w:tc>
          <w:tcPr>
            <w:tcW w:type="dxa" w:w="5307"/>
            <w:tcMar>
              <w:top w:type="dxa" w:w="60"/>
              <w:left w:type="dxa" w:w="100"/>
              <w:bottom w:type="dxa" w:w="60"/>
              <w:right w:type="dxa" w:w="100"/>
            </w:tcMar>
          </w:tcPr>
          <w:p>
            <w:r>
              <w:rPr>
                <w:b w:val="false"/>
                <w:bCs w:val="false"/>
              </w:rPr>
              <w:t xml:space="preserve">Simple 2-field input, but a large, hardcoded 49-field positional response with several duplicate entries and an unusual separator scheme</w:t>
            </w:r>
          </w:p>
        </w:tc>
      </w:tr>
      <w:tr>
        <w:tc>
          <w:tcPr>
            <w:tcW w:type="dxa" w:w="2509"/>
            <w:tcMar>
              <w:top w:type="dxa" w:w="60"/>
              <w:left w:type="dxa" w:w="100"/>
              <w:bottom w:type="dxa" w:w="60"/>
              <w:right w:type="dxa" w:w="100"/>
            </w:tcMar>
          </w:tcPr>
          <w:p>
            <w:r>
              <w:rPr>
                <w:b w:val="false"/>
                <w:bCs w:val="false"/>
              </w:rPr>
              <w:t xml:space="preserve">Code Integrity Risk</w:t>
            </w:r>
          </w:p>
        </w:tc>
        <w:tc>
          <w:tcPr>
            <w:tcW w:type="dxa" w:w="1544"/>
            <w:tcMar>
              <w:top w:type="dxa" w:w="60"/>
              <w:left w:type="dxa" w:w="100"/>
              <w:bottom w:type="dxa" w:w="60"/>
              <w:right w:type="dxa" w:w="100"/>
            </w:tcMar>
          </w:tcPr>
          <w:p>
            <w:r>
              <w:rPr>
                <w:b w:val="false"/>
                <w:bCs w:val="false"/>
              </w:rPr>
              <w:t xml:space="preserve">Low</w:t>
            </w:r>
          </w:p>
        </w:tc>
        <w:tc>
          <w:tcPr>
            <w:tcW w:type="dxa" w:w="5307"/>
            <w:tcMar>
              <w:top w:type="dxa" w:w="60"/>
              <w:left w:type="dxa" w:w="100"/>
              <w:bottom w:type="dxa" w:w="60"/>
              <w:right w:type="dxa" w:w="100"/>
            </w:tcMar>
          </w:tcPr>
          <w:p>
            <w:r>
              <w:rPr>
                <w:b w:val="false"/>
                <w:bCs w:val="false"/>
              </w:rPr>
              <w:t xml:space="preserve">No defects on the scale of Documents 03/05 found — the main issues are redundant response fields and one inconsistent VM-encoding choice (§4), not logic errors</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P2</w:t>
            </w:r>
          </w:p>
        </w:tc>
        <w:tc>
          <w:tcPr>
            <w:tcW w:type="dxa" w:w="5307"/>
            <w:tcMar>
              <w:top w:type="dxa" w:w="60"/>
              <w:left w:type="dxa" w:w="100"/>
              <w:bottom w:type="dxa" w:w="60"/>
              <w:right w:type="dxa" w:w="100"/>
            </w:tcMar>
          </w:tcPr>
          <w:p>
            <w:r>
              <w:rPr>
                <w:b w:val="false"/>
                <w:bCs w:val="false"/>
              </w:rPr>
              <w:t xml:space="preserve">Lower urgency than the transactional services, but still needs coverage of all four lookup tiers and the not-found path</w:t>
            </w:r>
          </w:p>
        </w:tc>
      </w:tr>
    </w:tbl>
    <w:p>
      <w:pPr>
        <w:pStyle w:val="Heading1"/>
        <w:pBdr>
          <w:bottom w:val="single" w:color="2E5395" w:sz="6" w:space="4"/>
        </w:pBdr>
        <w:spacing w:after="150" w:before="300"/>
      </w:pPr>
      <w:r>
        <w:t xml:space="preserve">Service Description (Business View)</w:t>
      </w:r>
    </w:p>
    <w:p>
      <w:pPr>
        <w:spacing w:after="120"/>
      </w:pPr>
      <w:r>
        <w:t xml:space="preserve">This service answers the question "what does this transfer currently look like?" — given either T24's own transfer reference or the original message ID a channel used when it first submitted the transfer, it retrieves a near-complete snapshot of the transfer's details: amounts, beneficiary, charges, routing banks, dates, current status, who authorized it, and more. It looks for the record wherever it currently sits in its lifecycle — still awaiting authorization, fully live, or already superseded by a later version — so the caller doesn't need to know or guess which stage the transfer is in.</w:t>
      </w:r>
    </w:p>
    <w:p>
      <w:pPr>
        <w:spacing w:after="120"/>
      </w:pPr>
      <w:r>
        <w:rPr>
          <w:i/>
          <w:iCs/>
        </w:rPr>
        <w:t xml:space="preserve">Who uses it: channels displaying transfer status or details to a customer, or systems reconciling previously submitted transfers.</w:t>
      </w:r>
    </w:p>
    <w:p>
      <w:pPr>
        <w:pStyle w:val="Heading1"/>
        <w:pBdr>
          <w:bottom w:val="single" w:color="2E5395" w:sz="6" w:space="4"/>
        </w:pBdr>
        <w:spacing w:after="150" w:before="300"/>
      </w:pPr>
      <w:r>
        <w:t xml:space="preserve">1. Purpose</w:t>
      </w:r>
    </w:p>
    <w:p>
      <w:pPr>
        <w:spacing w:after="120"/>
      </w:pPr>
      <w:r>
        <w:t xml:space="preserve">CIB.GET.FT.DETAILS takes a short 2-field input (header plus a single reference), resolves that reference to a real T24 FT ID if needed, searches four possible record locations in a fixed order, and — on the first match — returns a large, fixed-position response string built directly from the underlying FUNDS.TRANSFER record's fields. Unlike Simulate Fees &amp; Calculate Commission (Document 02), this response shape is hardcoded directly in the routine, not driven by a configuration table.</w:t>
      </w:r>
    </w:p>
    <w:p>
      <w:pPr>
        <w:pStyle w:val="Heading1"/>
        <w:pBdr>
          <w:bottom w:val="single" w:color="2E5395" w:sz="6" w:space="4"/>
        </w:pBdr>
        <w:spacing w:after="150" w:before="300"/>
      </w:pPr>
      <w:r>
        <w:t xml:space="preserve">2. Input Contract (2 Fields — the Simplest of All Six Services)</w:t>
      </w:r>
    </w:p>
    <w:p>
      <w:pPr>
        <w:pStyle w:val="ListParagraph"/>
        <w:numPr>
          <w:ilvl w:val="0"/>
          <w:numId w:val="1"/>
        </w:numPr>
        <w:spacing w:after="60"/>
      </w:pPr>
      <w:r>
        <w:t xml:space="preserve">Field 1 (header): SRVC.ID#CHNL.CODE#MSG.ID#TOKEN.ID — split directly on '#' with no 'XML'-prefix branching (the simpler convention also seen in Create Nostro Transfer, Document 05).</w:t>
      </w:r>
    </w:p>
    <w:p>
      <w:pPr>
        <w:pStyle w:val="ListParagraph"/>
        <w:numPr>
          <w:ilvl w:val="0"/>
          <w:numId w:val="1"/>
        </w:numPr>
        <w:spacing w:after="60"/>
      </w:pPr>
      <w:r>
        <w:t xml:space="preserve">Field 2: PAR.FT.REF — the reference to look up. Only CHNL.CODE, MSG.ID, and TOKEN.ID are parsed from the header but never referenced again in this routine (harmless — they're identification metadata not needed for a lookup, unlike in the transactional services).</w:t>
      </w:r>
    </w:p>
    <w:p>
      <w:pPr>
        <w:pStyle w:val="Heading1"/>
        <w:pBdr>
          <w:bottom w:val="single" w:color="2E5395" w:sz="6" w:space="4"/>
        </w:pBdr>
        <w:spacing w:after="150" w:before="300"/>
      </w:pPr>
      <w:r>
        <w:t xml:space="preserve">3. Reference Resolution — Direct FT ID or Message-ID Lookup</w:t>
      </w:r>
    </w:p>
    <w:p>
      <w:pPr>
        <w:pStyle w:val="ListParagraph"/>
        <w:numPr>
          <w:ilvl w:val="0"/>
          <w:numId w:val="1"/>
        </w:numPr>
        <w:spacing w:after="60"/>
      </w:pPr>
      <w:r>
        <w:t xml:space="preserve">If the supplied reference is longer than 12 characters, OR does not start with the literal characters 'FT', it is treated as a channel MSG.ID and looked up in CIB.API.FT to resolve the real FT.ID — the same dual-identifier pattern seen in Authorise FT (Document 04).</w:t>
      </w:r>
    </w:p>
    <w:p>
      <w:pPr>
        <w:spacing w:after="120"/>
      </w:pPr>
      <w:r>
        <w:rPr>
          <w:i/>
          <w:iCs/>
        </w:rPr>
        <w:t xml:space="preserve">This version of the pattern is slightly more robust than Document 04's: it adds a length check (real T24 FT references are exactly 12 characters) on top of the prefix check, guarding against a MSG.ID that happens to coincidentally start with 'FT' but is actually longer. Document 04's own resolution logic does not have this extra length check — worth deciding whether to standardize on the more robust version across the whole service family in the new design.</w:t>
      </w:r>
    </w:p>
    <w:p>
      <w:pPr>
        <w:pStyle w:val="Heading1"/>
        <w:pBdr>
          <w:bottom w:val="single" w:color="2E5395" w:sz="6" w:space="4"/>
        </w:pBdr>
        <w:spacing w:after="150" w:before="300"/>
      </w:pPr>
      <w:r>
        <w:t xml:space="preserve">4. Four-Tier Record Lookup Cascade — Unique to This Service</w:t>
      </w:r>
    </w:p>
    <w:p>
      <w:pPr>
        <w:spacing w:after="120"/>
      </w:pPr>
      <w:r>
        <w:rPr>
          <w:i/>
          <w:iCs/>
        </w:rPr>
        <w:t xml:space="preserve">No other service reviewed searches this many possible record locations. The record is looked for, in order, until the first match:</w:t>
      </w:r>
    </w:p>
    <w:p>
      <w:pPr>
        <w:spacing w:after="80"/>
      </w:pPr>
      <w:r>
        <w:rPr>
          <w:b/>
          <w:bCs/>
        </w:rPr>
        <w:t xml:space="preserve">1. </w:t>
      </w:r>
      <w:r>
        <w:t xml:space="preserve">FUNDS.TRANSFER$NAU — pending, not yet authorized.</w:t>
      </w:r>
    </w:p>
    <w:p>
      <w:pPr>
        <w:spacing w:after="80"/>
      </w:pPr>
      <w:r>
        <w:rPr>
          <w:b/>
          <w:bCs/>
        </w:rPr>
        <w:t xml:space="preserve">2. </w:t>
      </w:r>
      <w:r>
        <w:t xml:space="preserve">FUNDS.TRANSFER (live) — fully authorized and active.</w:t>
      </w:r>
    </w:p>
    <w:p>
      <w:pPr>
        <w:spacing w:after="80"/>
      </w:pPr>
      <w:r>
        <w:rPr>
          <w:b/>
          <w:bCs/>
        </w:rPr>
        <w:t xml:space="preserve">3. </w:t>
      </w:r>
      <w:r>
        <w:t xml:space="preserve">FUNDS.TRANSFER$HIS, generation ';2' — a historical/superseded version.</w:t>
      </w:r>
    </w:p>
    <w:p>
      <w:pPr>
        <w:spacing w:after="80"/>
      </w:pPr>
      <w:r>
        <w:rPr>
          <w:b/>
          <w:bCs/>
        </w:rPr>
        <w:t xml:space="preserve">4. </w:t>
      </w:r>
      <w:r>
        <w:t xml:space="preserve">FUNDS.TRANSFER$HIS, generation ';1' — a different historical/superseded version.</w:t>
      </w:r>
    </w:p>
    <w:p>
      <w:pPr>
        <w:spacing w:after="80"/>
      </w:pPr>
      <w:r>
        <w:rPr>
          <w:b/>
          <w:bCs/>
        </w:rPr>
        <w:t xml:space="preserve">5. </w:t>
      </w:r>
      <w:r>
        <w:t xml:space="preserve">If none match: return status 0001 (not found), with no further fields.</w:t>
      </w:r>
    </w:p>
    <w:p>
      <w:pPr>
        <w:spacing w:after="120"/>
      </w:pPr>
      <w:r>
        <w:rPr>
          <w:color w:val="C00000"/>
        </w:rPr>
        <w:t xml:space="preserve">The exact meaning of the ';2' vs ';1' history-generation suffixes (which is more recent) depends on T24's own history-versioning configuration and isn't determinable from this code alone — worth confirming with the T24 team, since it affects which historical version a caller actually sees when a transfer has been changed multiple times.</w:t>
      </w:r>
    </w:p>
    <w:p>
      <w:pPr>
        <w:pStyle w:val="Heading1"/>
        <w:pBdr>
          <w:bottom w:val="single" w:color="2E5395" w:sz="6" w:space="4"/>
        </w:pBdr>
        <w:spacing w:after="150" w:before="300"/>
      </w:pPr>
      <w:r>
        <w:t xml:space="preserve">5. Response Field Map (49 Positional Fields)</w:t>
      </w:r>
    </w:p>
    <w:p>
      <w:pPr>
        <w:spacing w:after="120"/>
      </w:pPr>
      <w:r>
        <w:rPr>
          <w:i/>
          <w:iCs/>
          <w:color w:val="555555"/>
        </w:rPr>
        <w:t xml:space="preserve">The response is a single '|'-delimited string built by directly concatenating fields from whichever FUNDS.TRANSFER record was found. This is effectively a near-complete dump of the transfer record, hardcoded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995"/>
        <w:gridCol w:w="5897"/>
      </w:tblGrid>
      <w:tr>
        <w:trPr>
          <w:tblHeader/>
        </w:trPr>
        <w:tc>
          <w:tcPr>
            <w:tcW w:type="dxa" w:w="468"/>
            <w:shd w:fill="2E5395" w:val="clear"/>
            <w:tcMar>
              <w:top w:type="dxa" w:w="80"/>
              <w:left w:type="dxa" w:w="100"/>
              <w:bottom w:type="dxa" w:w="80"/>
              <w:right w:type="dxa" w:w="100"/>
            </w:tcMar>
          </w:tcPr>
          <w:p>
            <w:r>
              <w:rPr>
                <w:b/>
                <w:bCs/>
                <w:color w:val="FFFFFF"/>
              </w:rPr>
              <w:t xml:space="preserve">#</w:t>
            </w:r>
          </w:p>
        </w:tc>
        <w:tc>
          <w:tcPr>
            <w:tcW w:type="dxa" w:w="2995"/>
            <w:shd w:fill="2E5395" w:val="clear"/>
            <w:tcMar>
              <w:top w:type="dxa" w:w="80"/>
              <w:left w:type="dxa" w:w="100"/>
              <w:bottom w:type="dxa" w:w="80"/>
              <w:right w:type="dxa" w:w="100"/>
            </w:tcMar>
          </w:tcPr>
          <w:p>
            <w:r>
              <w:rPr>
                <w:b/>
                <w:bCs/>
                <w:color w:val="FFFFFF"/>
              </w:rPr>
              <w:t xml:space="preserve">Source Field</w:t>
            </w:r>
          </w:p>
        </w:tc>
        <w:tc>
          <w:tcPr>
            <w:tcW w:type="dxa" w:w="5897"/>
            <w:shd w:fill="2E5395" w:val="clear"/>
            <w:tcMar>
              <w:top w:type="dxa" w:w="80"/>
              <w:left w:type="dxa" w:w="100"/>
              <w:bottom w:type="dxa" w:w="80"/>
              <w:right w:type="dxa" w:w="100"/>
            </w:tcMar>
          </w:tcPr>
          <w:p>
            <w:r>
              <w:rPr>
                <w:b/>
                <w:bCs/>
                <w:color w:val="FFFFFF"/>
              </w:rPr>
              <w:t xml:space="preserve">Notes</w:t>
            </w:r>
          </w:p>
        </w:tc>
      </w:tr>
      <w:tr>
        <w:tc>
          <w:tcPr>
            <w:tcW w:type="dxa" w:w="468"/>
            <w:tcMar>
              <w:top w:type="dxa" w:w="60"/>
              <w:left w:type="dxa" w:w="100"/>
              <w:bottom w:type="dxa" w:w="60"/>
              <w:right w:type="dxa" w:w="100"/>
            </w:tcMar>
          </w:tcPr>
          <w:p>
            <w:r>
              <w:rPr>
                <w:b w:val="false"/>
                <w:bCs w:val="false"/>
              </w:rPr>
              <w:t xml:space="preserve">1</w:t>
            </w:r>
          </w:p>
        </w:tc>
        <w:tc>
          <w:tcPr>
            <w:tcW w:type="dxa" w:w="2995"/>
            <w:tcMar>
              <w:top w:type="dxa" w:w="60"/>
              <w:left w:type="dxa" w:w="100"/>
              <w:bottom w:type="dxa" w:w="60"/>
              <w:right w:type="dxa" w:w="100"/>
            </w:tcMar>
          </w:tcPr>
          <w:p>
            <w:r>
              <w:rPr>
                <w:b w:val="false"/>
                <w:bCs w:val="false"/>
              </w:rPr>
              <w:t xml:space="preserve">Status code</w:t>
            </w:r>
          </w:p>
        </w:tc>
        <w:tc>
          <w:tcPr>
            <w:tcW w:type="dxa" w:w="5897"/>
            <w:tcMar>
              <w:top w:type="dxa" w:w="60"/>
              <w:left w:type="dxa" w:w="100"/>
              <w:bottom w:type="dxa" w:w="60"/>
              <w:right w:type="dxa" w:w="100"/>
            </w:tcMar>
          </w:tcPr>
          <w:p>
            <w:r>
              <w:rPr>
                <w:b w:val="false"/>
                <w:bCs w:val="false"/>
              </w:rPr>
              <w:t xml:space="preserve">'0000#' literal, hardcoded success prefix</w:t>
            </w:r>
          </w:p>
        </w:tc>
      </w:tr>
      <w:tr>
        <w:tc>
          <w:tcPr>
            <w:tcW w:type="dxa" w:w="468"/>
            <w:tcMar>
              <w:top w:type="dxa" w:w="60"/>
              <w:left w:type="dxa" w:w="100"/>
              <w:bottom w:type="dxa" w:w="60"/>
              <w:right w:type="dxa" w:w="100"/>
            </w:tcMar>
          </w:tcPr>
          <w:p>
            <w:r>
              <w:rPr>
                <w:b w:val="false"/>
                <w:bCs w:val="false"/>
              </w:rPr>
              <w:t xml:space="preserve">2</w:t>
            </w:r>
          </w:p>
        </w:tc>
        <w:tc>
          <w:tcPr>
            <w:tcW w:type="dxa" w:w="2995"/>
            <w:tcMar>
              <w:top w:type="dxa" w:w="60"/>
              <w:left w:type="dxa" w:w="100"/>
              <w:bottom w:type="dxa" w:w="60"/>
              <w:right w:type="dxa" w:w="100"/>
            </w:tcMar>
          </w:tcPr>
          <w:p>
            <w:r>
              <w:rPr>
                <w:b w:val="false"/>
                <w:bCs w:val="false"/>
              </w:rPr>
              <w:t xml:space="preserve">FT.TRANSACTION.TYPE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w:t>
            </w:r>
          </w:p>
        </w:tc>
        <w:tc>
          <w:tcPr>
            <w:tcW w:type="dxa" w:w="2995"/>
            <w:tcMar>
              <w:top w:type="dxa" w:w="60"/>
              <w:left w:type="dxa" w:w="100"/>
              <w:bottom w:type="dxa" w:w="60"/>
              <w:right w:type="dxa" w:w="100"/>
            </w:tcMar>
          </w:tcPr>
          <w:p>
            <w:r>
              <w:rPr>
                <w:b w:val="false"/>
                <w:bCs w:val="false"/>
              </w:rPr>
              <w:t xml:space="preserve">FT.DEBIT.VALUE.DATE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w:t>
            </w:r>
          </w:p>
        </w:tc>
        <w:tc>
          <w:tcPr>
            <w:tcW w:type="dxa" w:w="2995"/>
            <w:tcMar>
              <w:top w:type="dxa" w:w="60"/>
              <w:left w:type="dxa" w:w="100"/>
              <w:bottom w:type="dxa" w:w="60"/>
              <w:right w:type="dxa" w:w="100"/>
            </w:tcMar>
          </w:tcPr>
          <w:p>
            <w:r>
              <w:rPr>
                <w:b w:val="false"/>
                <w:bCs w:val="false"/>
              </w:rPr>
              <w:t xml:space="preserve">FT.CO.CODE</w:t>
            </w:r>
          </w:p>
        </w:tc>
        <w:tc>
          <w:tcPr>
            <w:tcW w:type="dxa" w:w="5897"/>
            <w:tcMar>
              <w:top w:type="dxa" w:w="60"/>
              <w:left w:type="dxa" w:w="100"/>
              <w:bottom w:type="dxa" w:w="60"/>
              <w:right w:type="dxa" w:w="100"/>
            </w:tcMar>
          </w:tcPr>
          <w:p>
            <w:r>
              <w:rPr>
                <w:b w:val="false"/>
                <w:bCs w:val="false"/>
              </w:rPr>
              <w:t xml:space="preserve">Company/branch code</w:t>
            </w:r>
          </w:p>
        </w:tc>
      </w:tr>
      <w:tr>
        <w:tc>
          <w:tcPr>
            <w:tcW w:type="dxa" w:w="468"/>
            <w:tcMar>
              <w:top w:type="dxa" w:w="60"/>
              <w:left w:type="dxa" w:w="100"/>
              <w:bottom w:type="dxa" w:w="60"/>
              <w:right w:type="dxa" w:w="100"/>
            </w:tcMar>
          </w:tcPr>
          <w:p>
            <w:r>
              <w:rPr>
                <w:b w:val="false"/>
                <w:bCs w:val="false"/>
              </w:rPr>
              <w:t xml:space="preserve">5</w:t>
            </w:r>
          </w:p>
        </w:tc>
        <w:tc>
          <w:tcPr>
            <w:tcW w:type="dxa" w:w="2995"/>
            <w:tcMar>
              <w:top w:type="dxa" w:w="60"/>
              <w:left w:type="dxa" w:w="100"/>
              <w:bottom w:type="dxa" w:w="60"/>
              <w:right w:type="dxa" w:w="100"/>
            </w:tcMar>
          </w:tcPr>
          <w:p>
            <w:r>
              <w:rPr>
                <w:b w:val="false"/>
                <w:bCs w:val="false"/>
              </w:rPr>
              <w:t xml:space="preserve">FT.PROFIT.CENTRE.DEPT</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6</w:t>
            </w:r>
          </w:p>
        </w:tc>
        <w:tc>
          <w:tcPr>
            <w:tcW w:type="dxa" w:w="2995"/>
            <w:tcMar>
              <w:top w:type="dxa" w:w="60"/>
              <w:left w:type="dxa" w:w="100"/>
              <w:bottom w:type="dxa" w:w="60"/>
              <w:right w:type="dxa" w:w="100"/>
            </w:tcMar>
          </w:tcPr>
          <w:p>
            <w:r>
              <w:rPr>
                <w:b w:val="false"/>
                <w:bCs w:val="false"/>
              </w:rPr>
              <w:t xml:space="preserve">FT.DEBIT.ACCT.NO</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7</w:t>
            </w:r>
          </w:p>
        </w:tc>
        <w:tc>
          <w:tcPr>
            <w:tcW w:type="dxa" w:w="2995"/>
            <w:tcMar>
              <w:top w:type="dxa" w:w="60"/>
              <w:left w:type="dxa" w:w="100"/>
              <w:bottom w:type="dxa" w:w="60"/>
              <w:right w:type="dxa" w:w="100"/>
            </w:tcMar>
          </w:tcPr>
          <w:p>
            <w:r>
              <w:rPr>
                <w:b w:val="false"/>
                <w:bCs w:val="false"/>
              </w:rPr>
              <w:t xml:space="preserve">FT.DEBIT.CURRENCY</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8</w:t>
            </w:r>
          </w:p>
        </w:tc>
        <w:tc>
          <w:tcPr>
            <w:tcW w:type="dxa" w:w="2995"/>
            <w:tcMar>
              <w:top w:type="dxa" w:w="60"/>
              <w:left w:type="dxa" w:w="100"/>
              <w:bottom w:type="dxa" w:w="60"/>
              <w:right w:type="dxa" w:w="100"/>
            </w:tcMar>
          </w:tcPr>
          <w:p>
            <w:r>
              <w:rPr>
                <w:b w:val="false"/>
                <w:bCs w:val="false"/>
              </w:rPr>
              <w:t xml:space="preserve">FT.AMOUNT.DEBITED [4,20]</w:t>
            </w:r>
          </w:p>
        </w:tc>
        <w:tc>
          <w:tcPr>
            <w:tcW w:type="dxa" w:w="5897"/>
            <w:tcMar>
              <w:top w:type="dxa" w:w="60"/>
              <w:left w:type="dxa" w:w="100"/>
              <w:bottom w:type="dxa" w:w="60"/>
              <w:right w:type="dxa" w:w="100"/>
            </w:tcMar>
          </w:tcPr>
          <w:p>
            <w:r>
              <w:rPr>
                <w:b w:val="false"/>
                <w:bCs w:val="false"/>
              </w:rPr>
              <w:t xml:space="preserve">Currency-prefix stripped (e.g. 'EUR100.00' → '100.00'); deliberately uses the ACTUAL computed debited amount, not the originally-requested FT.DEBIT.AMOUNT — these can differ after FX or partial processing</w:t>
            </w:r>
          </w:p>
        </w:tc>
      </w:tr>
      <w:tr>
        <w:tc>
          <w:tcPr>
            <w:tcW w:type="dxa" w:w="468"/>
            <w:tcMar>
              <w:top w:type="dxa" w:w="60"/>
              <w:left w:type="dxa" w:w="100"/>
              <w:bottom w:type="dxa" w:w="60"/>
              <w:right w:type="dxa" w:w="100"/>
            </w:tcMar>
          </w:tcPr>
          <w:p>
            <w:r>
              <w:rPr>
                <w:b w:val="false"/>
                <w:bCs w:val="false"/>
              </w:rPr>
              <w:t xml:space="preserve">9</w:t>
            </w:r>
          </w:p>
        </w:tc>
        <w:tc>
          <w:tcPr>
            <w:tcW w:type="dxa" w:w="2995"/>
            <w:tcMar>
              <w:top w:type="dxa" w:w="60"/>
              <w:left w:type="dxa" w:w="100"/>
              <w:bottom w:type="dxa" w:w="60"/>
              <w:right w:type="dxa" w:w="100"/>
            </w:tcMar>
          </w:tcPr>
          <w:p>
            <w:r>
              <w:rPr>
                <w:b w:val="false"/>
                <w:bCs w:val="false"/>
              </w:rPr>
              <w:t xml:space="preserve">FT.DEBIT.THEIR.REF</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10</w:t>
            </w:r>
          </w:p>
        </w:tc>
        <w:tc>
          <w:tcPr>
            <w:tcW w:type="dxa" w:w="2995"/>
            <w:tcMar>
              <w:top w:type="dxa" w:w="60"/>
              <w:left w:type="dxa" w:w="100"/>
              <w:bottom w:type="dxa" w:w="60"/>
              <w:right w:type="dxa" w:w="100"/>
            </w:tcMar>
          </w:tcPr>
          <w:p>
            <w:r>
              <w:rPr>
                <w:b w:val="false"/>
                <w:bCs w:val="false"/>
              </w:rPr>
              <w:t xml:space="preserve">FT.BEN.CUSTOMER (all lines, VM→'^' joined)</w:t>
            </w:r>
          </w:p>
        </w:tc>
        <w:tc>
          <w:tcPr>
            <w:tcW w:type="dxa" w:w="5897"/>
            <w:tcMar>
              <w:top w:type="dxa" w:w="60"/>
              <w:left w:type="dxa" w:w="100"/>
              <w:bottom w:type="dxa" w:w="60"/>
              <w:right w:type="dxa" w:w="100"/>
            </w:tcMar>
          </w:tcPr>
          <w:p>
            <w:r>
              <w:rPr>
                <w:b w:val="false"/>
                <w:bCs w:val="false"/>
              </w:rPr>
              <w:t xml:space="preserve">⚠ Duplicate — see Finding: same data also returned split out at positions 12–14</w:t>
            </w:r>
          </w:p>
        </w:tc>
      </w:tr>
      <w:tr>
        <w:tc>
          <w:tcPr>
            <w:tcW w:type="dxa" w:w="468"/>
            <w:tcMar>
              <w:top w:type="dxa" w:w="60"/>
              <w:left w:type="dxa" w:w="100"/>
              <w:bottom w:type="dxa" w:w="60"/>
              <w:right w:type="dxa" w:w="100"/>
            </w:tcMar>
          </w:tcPr>
          <w:p>
            <w:r>
              <w:rPr>
                <w:b w:val="false"/>
                <w:bCs w:val="false"/>
              </w:rPr>
              <w:t xml:space="preserve">11</w:t>
            </w:r>
          </w:p>
        </w:tc>
        <w:tc>
          <w:tcPr>
            <w:tcW w:type="dxa" w:w="2995"/>
            <w:tcMar>
              <w:top w:type="dxa" w:w="60"/>
              <w:left w:type="dxa" w:w="100"/>
              <w:bottom w:type="dxa" w:w="60"/>
              <w:right w:type="dxa" w:w="100"/>
            </w:tcMar>
          </w:tcPr>
          <w:p>
            <w:r>
              <w:rPr>
                <w:b w:val="false"/>
                <w:bCs w:val="false"/>
              </w:rPr>
              <w:t xml:space="preserve">FT.BEN.ACCT.NO</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12</w:t>
            </w:r>
          </w:p>
        </w:tc>
        <w:tc>
          <w:tcPr>
            <w:tcW w:type="dxa" w:w="2995"/>
            <w:tcMar>
              <w:top w:type="dxa" w:w="60"/>
              <w:left w:type="dxa" w:w="100"/>
              <w:bottom w:type="dxa" w:w="60"/>
              <w:right w:type="dxa" w:w="100"/>
            </w:tcMar>
          </w:tcPr>
          <w:p>
            <w:r>
              <w:rPr>
                <w:b w:val="false"/>
                <w:bCs w:val="false"/>
              </w:rPr>
              <w:t xml:space="preserve">FT.BEN.CUSTOMER, line 1</w:t>
            </w:r>
          </w:p>
        </w:tc>
        <w:tc>
          <w:tcPr>
            <w:tcW w:type="dxa" w:w="5897"/>
            <w:tcMar>
              <w:top w:type="dxa" w:w="60"/>
              <w:left w:type="dxa" w:w="100"/>
              <w:bottom w:type="dxa" w:w="60"/>
              <w:right w:type="dxa" w:w="100"/>
            </w:tcMar>
          </w:tcPr>
          <w:p>
            <w:r>
              <w:rPr>
                <w:b w:val="false"/>
                <w:bCs w:val="false"/>
              </w:rPr>
              <w:t xml:space="preserve">⚠ Duplicate — see position 10</w:t>
            </w:r>
          </w:p>
        </w:tc>
      </w:tr>
      <w:tr>
        <w:tc>
          <w:tcPr>
            <w:tcW w:type="dxa" w:w="468"/>
            <w:tcMar>
              <w:top w:type="dxa" w:w="60"/>
              <w:left w:type="dxa" w:w="100"/>
              <w:bottom w:type="dxa" w:w="60"/>
              <w:right w:type="dxa" w:w="100"/>
            </w:tcMar>
          </w:tcPr>
          <w:p>
            <w:r>
              <w:rPr>
                <w:b w:val="false"/>
                <w:bCs w:val="false"/>
              </w:rPr>
              <w:t xml:space="preserve">13</w:t>
            </w:r>
          </w:p>
        </w:tc>
        <w:tc>
          <w:tcPr>
            <w:tcW w:type="dxa" w:w="2995"/>
            <w:tcMar>
              <w:top w:type="dxa" w:w="60"/>
              <w:left w:type="dxa" w:w="100"/>
              <w:bottom w:type="dxa" w:w="60"/>
              <w:right w:type="dxa" w:w="100"/>
            </w:tcMar>
          </w:tcPr>
          <w:p>
            <w:r>
              <w:rPr>
                <w:b w:val="false"/>
                <w:bCs w:val="false"/>
              </w:rPr>
              <w:t xml:space="preserve">FT.BEN.CUSTOMER, line 2</w:t>
            </w:r>
          </w:p>
        </w:tc>
        <w:tc>
          <w:tcPr>
            <w:tcW w:type="dxa" w:w="5897"/>
            <w:tcMar>
              <w:top w:type="dxa" w:w="60"/>
              <w:left w:type="dxa" w:w="100"/>
              <w:bottom w:type="dxa" w:w="60"/>
              <w:right w:type="dxa" w:w="100"/>
            </w:tcMar>
          </w:tcPr>
          <w:p>
            <w:r>
              <w:rPr>
                <w:b w:val="false"/>
                <w:bCs w:val="false"/>
              </w:rPr>
              <w:t xml:space="preserve">⚠ Duplicate — see position 10</w:t>
            </w:r>
          </w:p>
        </w:tc>
      </w:tr>
      <w:tr>
        <w:tc>
          <w:tcPr>
            <w:tcW w:type="dxa" w:w="468"/>
            <w:tcMar>
              <w:top w:type="dxa" w:w="60"/>
              <w:left w:type="dxa" w:w="100"/>
              <w:bottom w:type="dxa" w:w="60"/>
              <w:right w:type="dxa" w:w="100"/>
            </w:tcMar>
          </w:tcPr>
          <w:p>
            <w:r>
              <w:rPr>
                <w:b w:val="false"/>
                <w:bCs w:val="false"/>
              </w:rPr>
              <w:t xml:space="preserve">14</w:t>
            </w:r>
          </w:p>
        </w:tc>
        <w:tc>
          <w:tcPr>
            <w:tcW w:type="dxa" w:w="2995"/>
            <w:tcMar>
              <w:top w:type="dxa" w:w="60"/>
              <w:left w:type="dxa" w:w="100"/>
              <w:bottom w:type="dxa" w:w="60"/>
              <w:right w:type="dxa" w:w="100"/>
            </w:tcMar>
          </w:tcPr>
          <w:p>
            <w:r>
              <w:rPr>
                <w:b w:val="false"/>
                <w:bCs w:val="false"/>
              </w:rPr>
              <w:t xml:space="preserve">FT.BEN.CUSTOMER, line 3</w:t>
            </w:r>
          </w:p>
        </w:tc>
        <w:tc>
          <w:tcPr>
            <w:tcW w:type="dxa" w:w="5897"/>
            <w:tcMar>
              <w:top w:type="dxa" w:w="60"/>
              <w:left w:type="dxa" w:w="100"/>
              <w:bottom w:type="dxa" w:w="60"/>
              <w:right w:type="dxa" w:w="100"/>
            </w:tcMar>
          </w:tcPr>
          <w:p>
            <w:r>
              <w:rPr>
                <w:b w:val="false"/>
                <w:bCs w:val="false"/>
              </w:rPr>
              <w:t xml:space="preserve">⚠ Duplicate — see position 10</w:t>
            </w:r>
          </w:p>
        </w:tc>
      </w:tr>
      <w:tr>
        <w:tc>
          <w:tcPr>
            <w:tcW w:type="dxa" w:w="468"/>
            <w:tcMar>
              <w:top w:type="dxa" w:w="60"/>
              <w:left w:type="dxa" w:w="100"/>
              <w:bottom w:type="dxa" w:w="60"/>
              <w:right w:type="dxa" w:w="100"/>
            </w:tcMar>
          </w:tcPr>
          <w:p>
            <w:r>
              <w:rPr>
                <w:b w:val="false"/>
                <w:bCs w:val="false"/>
              </w:rPr>
              <w:t xml:space="preserve">15</w:t>
            </w:r>
          </w:p>
        </w:tc>
        <w:tc>
          <w:tcPr>
            <w:tcW w:type="dxa" w:w="2995"/>
            <w:tcMar>
              <w:top w:type="dxa" w:w="60"/>
              <w:left w:type="dxa" w:w="100"/>
              <w:bottom w:type="dxa" w:w="60"/>
              <w:right w:type="dxa" w:w="100"/>
            </w:tcMar>
          </w:tcPr>
          <w:p>
            <w:r>
              <w:rPr>
                <w:b w:val="false"/>
                <w:bCs w:val="false"/>
              </w:rPr>
              <w:t xml:space="preserve">FT.BEN.OUR.CHARGES</w:t>
            </w:r>
          </w:p>
        </w:tc>
        <w:tc>
          <w:tcPr>
            <w:tcW w:type="dxa" w:w="5897"/>
            <w:tcMar>
              <w:top w:type="dxa" w:w="60"/>
              <w:left w:type="dxa" w:w="100"/>
              <w:bottom w:type="dxa" w:w="60"/>
              <w:right w:type="dxa" w:w="100"/>
            </w:tcMar>
          </w:tcPr>
          <w:p>
            <w:r>
              <w:rPr>
                <w:b w:val="false"/>
                <w:bCs w:val="false"/>
              </w:rPr>
              <w:t xml:space="preserve">⚠ Duplicate — see position 20</w:t>
            </w:r>
          </w:p>
        </w:tc>
      </w:tr>
      <w:tr>
        <w:tc>
          <w:tcPr>
            <w:tcW w:type="dxa" w:w="468"/>
            <w:tcMar>
              <w:top w:type="dxa" w:w="60"/>
              <w:left w:type="dxa" w:w="100"/>
              <w:bottom w:type="dxa" w:w="60"/>
              <w:right w:type="dxa" w:w="100"/>
            </w:tcMar>
          </w:tcPr>
          <w:p>
            <w:r>
              <w:rPr>
                <w:b w:val="false"/>
                <w:bCs w:val="false"/>
              </w:rPr>
              <w:t xml:space="preserve">16</w:t>
            </w:r>
          </w:p>
        </w:tc>
        <w:tc>
          <w:tcPr>
            <w:tcW w:type="dxa" w:w="2995"/>
            <w:tcMar>
              <w:top w:type="dxa" w:w="60"/>
              <w:left w:type="dxa" w:w="100"/>
              <w:bottom w:type="dxa" w:w="60"/>
              <w:right w:type="dxa" w:w="100"/>
            </w:tcMar>
          </w:tcPr>
          <w:p>
            <w:r>
              <w:rPr>
                <w:b w:val="false"/>
                <w:bCs w:val="false"/>
              </w:rPr>
              <w:t xml:space="preserve">FT.BEN.BANK</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17</w:t>
            </w:r>
          </w:p>
        </w:tc>
        <w:tc>
          <w:tcPr>
            <w:tcW w:type="dxa" w:w="2995"/>
            <w:tcMar>
              <w:top w:type="dxa" w:w="60"/>
              <w:left w:type="dxa" w:w="100"/>
              <w:bottom w:type="dxa" w:w="60"/>
              <w:right w:type="dxa" w:w="100"/>
            </w:tcMar>
          </w:tcPr>
          <w:p>
            <w:r>
              <w:rPr>
                <w:b w:val="false"/>
                <w:bCs w:val="false"/>
              </w:rPr>
              <w:t xml:space="preserve">FT.ACCT.WITH.BANK</w:t>
            </w:r>
          </w:p>
        </w:tc>
        <w:tc>
          <w:tcPr>
            <w:tcW w:type="dxa" w:w="5897"/>
            <w:tcMar>
              <w:top w:type="dxa" w:w="60"/>
              <w:left w:type="dxa" w:w="100"/>
              <w:bottom w:type="dxa" w:w="60"/>
              <w:right w:type="dxa" w:w="100"/>
            </w:tcMar>
          </w:tcPr>
          <w:p>
            <w:r>
              <w:rPr>
                <w:b w:val="false"/>
                <w:bCs w:val="false"/>
              </w:rPr>
              <w:t xml:space="preserve">⚠ Duplicate — see position 34</w:t>
            </w:r>
          </w:p>
        </w:tc>
      </w:tr>
      <w:tr>
        <w:tc>
          <w:tcPr>
            <w:tcW w:type="dxa" w:w="468"/>
            <w:tcMar>
              <w:top w:type="dxa" w:w="60"/>
              <w:left w:type="dxa" w:w="100"/>
              <w:bottom w:type="dxa" w:w="60"/>
              <w:right w:type="dxa" w:w="100"/>
            </w:tcMar>
          </w:tcPr>
          <w:p>
            <w:r>
              <w:rPr>
                <w:b w:val="false"/>
                <w:bCs w:val="false"/>
              </w:rPr>
              <w:t xml:space="preserve">18</w:t>
            </w:r>
          </w:p>
        </w:tc>
        <w:tc>
          <w:tcPr>
            <w:tcW w:type="dxa" w:w="2995"/>
            <w:tcMar>
              <w:top w:type="dxa" w:w="60"/>
              <w:left w:type="dxa" w:w="100"/>
              <w:bottom w:type="dxa" w:w="60"/>
              <w:right w:type="dxa" w:w="100"/>
            </w:tcMar>
          </w:tcPr>
          <w:p>
            <w:r>
              <w:rPr>
                <w:b w:val="false"/>
                <w:bCs w:val="false"/>
              </w:rPr>
              <w:t xml:space="preserve">FT.BC.BANK.SORT.CODE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19</w:t>
            </w:r>
          </w:p>
        </w:tc>
        <w:tc>
          <w:tcPr>
            <w:tcW w:type="dxa" w:w="2995"/>
            <w:tcMar>
              <w:top w:type="dxa" w:w="60"/>
              <w:left w:type="dxa" w:w="100"/>
              <w:bottom w:type="dxa" w:w="60"/>
              <w:right w:type="dxa" w:w="100"/>
            </w:tcMar>
          </w:tcPr>
          <w:p>
            <w:r>
              <w:rPr>
                <w:b w:val="false"/>
                <w:bCs w:val="false"/>
              </w:rPr>
              <w:t xml:space="preserve">FT.LOCAL.REF (FT.NARRATIVE position)</w:t>
            </w:r>
          </w:p>
        </w:tc>
        <w:tc>
          <w:tcPr>
            <w:tcW w:type="dxa" w:w="5897"/>
            <w:tcMar>
              <w:top w:type="dxa" w:w="60"/>
              <w:left w:type="dxa" w:w="100"/>
              <w:bottom w:type="dxa" w:w="60"/>
              <w:right w:type="dxa" w:w="100"/>
            </w:tcMar>
          </w:tcPr>
          <w:p>
            <w:r>
              <w:rPr>
                <w:b w:val="false"/>
                <w:bCs w:val="false"/>
              </w:rPr>
              <w:t xml:space="preserve">⚠ Duplicate — see position 30</w:t>
            </w:r>
          </w:p>
        </w:tc>
      </w:tr>
      <w:tr>
        <w:tc>
          <w:tcPr>
            <w:tcW w:type="dxa" w:w="468"/>
            <w:tcMar>
              <w:top w:type="dxa" w:w="60"/>
              <w:left w:type="dxa" w:w="100"/>
              <w:bottom w:type="dxa" w:w="60"/>
              <w:right w:type="dxa" w:w="100"/>
            </w:tcMar>
          </w:tcPr>
          <w:p>
            <w:r>
              <w:rPr>
                <w:b w:val="false"/>
                <w:bCs w:val="false"/>
              </w:rPr>
              <w:t xml:space="preserve">20</w:t>
            </w:r>
          </w:p>
        </w:tc>
        <w:tc>
          <w:tcPr>
            <w:tcW w:type="dxa" w:w="2995"/>
            <w:tcMar>
              <w:top w:type="dxa" w:w="60"/>
              <w:left w:type="dxa" w:w="100"/>
              <w:bottom w:type="dxa" w:w="60"/>
              <w:right w:type="dxa" w:w="100"/>
            </w:tcMar>
          </w:tcPr>
          <w:p>
            <w:r>
              <w:rPr>
                <w:b w:val="false"/>
                <w:bCs w:val="false"/>
              </w:rPr>
              <w:t xml:space="preserve">FT.BEN.OUR.CHARGES</w:t>
            </w:r>
          </w:p>
        </w:tc>
        <w:tc>
          <w:tcPr>
            <w:tcW w:type="dxa" w:w="5897"/>
            <w:tcMar>
              <w:top w:type="dxa" w:w="60"/>
              <w:left w:type="dxa" w:w="100"/>
              <w:bottom w:type="dxa" w:w="60"/>
              <w:right w:type="dxa" w:w="100"/>
            </w:tcMar>
          </w:tcPr>
          <w:p>
            <w:r>
              <w:rPr>
                <w:b w:val="false"/>
                <w:bCs w:val="false"/>
              </w:rPr>
              <w:t xml:space="preserve">⚠ Duplicate — repeats position 15 exactly</w:t>
            </w:r>
          </w:p>
        </w:tc>
      </w:tr>
      <w:tr>
        <w:tc>
          <w:tcPr>
            <w:tcW w:type="dxa" w:w="468"/>
            <w:tcMar>
              <w:top w:type="dxa" w:w="60"/>
              <w:left w:type="dxa" w:w="100"/>
              <w:bottom w:type="dxa" w:w="60"/>
              <w:right w:type="dxa" w:w="100"/>
            </w:tcMar>
          </w:tcPr>
          <w:p>
            <w:r>
              <w:rPr>
                <w:b w:val="false"/>
                <w:bCs w:val="false"/>
              </w:rPr>
              <w:t xml:space="preserve">21</w:t>
            </w:r>
          </w:p>
        </w:tc>
        <w:tc>
          <w:tcPr>
            <w:tcW w:type="dxa" w:w="2995"/>
            <w:tcMar>
              <w:top w:type="dxa" w:w="60"/>
              <w:left w:type="dxa" w:w="100"/>
              <w:bottom w:type="dxa" w:w="60"/>
              <w:right w:type="dxa" w:w="100"/>
            </w:tcMar>
          </w:tcPr>
          <w:p>
            <w:r>
              <w:rPr>
                <w:b w:val="false"/>
                <w:bCs w:val="false"/>
              </w:rPr>
              <w:t xml:space="preserve">FT.COMMISSION.CODE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22</w:t>
            </w:r>
          </w:p>
        </w:tc>
        <w:tc>
          <w:tcPr>
            <w:tcW w:type="dxa" w:w="2995"/>
            <w:tcMar>
              <w:top w:type="dxa" w:w="60"/>
              <w:left w:type="dxa" w:w="100"/>
              <w:bottom w:type="dxa" w:w="60"/>
              <w:right w:type="dxa" w:w="100"/>
            </w:tcMar>
          </w:tcPr>
          <w:p>
            <w:r>
              <w:rPr>
                <w:b w:val="false"/>
                <w:bCs w:val="false"/>
              </w:rPr>
              <w:t xml:space="preserve">FT.COMMISSION.TYPE (VM→'^' joined)</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23</w:t>
            </w:r>
          </w:p>
        </w:tc>
        <w:tc>
          <w:tcPr>
            <w:tcW w:type="dxa" w:w="2995"/>
            <w:tcMar>
              <w:top w:type="dxa" w:w="60"/>
              <w:left w:type="dxa" w:w="100"/>
              <w:bottom w:type="dxa" w:w="60"/>
              <w:right w:type="dxa" w:w="100"/>
            </w:tcMar>
          </w:tcPr>
          <w:p>
            <w:r>
              <w:rPr>
                <w:b w:val="false"/>
                <w:bCs w:val="false"/>
              </w:rPr>
              <w:t xml:space="preserve">FT.COMMISSION.AMT (VM→'^' joined)</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24</w:t>
            </w:r>
          </w:p>
        </w:tc>
        <w:tc>
          <w:tcPr>
            <w:tcW w:type="dxa" w:w="2995"/>
            <w:tcMar>
              <w:top w:type="dxa" w:w="60"/>
              <w:left w:type="dxa" w:w="100"/>
              <w:bottom w:type="dxa" w:w="60"/>
              <w:right w:type="dxa" w:w="100"/>
            </w:tcMar>
          </w:tcPr>
          <w:p>
            <w:r>
              <w:rPr>
                <w:b w:val="false"/>
                <w:bCs w:val="false"/>
              </w:rPr>
              <w:t xml:space="preserve">FT.ORDERING.CUST (VM→'^' joined)</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25</w:t>
            </w:r>
          </w:p>
        </w:tc>
        <w:tc>
          <w:tcPr>
            <w:tcW w:type="dxa" w:w="2995"/>
            <w:tcMar>
              <w:top w:type="dxa" w:w="60"/>
              <w:left w:type="dxa" w:w="100"/>
              <w:bottom w:type="dxa" w:w="60"/>
              <w:right w:type="dxa" w:w="100"/>
            </w:tcMar>
          </w:tcPr>
          <w:p>
            <w:r>
              <w:rPr>
                <w:b w:val="false"/>
                <w:bCs w:val="false"/>
              </w:rPr>
              <w:t xml:space="preserve">FT.ORDERING.BANK</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26</w:t>
            </w:r>
          </w:p>
        </w:tc>
        <w:tc>
          <w:tcPr>
            <w:tcW w:type="dxa" w:w="2995"/>
            <w:tcMar>
              <w:top w:type="dxa" w:w="60"/>
              <w:left w:type="dxa" w:w="100"/>
              <w:bottom w:type="dxa" w:w="60"/>
              <w:right w:type="dxa" w:w="100"/>
            </w:tcMar>
          </w:tcPr>
          <w:p>
            <w:r>
              <w:rPr>
                <w:b w:val="false"/>
                <w:bCs w:val="false"/>
              </w:rPr>
              <w:t xml:space="preserve">FT.CREDIT.ACCT.NO</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27</w:t>
            </w:r>
          </w:p>
        </w:tc>
        <w:tc>
          <w:tcPr>
            <w:tcW w:type="dxa" w:w="2995"/>
            <w:tcMar>
              <w:top w:type="dxa" w:w="60"/>
              <w:left w:type="dxa" w:w="100"/>
              <w:bottom w:type="dxa" w:w="60"/>
              <w:right w:type="dxa" w:w="100"/>
            </w:tcMar>
          </w:tcPr>
          <w:p>
            <w:r>
              <w:rPr>
                <w:b w:val="false"/>
                <w:bCs w:val="false"/>
              </w:rPr>
              <w:t xml:space="preserve">FT.CUSTOMER.SPREAD</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28</w:t>
            </w:r>
          </w:p>
        </w:tc>
        <w:tc>
          <w:tcPr>
            <w:tcW w:type="dxa" w:w="2995"/>
            <w:tcMar>
              <w:top w:type="dxa" w:w="60"/>
              <w:left w:type="dxa" w:w="100"/>
              <w:bottom w:type="dxa" w:w="60"/>
              <w:right w:type="dxa" w:w="100"/>
            </w:tcMar>
          </w:tcPr>
          <w:p>
            <w:r>
              <w:rPr>
                <w:b w:val="false"/>
                <w:bCs w:val="false"/>
              </w:rPr>
              <w:t xml:space="preserve">FT.CUSTOMER.RATE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29</w:t>
            </w:r>
          </w:p>
        </w:tc>
        <w:tc>
          <w:tcPr>
            <w:tcW w:type="dxa" w:w="2995"/>
            <w:tcMar>
              <w:top w:type="dxa" w:w="60"/>
              <w:left w:type="dxa" w:w="100"/>
              <w:bottom w:type="dxa" w:w="60"/>
              <w:right w:type="dxa" w:w="100"/>
            </w:tcMar>
          </w:tcPr>
          <w:p>
            <w:r>
              <w:rPr>
                <w:b w:val="false"/>
                <w:bCs w:val="false"/>
              </w:rPr>
              <w:t xml:space="preserve">FT.DEAL.MARKET</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30</w:t>
            </w:r>
          </w:p>
        </w:tc>
        <w:tc>
          <w:tcPr>
            <w:tcW w:type="dxa" w:w="2995"/>
            <w:tcMar>
              <w:top w:type="dxa" w:w="60"/>
              <w:left w:type="dxa" w:w="100"/>
              <w:bottom w:type="dxa" w:w="60"/>
              <w:right w:type="dxa" w:w="100"/>
            </w:tcMar>
          </w:tcPr>
          <w:p>
            <w:r>
              <w:rPr>
                <w:b w:val="false"/>
                <w:bCs w:val="false"/>
              </w:rPr>
              <w:t xml:space="preserve">FT.LOCAL.REF (FT.NARRATIVE position)</w:t>
            </w:r>
          </w:p>
        </w:tc>
        <w:tc>
          <w:tcPr>
            <w:tcW w:type="dxa" w:w="5897"/>
            <w:tcMar>
              <w:top w:type="dxa" w:w="60"/>
              <w:left w:type="dxa" w:w="100"/>
              <w:bottom w:type="dxa" w:w="60"/>
              <w:right w:type="dxa" w:w="100"/>
            </w:tcMar>
          </w:tcPr>
          <w:p>
            <w:r>
              <w:rPr>
                <w:b w:val="false"/>
                <w:bCs w:val="false"/>
              </w:rPr>
              <w:t xml:space="preserve">⚠ Duplicate — repeats position 19 exactly</w:t>
            </w:r>
          </w:p>
        </w:tc>
      </w:tr>
      <w:tr>
        <w:tc>
          <w:tcPr>
            <w:tcW w:type="dxa" w:w="468"/>
            <w:tcMar>
              <w:top w:type="dxa" w:w="60"/>
              <w:left w:type="dxa" w:w="100"/>
              <w:bottom w:type="dxa" w:w="60"/>
              <w:right w:type="dxa" w:w="100"/>
            </w:tcMar>
          </w:tcPr>
          <w:p>
            <w:r>
              <w:rPr>
                <w:b w:val="false"/>
                <w:bCs w:val="false"/>
              </w:rPr>
              <w:t xml:space="preserve">31</w:t>
            </w:r>
          </w:p>
        </w:tc>
        <w:tc>
          <w:tcPr>
            <w:tcW w:type="dxa" w:w="2995"/>
            <w:tcMar>
              <w:top w:type="dxa" w:w="60"/>
              <w:left w:type="dxa" w:w="100"/>
              <w:bottom w:type="dxa" w:w="60"/>
              <w:right w:type="dxa" w:w="100"/>
            </w:tcMar>
          </w:tcPr>
          <w:p>
            <w:r>
              <w:rPr>
                <w:b w:val="false"/>
                <w:bCs w:val="false"/>
              </w:rPr>
              <w:t xml:space="preserve">FT.INTERMED.BANK.ACC</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32</w:t>
            </w:r>
          </w:p>
        </w:tc>
        <w:tc>
          <w:tcPr>
            <w:tcW w:type="dxa" w:w="2995"/>
            <w:tcMar>
              <w:top w:type="dxa" w:w="60"/>
              <w:left w:type="dxa" w:w="100"/>
              <w:bottom w:type="dxa" w:w="60"/>
              <w:right w:type="dxa" w:w="100"/>
            </w:tcMar>
          </w:tcPr>
          <w:p>
            <w:r>
              <w:rPr>
                <w:b w:val="false"/>
                <w:bCs w:val="false"/>
              </w:rPr>
              <w:t xml:space="preserve">FT.INTERMED.BANK</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33</w:t>
            </w:r>
          </w:p>
        </w:tc>
        <w:tc>
          <w:tcPr>
            <w:tcW w:type="dxa" w:w="2995"/>
            <w:tcMar>
              <w:top w:type="dxa" w:w="60"/>
              <w:left w:type="dxa" w:w="100"/>
              <w:bottom w:type="dxa" w:w="60"/>
              <w:right w:type="dxa" w:w="100"/>
            </w:tcMar>
          </w:tcPr>
          <w:p>
            <w:r>
              <w:rPr>
                <w:b w:val="false"/>
                <w:bCs w:val="false"/>
              </w:rPr>
              <w:t xml:space="preserve">FT.ACCT.WITH.BK.ACNO</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34</w:t>
            </w:r>
          </w:p>
        </w:tc>
        <w:tc>
          <w:tcPr>
            <w:tcW w:type="dxa" w:w="2995"/>
            <w:tcMar>
              <w:top w:type="dxa" w:w="60"/>
              <w:left w:type="dxa" w:w="100"/>
              <w:bottom w:type="dxa" w:w="60"/>
              <w:right w:type="dxa" w:w="100"/>
            </w:tcMar>
          </w:tcPr>
          <w:p>
            <w:r>
              <w:rPr>
                <w:b w:val="false"/>
                <w:bCs w:val="false"/>
              </w:rPr>
              <w:t xml:space="preserve">FT.ACCT.WITH.BANK</w:t>
            </w:r>
          </w:p>
        </w:tc>
        <w:tc>
          <w:tcPr>
            <w:tcW w:type="dxa" w:w="5897"/>
            <w:tcMar>
              <w:top w:type="dxa" w:w="60"/>
              <w:left w:type="dxa" w:w="100"/>
              <w:bottom w:type="dxa" w:w="60"/>
              <w:right w:type="dxa" w:w="100"/>
            </w:tcMar>
          </w:tcPr>
          <w:p>
            <w:r>
              <w:rPr>
                <w:b w:val="false"/>
                <w:bCs w:val="false"/>
              </w:rPr>
              <w:t xml:space="preserve">⚠ Duplicate — repeats position 17 exactly</w:t>
            </w:r>
          </w:p>
        </w:tc>
      </w:tr>
      <w:tr>
        <w:tc>
          <w:tcPr>
            <w:tcW w:type="dxa" w:w="468"/>
            <w:tcMar>
              <w:top w:type="dxa" w:w="60"/>
              <w:left w:type="dxa" w:w="100"/>
              <w:bottom w:type="dxa" w:w="60"/>
              <w:right w:type="dxa" w:w="100"/>
            </w:tcMar>
          </w:tcPr>
          <w:p>
            <w:r>
              <w:rPr>
                <w:b w:val="false"/>
                <w:bCs w:val="false"/>
              </w:rPr>
              <w:t xml:space="preserve">35</w:t>
            </w:r>
          </w:p>
        </w:tc>
        <w:tc>
          <w:tcPr>
            <w:tcW w:type="dxa" w:w="2995"/>
            <w:tcMar>
              <w:top w:type="dxa" w:w="60"/>
              <w:left w:type="dxa" w:w="100"/>
              <w:bottom w:type="dxa" w:w="60"/>
              <w:right w:type="dxa" w:w="100"/>
            </w:tcMar>
          </w:tcPr>
          <w:p>
            <w:r>
              <w:rPr>
                <w:b w:val="false"/>
                <w:bCs w:val="false"/>
              </w:rPr>
              <w:t xml:space="preserve">FT.PAYMENT.DETAILS</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36</w:t>
            </w:r>
          </w:p>
        </w:tc>
        <w:tc>
          <w:tcPr>
            <w:tcW w:type="dxa" w:w="2995"/>
            <w:tcMar>
              <w:top w:type="dxa" w:w="60"/>
              <w:left w:type="dxa" w:w="100"/>
              <w:bottom w:type="dxa" w:w="60"/>
              <w:right w:type="dxa" w:w="100"/>
            </w:tcMar>
          </w:tcPr>
          <w:p>
            <w:r>
              <w:rPr>
                <w:b w:val="false"/>
                <w:bCs w:val="false"/>
              </w:rPr>
              <w:t xml:space="preserve">FT.BK.TO.BK.OUT</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37</w:t>
            </w:r>
          </w:p>
        </w:tc>
        <w:tc>
          <w:tcPr>
            <w:tcW w:type="dxa" w:w="2995"/>
            <w:tcMar>
              <w:top w:type="dxa" w:w="60"/>
              <w:left w:type="dxa" w:w="100"/>
              <w:bottom w:type="dxa" w:w="60"/>
              <w:right w:type="dxa" w:w="100"/>
            </w:tcMar>
          </w:tcPr>
          <w:p>
            <w:r>
              <w:rPr>
                <w:b w:val="false"/>
                <w:bCs w:val="false"/>
              </w:rPr>
              <w:t xml:space="preserve">FT.INPUTTER</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38</w:t>
            </w:r>
          </w:p>
        </w:tc>
        <w:tc>
          <w:tcPr>
            <w:tcW w:type="dxa" w:w="2995"/>
            <w:tcMar>
              <w:top w:type="dxa" w:w="60"/>
              <w:left w:type="dxa" w:w="100"/>
              <w:bottom w:type="dxa" w:w="60"/>
              <w:right w:type="dxa" w:w="100"/>
            </w:tcMar>
          </w:tcPr>
          <w:p>
            <w:r>
              <w:rPr>
                <w:b w:val="false"/>
                <w:bCs w:val="false"/>
              </w:rPr>
              <w:t xml:space="preserve">FT.CREDIT.CURRENCY</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39</w:t>
            </w:r>
          </w:p>
        </w:tc>
        <w:tc>
          <w:tcPr>
            <w:tcW w:type="dxa" w:w="2995"/>
            <w:tcMar>
              <w:top w:type="dxa" w:w="60"/>
              <w:left w:type="dxa" w:w="100"/>
              <w:bottom w:type="dxa" w:w="60"/>
              <w:right w:type="dxa" w:w="100"/>
            </w:tcMar>
          </w:tcPr>
          <w:p>
            <w:r>
              <w:rPr>
                <w:b w:val="false"/>
                <w:bCs w:val="false"/>
              </w:rPr>
              <w:t xml:space="preserve">FT.AMOUNT.CREDITED [4,20]</w:t>
            </w:r>
          </w:p>
        </w:tc>
        <w:tc>
          <w:tcPr>
            <w:tcW w:type="dxa" w:w="5897"/>
            <w:tcMar>
              <w:top w:type="dxa" w:w="60"/>
              <w:left w:type="dxa" w:w="100"/>
              <w:bottom w:type="dxa" w:w="60"/>
              <w:right w:type="dxa" w:w="100"/>
            </w:tcMar>
          </w:tcPr>
          <w:p>
            <w:r>
              <w:rPr>
                <w:b w:val="false"/>
                <w:bCs w:val="false"/>
              </w:rPr>
              <w:t xml:space="preserve">Same currency-stripping and computed-vs-requested distinction as position 8</w:t>
            </w:r>
          </w:p>
        </w:tc>
      </w:tr>
      <w:tr>
        <w:tc>
          <w:tcPr>
            <w:tcW w:type="dxa" w:w="468"/>
            <w:tcMar>
              <w:top w:type="dxa" w:w="60"/>
              <w:left w:type="dxa" w:w="100"/>
              <w:bottom w:type="dxa" w:w="60"/>
              <w:right w:type="dxa" w:w="100"/>
            </w:tcMar>
          </w:tcPr>
          <w:p>
            <w:r>
              <w:rPr>
                <w:b w:val="false"/>
                <w:bCs w:val="false"/>
              </w:rPr>
              <w:t xml:space="preserve">40</w:t>
            </w:r>
          </w:p>
        </w:tc>
        <w:tc>
          <w:tcPr>
            <w:tcW w:type="dxa" w:w="2995"/>
            <w:tcMar>
              <w:top w:type="dxa" w:w="60"/>
              <w:left w:type="dxa" w:w="100"/>
              <w:bottom w:type="dxa" w:w="60"/>
              <w:right w:type="dxa" w:w="100"/>
            </w:tcMar>
          </w:tcPr>
          <w:p>
            <w:r>
              <w:rPr>
                <w:b w:val="false"/>
                <w:bCs w:val="false"/>
              </w:rPr>
              <w:t xml:space="preserve">FT.TREASURY.RATE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41</w:t>
            </w:r>
          </w:p>
        </w:tc>
        <w:tc>
          <w:tcPr>
            <w:tcW w:type="dxa" w:w="2995"/>
            <w:tcMar>
              <w:top w:type="dxa" w:w="60"/>
              <w:left w:type="dxa" w:w="100"/>
              <w:bottom w:type="dxa" w:w="60"/>
              <w:right w:type="dxa" w:w="100"/>
            </w:tcMar>
          </w:tcPr>
          <w:p>
            <w:r>
              <w:rPr>
                <w:b w:val="false"/>
                <w:bCs w:val="false"/>
              </w:rPr>
              <w:t xml:space="preserve">FT.CREDIT.VALUE.DATE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42</w:t>
            </w:r>
          </w:p>
        </w:tc>
        <w:tc>
          <w:tcPr>
            <w:tcW w:type="dxa" w:w="2995"/>
            <w:tcMar>
              <w:top w:type="dxa" w:w="60"/>
              <w:left w:type="dxa" w:w="100"/>
              <w:bottom w:type="dxa" w:w="60"/>
              <w:right w:type="dxa" w:w="100"/>
            </w:tcMar>
          </w:tcPr>
          <w:p>
            <w:r>
              <w:rPr>
                <w:b w:val="false"/>
                <w:bCs w:val="false"/>
              </w:rPr>
              <w:t xml:space="preserve">FT.OVERRIDE</w:t>
            </w:r>
          </w:p>
        </w:tc>
        <w:tc>
          <w:tcPr>
            <w:tcW w:type="dxa" w:w="5897"/>
            <w:tcMar>
              <w:top w:type="dxa" w:w="60"/>
              <w:left w:type="dxa" w:w="100"/>
              <w:bottom w:type="dxa" w:w="60"/>
              <w:right w:type="dxa" w:w="100"/>
            </w:tcMar>
          </w:tcPr>
          <w:p>
            <w:r>
              <w:rPr>
                <w:b w:val="false"/>
                <w:bCs w:val="false"/>
              </w:rPr>
              <w:t xml:space="preserve">⚠ Returned RAW — value-marks (VM) are NOT converted to '^' here, unlike every other place OVERRIDE is returned across the whole service family. A text-based channel parser expecting printable delimiters may mis-handle this field</w:t>
            </w:r>
          </w:p>
        </w:tc>
      </w:tr>
      <w:tr>
        <w:tc>
          <w:tcPr>
            <w:tcW w:type="dxa" w:w="468"/>
            <w:tcMar>
              <w:top w:type="dxa" w:w="60"/>
              <w:left w:type="dxa" w:w="100"/>
              <w:bottom w:type="dxa" w:w="60"/>
              <w:right w:type="dxa" w:w="100"/>
            </w:tcMar>
          </w:tcPr>
          <w:p>
            <w:r>
              <w:rPr>
                <w:b w:val="false"/>
                <w:bCs w:val="false"/>
              </w:rPr>
              <w:t xml:space="preserve">43</w:t>
            </w:r>
          </w:p>
        </w:tc>
        <w:tc>
          <w:tcPr>
            <w:tcW w:type="dxa" w:w="2995"/>
            <w:tcMar>
              <w:top w:type="dxa" w:w="60"/>
              <w:left w:type="dxa" w:w="100"/>
              <w:bottom w:type="dxa" w:w="60"/>
              <w:right w:type="dxa" w:w="100"/>
            </w:tcMar>
          </w:tcPr>
          <w:p>
            <w:r>
              <w:rPr>
                <w:b w:val="false"/>
                <w:bCs w:val="false"/>
              </w:rPr>
              <w:t xml:space="preserve">FT.RECORD.STATUS</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44</w:t>
            </w:r>
          </w:p>
        </w:tc>
        <w:tc>
          <w:tcPr>
            <w:tcW w:type="dxa" w:w="2995"/>
            <w:tcMar>
              <w:top w:type="dxa" w:w="60"/>
              <w:left w:type="dxa" w:w="100"/>
              <w:bottom w:type="dxa" w:w="60"/>
              <w:right w:type="dxa" w:w="100"/>
            </w:tcMar>
          </w:tcPr>
          <w:p>
            <w:r>
              <w:rPr>
                <w:b w:val="false"/>
                <w:bCs w:val="false"/>
              </w:rPr>
              <w:t xml:space="preserve">FT.DATE.TIME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45</w:t>
            </w:r>
          </w:p>
        </w:tc>
        <w:tc>
          <w:tcPr>
            <w:tcW w:type="dxa" w:w="2995"/>
            <w:tcMar>
              <w:top w:type="dxa" w:w="60"/>
              <w:left w:type="dxa" w:w="100"/>
              <w:bottom w:type="dxa" w:w="60"/>
              <w:right w:type="dxa" w:w="100"/>
            </w:tcMar>
          </w:tcPr>
          <w:p>
            <w:r>
              <w:rPr>
                <w:b w:val="false"/>
                <w:bCs w:val="false"/>
              </w:rPr>
              <w:t xml:space="preserve">FT.AUTHORISER</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46</w:t>
            </w:r>
          </w:p>
        </w:tc>
        <w:tc>
          <w:tcPr>
            <w:tcW w:type="dxa" w:w="2995"/>
            <w:tcMar>
              <w:top w:type="dxa" w:w="60"/>
              <w:left w:type="dxa" w:w="100"/>
              <w:bottom w:type="dxa" w:w="60"/>
              <w:right w:type="dxa" w:w="100"/>
            </w:tcMar>
          </w:tcPr>
          <w:p>
            <w:r>
              <w:rPr>
                <w:b w:val="false"/>
                <w:bCs w:val="false"/>
              </w:rPr>
              <w:t xml:space="preserve">FT.CURR.NO</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47</w:t>
            </w:r>
          </w:p>
        </w:tc>
        <w:tc>
          <w:tcPr>
            <w:tcW w:type="dxa" w:w="2995"/>
            <w:tcMar>
              <w:top w:type="dxa" w:w="60"/>
              <w:left w:type="dxa" w:w="100"/>
              <w:bottom w:type="dxa" w:w="60"/>
              <w:right w:type="dxa" w:w="100"/>
            </w:tcMar>
          </w:tcPr>
          <w:p>
            <w:r>
              <w:rPr>
                <w:b w:val="false"/>
                <w:bCs w:val="false"/>
              </w:rPr>
              <w:t xml:space="preserve">FT.DEPT.CODE</w:t>
            </w:r>
          </w:p>
        </w:tc>
        <w:tc>
          <w:tcPr>
            <w:tcW w:type="dxa" w:w="5897"/>
            <w:tcMar>
              <w:top w:type="dxa" w:w="60"/>
              <w:left w:type="dxa" w:w="100"/>
              <w:bottom w:type="dxa" w:w="60"/>
              <w:right w:type="dxa" w:w="100"/>
            </w:tcMar>
          </w:tcPr>
          <w:p>
            <w:r>
              <w:rPr>
                <w:b w:val="false"/>
                <w:bCs w:val="false"/>
              </w:rPr>
              <w:t xml:space="preserve"/>
            </w:r>
          </w:p>
        </w:tc>
      </w:tr>
      <w:tr>
        <w:tc>
          <w:tcPr>
            <w:tcW w:type="dxa" w:w="468"/>
            <w:tcMar>
              <w:top w:type="dxa" w:w="60"/>
              <w:left w:type="dxa" w:w="100"/>
              <w:bottom w:type="dxa" w:w="60"/>
              <w:right w:type="dxa" w:w="100"/>
            </w:tcMar>
          </w:tcPr>
          <w:p>
            <w:r>
              <w:rPr>
                <w:b w:val="false"/>
                <w:bCs w:val="false"/>
              </w:rPr>
              <w:t xml:space="preserve">48</w:t>
            </w:r>
          </w:p>
        </w:tc>
        <w:tc>
          <w:tcPr>
            <w:tcW w:type="dxa" w:w="2995"/>
            <w:tcMar>
              <w:top w:type="dxa" w:w="60"/>
              <w:left w:type="dxa" w:w="100"/>
              <w:bottom w:type="dxa" w:w="60"/>
              <w:right w:type="dxa" w:w="100"/>
            </w:tcMar>
          </w:tcPr>
          <w:p>
            <w:r>
              <w:rPr>
                <w:b w:val="false"/>
                <w:bCs w:val="false"/>
              </w:rPr>
              <w:t xml:space="preserve">PAR.FT.REF (resolved)</w:t>
            </w:r>
          </w:p>
        </w:tc>
        <w:tc>
          <w:tcPr>
            <w:tcW w:type="dxa" w:w="5897"/>
            <w:tcMar>
              <w:top w:type="dxa" w:w="60"/>
              <w:left w:type="dxa" w:w="100"/>
              <w:bottom w:type="dxa" w:w="60"/>
              <w:right w:type="dxa" w:w="100"/>
            </w:tcMar>
          </w:tcPr>
          <w:p>
            <w:r>
              <w:rPr>
                <w:b w:val="false"/>
                <w:bCs w:val="false"/>
              </w:rPr>
              <w:t xml:space="preserve">Echoes back the ACTUAL T24 FT reference — useful when the caller originally supplied a MSG.ID, so they now learn the real FT ID</w:t>
            </w:r>
          </w:p>
        </w:tc>
      </w:tr>
      <w:tr>
        <w:tc>
          <w:tcPr>
            <w:tcW w:type="dxa" w:w="468"/>
            <w:tcMar>
              <w:top w:type="dxa" w:w="60"/>
              <w:left w:type="dxa" w:w="100"/>
              <w:bottom w:type="dxa" w:w="60"/>
              <w:right w:type="dxa" w:w="100"/>
            </w:tcMar>
          </w:tcPr>
          <w:p>
            <w:r>
              <w:rPr>
                <w:b w:val="false"/>
                <w:bCs w:val="false"/>
              </w:rPr>
              <w:t xml:space="preserve">49</w:t>
            </w:r>
          </w:p>
        </w:tc>
        <w:tc>
          <w:tcPr>
            <w:tcW w:type="dxa" w:w="2995"/>
            <w:tcMar>
              <w:top w:type="dxa" w:w="60"/>
              <w:left w:type="dxa" w:w="100"/>
              <w:bottom w:type="dxa" w:w="60"/>
              <w:right w:type="dxa" w:w="100"/>
            </w:tcMar>
          </w:tcPr>
          <w:p>
            <w:r>
              <w:rPr>
                <w:b w:val="false"/>
                <w:bCs w:val="false"/>
              </w:rPr>
              <w:t xml:space="preserve">FT.LOCAL.REF (SRC.CHANNEL position)</w:t>
            </w:r>
          </w:p>
        </w:tc>
        <w:tc>
          <w:tcPr>
            <w:tcW w:type="dxa" w:w="5897"/>
            <w:tcMar>
              <w:top w:type="dxa" w:w="60"/>
              <w:left w:type="dxa" w:w="100"/>
              <w:bottom w:type="dxa" w:w="60"/>
              <w:right w:type="dxa" w:w="100"/>
            </w:tcMar>
          </w:tcPr>
          <w:p>
            <w:r>
              <w:rPr>
                <w:b w:val="false"/>
                <w:bCs w:val="false"/>
              </w:rPr>
              <w:t xml:space="preserve">Added later (HEND, 18-Dec-2023 patch)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395" w:sz="12"/>
              <w:left w:val="single" w:color="2E5395" w:sz="4"/>
              <w:bottom w:val="single" w:color="2E5395" w:sz="4"/>
              <w:right w:val="single" w:color="2E5395" w:sz="4"/>
            </w:tcBorders>
            <w:shd w:fill="E8EEF7" w:val="clear"/>
            <w:tcMar>
              <w:top w:type="dxa" w:w="150"/>
              <w:left w:type="dxa" w:w="180"/>
              <w:bottom w:type="dxa" w:w="150"/>
              <w:right w:type="dxa" w:w="180"/>
            </w:tcMar>
          </w:tcPr>
          <w:p>
            <w:pPr>
              <w:spacing w:after="100"/>
            </w:pPr>
            <w:r>
              <w:rPr>
                <w:b/>
                <w:bCs/>
                <w:color w:val="2E5395"/>
                <w:sz w:val="24"/>
                <w:szCs w:val="24"/>
              </w:rPr>
              <w:t xml:space="preserve">FINDING — The Same Data Is Returned in Four Separate Duplicate Positions</w:t>
            </w:r>
          </w:p>
          <w:p>
            <w:pPr>
              <w:spacing w:after="80"/>
            </w:pPr>
            <w:r>
              <w:rPr>
                <w:color w:val="444444"/>
              </w:rPr>
              <w:t xml:space="preserve">Four separate fields appear TWICE in this response: FT.BEN.CUSTOMER (once combined at position 10, once split into three lines at positions 12–14 — arguably three-and-a-half copies), FT.BEN.OUR.CHARGES (positions 15 and 20), the FT.NARRATIVE local-reference field (positions 19 and 30), and FT.ACCT.WITH.BANK (positions 17 and 34).</w:t>
            </w:r>
          </w:p>
          <w:p>
            <w:pPr>
              <w:spacing w:after="80"/>
            </w:pPr>
            <w:r>
              <w:rPr>
                <w:color w:val="444444"/>
              </w:rPr>
              <w:t xml:space="preserve">Finding the SAME duplication pattern in four unrelated places suggests this response was extended piecemeal by different patches over time, without checking what fields were already present — rather than a single deliberate design choice.</w:t>
            </w:r>
          </w:p>
          <w:p>
            <w:pPr>
              <w:spacing w:after="80"/>
            </w:pPr>
            <w:r>
              <w:rPr>
                <w:color w:val="444444"/>
              </w:rPr>
              <w:t xml:space="preserve">This isn't a correctness bug (the data returned is accurate, just repeated) but it directly affects the size and shape of the equivalent IRIS response payload. A decision is needed: preserve the exact positional duplication for backward compatibility with existing channel parsers, or clean it up as part of the migration (likely the better long-term choice, since a JSON-based IRIS response has no reason to repeat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2"/>
              <w:left w:val="single" w:color="C00000" w:sz="4"/>
              <w:bottom w:val="single" w:color="C00000" w:sz="4"/>
              <w:right w:val="single" w:color="C00000" w:sz="4"/>
            </w:tcBorders>
            <w:shd w:fill="FDEAEA" w:val="clear"/>
            <w:tcMar>
              <w:top w:type="dxa" w:w="150"/>
              <w:left w:type="dxa" w:w="180"/>
              <w:bottom w:type="dxa" w:w="150"/>
              <w:right w:type="dxa" w:w="180"/>
            </w:tcMar>
          </w:tcPr>
          <w:p>
            <w:pPr>
              <w:spacing w:after="100"/>
            </w:pPr>
            <w:r>
              <w:rPr>
                <w:b/>
                <w:bCs/>
                <w:color w:val="C00000"/>
                <w:sz w:val="24"/>
                <w:szCs w:val="24"/>
              </w:rPr>
              <w:t xml:space="preserve">FINDING — FT.OVERRIDE Is the Only Field Returned With Raw, Unconverted Value-Marks</w:t>
            </w:r>
          </w:p>
          <w:p>
            <w:pPr>
              <w:spacing w:after="80"/>
            </w:pPr>
            <w:r>
              <w:rPr>
                <w:color w:val="444444"/>
              </w:rPr>
              <w:t xml:space="preserve">FT.OVERRIDE is returned at position 42 with its internal value-marks (VM) left RAW — every other place OVERRIDE is returned across all six services reviewed (Documents 01, 03, 04, 05) explicitly converts VM to the printable '^' character first. This routine is the one exception.</w:t>
            </w:r>
          </w:p>
          <w:p>
            <w:pPr>
              <w:spacing w:after="80"/>
            </w:pPr>
            <w:r>
              <w:rPr>
                <w:color w:val="444444"/>
              </w:rPr>
              <w:t xml:space="preserve">Value-marks are non-printable control characters. A channel parser built to expect '^'-separated override messages (matching every other service's convention) would likely mis-handle or silently drop additional override lines returned by this specific service.</w:t>
            </w:r>
          </w:p>
        </w:tc>
      </w:tr>
    </w:tbl>
    <w:p>
      <w:pPr>
        <w:pStyle w:val="Heading1"/>
        <w:pBdr>
          <w:bottom w:val="single" w:color="2E5395" w:sz="6" w:space="4"/>
        </w:pBdr>
        <w:spacing w:after="150" w:before="300"/>
      </w:pPr>
      <w:r>
        <w:t xml:space="preserve">6. Not-Found and Response Envelope Format</w:t>
      </w:r>
    </w:p>
    <w:p>
      <w:pPr>
        <w:pStyle w:val="ListParagraph"/>
        <w:numPr>
          <w:ilvl w:val="0"/>
          <w:numId w:val="1"/>
        </w:numPr>
        <w:spacing w:after="60"/>
      </w:pPr>
      <w:r>
        <w:t xml:space="preserve">Not found (all four tiers miss): O.MSG = '0001#' — a new status code not seen in any other service, with no further fields at all.</w:t>
      </w:r>
    </w:p>
    <w:p>
      <w:pPr>
        <w:pStyle w:val="ListParagraph"/>
        <w:numPr>
          <w:ilvl w:val="0"/>
          <w:numId w:val="1"/>
        </w:numPr>
        <w:spacing w:after="60"/>
      </w:pPr>
      <w:r>
        <w:t xml:space="preserve">Found: O.MSG = '0000#' followed by all 49 fields, each separated by '|'.</w:t>
      </w:r>
    </w:p>
    <w:p>
      <w:pPr>
        <w:pStyle w:val="ListParagraph"/>
        <w:numPr>
          <w:ilvl w:val="0"/>
          <w:numId w:val="1"/>
        </w:numPr>
        <w:spacing w:after="60"/>
      </w:pPr>
      <w:r>
        <w:t xml:space="preserve">The full response is finally prefixed with HEADER.ID:'#' — meaning this service's response envelope mixes TWO different separators: '#' for the header-to-status boundary, and '|' for every field after that. This is a distinct scheme from the other five services (which use '|' consistently throughout, or a config-driven tag structure for Document 02) — a parser built for any other service in this family will not correctly parse this one without adjustment.</w:t>
      </w:r>
    </w:p>
    <w:p>
      <w:pPr>
        <w:pStyle w:val="Heading1"/>
        <w:pBdr>
          <w:bottom w:val="single" w:color="2E5395" w:sz="6" w:space="4"/>
        </w:pBdr>
        <w:spacing w:after="150" w:before="300"/>
      </w:pPr>
      <w:r>
        <w:t xml:space="preserve">7. Config Tables This Routine Depends On</w:t>
      </w:r>
    </w:p>
    <w:p>
      <w:pPr>
        <w:spacing w:after="120"/>
      </w:pPr>
      <w:r>
        <w:rPr>
          <w:i/>
          <w:iCs/>
        </w:rPr>
        <w:t xml:space="preserve">None. This routine's entire response shape is hardcoded directly in code — a contrast with Simulate Fees &amp; Calculate Commission (Document 02), which uses CIB.API.CONFIG.XML to make its response shape configurable per service. This inconsistency across the service family (some responses config-driven, some hardcoded) is worth resolving with a single consistent approach in the TPH/IRIS design.</w:t>
      </w:r>
    </w:p>
    <w:p>
      <w:pPr>
        <w:pStyle w:val="Heading1"/>
        <w:pBdr>
          <w:bottom w:val="single" w:color="2E5395" w:sz="6" w:space="4"/>
        </w:pBdr>
        <w:spacing w:after="150" w:before="300"/>
      </w:pPr>
      <w:r>
        <w:t xml:space="preserve">8. Files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19"/>
        <w:gridCol w:w="1308"/>
        <w:gridCol w:w="5032"/>
      </w:tblGrid>
      <w:tr>
        <w:trPr>
          <w:tblHeader/>
        </w:trPr>
        <w:tc>
          <w:tcPr>
            <w:tcW w:type="dxa" w:w="3019"/>
            <w:shd w:fill="2E5395" w:val="clear"/>
            <w:tcMar>
              <w:top w:type="dxa" w:w="80"/>
              <w:left w:type="dxa" w:w="100"/>
              <w:bottom w:type="dxa" w:w="80"/>
              <w:right w:type="dxa" w:w="100"/>
            </w:tcMar>
          </w:tcPr>
          <w:p>
            <w:r>
              <w:rPr>
                <w:b/>
                <w:bCs/>
                <w:color w:val="FFFFFF"/>
              </w:rPr>
              <w:t xml:space="preserve">File / Table</w:t>
            </w:r>
          </w:p>
        </w:tc>
        <w:tc>
          <w:tcPr>
            <w:tcW w:type="dxa" w:w="1308"/>
            <w:shd w:fill="2E5395" w:val="clear"/>
            <w:tcMar>
              <w:top w:type="dxa" w:w="80"/>
              <w:left w:type="dxa" w:w="100"/>
              <w:bottom w:type="dxa" w:w="80"/>
              <w:right w:type="dxa" w:w="100"/>
            </w:tcMar>
          </w:tcPr>
          <w:p>
            <w:r>
              <w:rPr>
                <w:b/>
                <w:bCs/>
                <w:color w:val="FFFFFF"/>
              </w:rPr>
              <w:t xml:space="preserve">Access</w:t>
            </w:r>
          </w:p>
        </w:tc>
        <w:tc>
          <w:tcPr>
            <w:tcW w:type="dxa" w:w="5032"/>
            <w:shd w:fill="2E5395" w:val="clear"/>
            <w:tcMar>
              <w:top w:type="dxa" w:w="80"/>
              <w:left w:type="dxa" w:w="100"/>
              <w:bottom w:type="dxa" w:w="80"/>
              <w:right w:type="dxa" w:w="100"/>
            </w:tcMar>
          </w:tcPr>
          <w:p>
            <w:r>
              <w:rPr>
                <w:b/>
                <w:bCs/>
                <w:color w:val="FFFFFF"/>
              </w:rPr>
              <w:t xml:space="preserve">Purpose</w:t>
            </w:r>
          </w:p>
        </w:tc>
      </w:tr>
      <w:tr>
        <w:tc>
          <w:tcPr>
            <w:tcW w:type="dxa" w:w="3019"/>
            <w:tcMar>
              <w:top w:type="dxa" w:w="60"/>
              <w:left w:type="dxa" w:w="100"/>
              <w:bottom w:type="dxa" w:w="60"/>
              <w:right w:type="dxa" w:w="100"/>
            </w:tcMar>
          </w:tcPr>
          <w:p>
            <w:r>
              <w:rPr>
                <w:b w:val="false"/>
                <w:bCs w:val="false"/>
              </w:rPr>
              <w:t xml:space="preserve">FBNK.FUNDS.TRANSFER</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Tier 2 — live/fully authorized records</w:t>
            </w:r>
          </w:p>
        </w:tc>
      </w:tr>
      <w:tr>
        <w:tc>
          <w:tcPr>
            <w:tcW w:type="dxa" w:w="3019"/>
            <w:tcMar>
              <w:top w:type="dxa" w:w="60"/>
              <w:left w:type="dxa" w:w="100"/>
              <w:bottom w:type="dxa" w:w="60"/>
              <w:right w:type="dxa" w:w="100"/>
            </w:tcMar>
          </w:tcPr>
          <w:p>
            <w:r>
              <w:rPr>
                <w:b w:val="false"/>
                <w:bCs w:val="false"/>
              </w:rPr>
              <w:t xml:space="preserve">FBNK.FUNDS.TRANSFER$NAU</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Tier 1 — pending/not-yet-authorized records (checked first)</w:t>
            </w:r>
          </w:p>
        </w:tc>
      </w:tr>
      <w:tr>
        <w:tc>
          <w:tcPr>
            <w:tcW w:type="dxa" w:w="3019"/>
            <w:tcMar>
              <w:top w:type="dxa" w:w="60"/>
              <w:left w:type="dxa" w:w="100"/>
              <w:bottom w:type="dxa" w:w="60"/>
              <w:right w:type="dxa" w:w="100"/>
            </w:tcMar>
          </w:tcPr>
          <w:p>
            <w:r>
              <w:rPr>
                <w:b w:val="false"/>
                <w:bCs w:val="false"/>
              </w:rPr>
              <w:t xml:space="preserve">FBNK.FUNDS.TRANSFER$HIS</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Tiers 3 and 4 — historical record versions (';2' tried before ';1')</w:t>
            </w:r>
          </w:p>
        </w:tc>
      </w:tr>
      <w:tr>
        <w:tc>
          <w:tcPr>
            <w:tcW w:type="dxa" w:w="3019"/>
            <w:tcMar>
              <w:top w:type="dxa" w:w="60"/>
              <w:left w:type="dxa" w:w="100"/>
              <w:bottom w:type="dxa" w:w="60"/>
              <w:right w:type="dxa" w:w="100"/>
            </w:tcMar>
          </w:tcPr>
          <w:p>
            <w:r>
              <w:rPr>
                <w:b w:val="false"/>
                <w:bCs w:val="false"/>
              </w:rPr>
              <w:t xml:space="preserve">FBNK.CIB.API.FT</w:t>
            </w:r>
          </w:p>
        </w:tc>
        <w:tc>
          <w:tcPr>
            <w:tcW w:type="dxa" w:w="1308"/>
            <w:tcMar>
              <w:top w:type="dxa" w:w="60"/>
              <w:left w:type="dxa" w:w="100"/>
              <w:bottom w:type="dxa" w:w="60"/>
              <w:right w:type="dxa" w:w="100"/>
            </w:tcMar>
          </w:tcPr>
          <w:p>
            <w:r>
              <w:rPr>
                <w:b w:val="false"/>
                <w:bCs w:val="false"/>
              </w:rPr>
              <w:t xml:space="preserve">Read</w:t>
            </w:r>
          </w:p>
        </w:tc>
        <w:tc>
          <w:tcPr>
            <w:tcW w:type="dxa" w:w="5032"/>
            <w:tcMar>
              <w:top w:type="dxa" w:w="60"/>
              <w:left w:type="dxa" w:w="100"/>
              <w:bottom w:type="dxa" w:w="60"/>
              <w:right w:type="dxa" w:w="100"/>
            </w:tcMar>
          </w:tcPr>
          <w:p>
            <w:r>
              <w:rPr>
                <w:b w:val="false"/>
                <w:bCs w:val="false"/>
              </w:rPr>
              <w:t xml:space="preserve">MSG.ID → real FT.ID resolution — the same shared audit table used by Create Outward Transfer (01), Create Nostro Transfer (05), and Authorise FT (04)</w:t>
            </w:r>
          </w:p>
        </w:tc>
      </w:tr>
    </w:tbl>
    <w:p>
      <w:pPr>
        <w:pStyle w:val="Heading1"/>
        <w:pBdr>
          <w:bottom w:val="single" w:color="2E5395" w:sz="6" w:space="4"/>
        </w:pBdr>
        <w:spacing w:after="150" w:before="300"/>
      </w:pPr>
      <w:r>
        <w:t xml:space="preserve">9. External Routines Called</w:t>
      </w:r>
    </w:p>
    <w:p>
      <w:pPr>
        <w:spacing w:after="120"/>
      </w:pPr>
      <w:r>
        <w:t xml:space="preserve">MULTI.GET.LOC.REF — T24 standard, resolves the local-reference field positions for FT.NARRATIVE and SRC.CHANNEL on FUNDS.TRANSFER. This is the ONLY external routine call in the entire file — by far the simplest dependency footprint of any service reviewed, consistent with this being a pure read/enquiry operation with no posting logic.</w:t>
      </w:r>
    </w:p>
    <w:p>
      <w:pPr>
        <w:pStyle w:val="Heading1"/>
        <w:pBdr>
          <w:bottom w:val="single" w:color="2E5395" w:sz="6" w:space="4"/>
        </w:pBdr>
        <w:spacing w:after="150" w:before="300"/>
      </w:pPr>
      <w:r>
        <w:t xml:space="preserve">10. Cross-Service Connections</w:t>
      </w:r>
    </w:p>
    <w:p>
      <w:pPr>
        <w:pStyle w:val="ListParagraph"/>
        <w:numPr>
          <w:ilvl w:val="0"/>
          <w:numId w:val="1"/>
        </w:numPr>
        <w:spacing w:after="60"/>
      </w:pPr>
      <w:r>
        <w:t xml:space="preserve">Shares the FBNK.CIB.API.FT audit table with Create Outward Transfer (01), Authorise FT (04), and Create Nostro Transfer (05) — the same MSG.ID-to-FT.ID resolution mechanism seen in those services is reused here for enquiries.</w:t>
      </w:r>
    </w:p>
    <w:p>
      <w:pPr>
        <w:spacing w:after="120"/>
      </w:pPr>
      <w:r>
        <w:rPr>
          <w:i/>
          <w:iCs/>
        </w:rPr>
        <w:t xml:space="preserve">This reinforces the case (also raised in Document 05) for a single shared 'transfer identity resolution' component in the TPH/IRIS design, used consistently by Create, Authorize, and Enquiry operations alike, rather than each service reimplementing its own (slightly different) version of the same lookup.</w:t>
      </w:r>
    </w:p>
    <w:p>
      <w:pPr>
        <w:pStyle w:val="Heading1"/>
        <w:pBdr>
          <w:bottom w:val="single" w:color="2E5395" w:sz="6" w:space="4"/>
        </w:pBdr>
        <w:spacing w:after="150" w:before="300"/>
      </w:pPr>
      <w:r>
        <w:t xml:space="preserve">11. Recommended TPH/IRIS Migration Checklist for This Service</w:t>
      </w:r>
    </w:p>
    <w:p>
      <w:pPr>
        <w:spacing w:after="80"/>
      </w:pPr>
      <w:r>
        <w:t xml:space="preserve">☐  Decide whether to preserve the four duplicate response fields (§5 Finding) for backward compatibility, or clean them up — document the decision either way rather than silently carrying the duplication forward.</w:t>
      </w:r>
    </w:p>
    <w:p>
      <w:pPr>
        <w:spacing w:after="80"/>
      </w:pPr>
      <w:r>
        <w:t xml:space="preserve">☐  Fix the FT.OVERRIDE raw-VM inconsistency (§5 Finding) — convert to the same '^'-delimited convention used everywhere else in the service family, unless a specific consumer is confirmed to rely on the raw format.</w:t>
      </w:r>
    </w:p>
    <w:p>
      <w:pPr>
        <w:spacing w:after="80"/>
      </w:pPr>
      <w:r>
        <w:t xml:space="preserve">☐  Confirm the meaning of the ';2' vs ';1' FUNDS.TRANSFER$HIS generation suffixes with the T24 team before reproducing the four-tier lookup order in the new design.</w:t>
      </w:r>
    </w:p>
    <w:p>
      <w:pPr>
        <w:spacing w:after="80"/>
      </w:pPr>
      <w:r>
        <w:t xml:space="preserve">☐  Reproduce the reference-resolution logic's length-plus-prefix check (§3) — and consider applying this more robust version consistently to Authorise FT (Document 04) as well, which only has the prefix check.</w:t>
      </w:r>
    </w:p>
    <w:p>
      <w:pPr>
        <w:spacing w:after="80"/>
      </w:pPr>
      <w:r>
        <w:t xml:space="preserve">☐  Design the equivalent IRIS response as a proper structured/typed payload (JSON object) rather than a 49-field positional string — this is a natural opportunity given the hardcoded, non-configurable nature of the current response.</w:t>
      </w:r>
    </w:p>
    <w:p>
      <w:pPr>
        <w:spacing w:after="80"/>
      </w:pPr>
      <w:r>
        <w:t xml:space="preserve">☐  Reuse the shared transfer-identity-resolution component (§10) across Create, Authorize, and Enquiry endpoints rather than reimplementing the MSG.ID lookup separately.</w:t>
      </w:r>
    </w:p>
    <w:p>
      <w:pPr>
        <w:spacing w:after="80"/>
      </w:pPr>
      <w:r>
        <w:t xml:space="preserve">☐  Confirm whether the currency-prefix-stripped amount fields (positions 8 and 39) should be returned as strings or proper numeric types in the new API, and whether currency should be a separate field (likely yes, for a well-typed API).</w:t>
      </w:r>
    </w:p>
    <w:p>
      <w:pPr>
        <w:spacing w:after="80"/>
      </w:pPr>
      <w:r>
        <w:t xml:space="preserve">☐  Obtain a real sample request/response for this service (none was available for this review) to validate the field mapping the way earlier documents were validated against live samples.</w:t>
      </w:r>
    </w:p>
    <w:p>
      <w:pPr>
        <w:pStyle w:val="Heading1"/>
        <w:pBdr>
          <w:bottom w:val="single" w:color="2E5395" w:sz="6" w:space="4"/>
        </w:pBdr>
        <w:spacing w:after="150" w:before="300"/>
      </w:pPr>
      <w:r>
        <w:t xml:space="preserve">12. Code Evolution / Technical Debt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5"/>
        <w:gridCol w:w="1812"/>
        <w:gridCol w:w="5133"/>
      </w:tblGrid>
      <w:tr>
        <w:trPr>
          <w:tblHeader/>
        </w:trPr>
        <w:tc>
          <w:tcPr>
            <w:tcW w:type="dxa" w:w="2415"/>
            <w:shd w:fill="2E5395" w:val="clear"/>
            <w:tcMar>
              <w:top w:type="dxa" w:w="80"/>
              <w:left w:type="dxa" w:w="100"/>
              <w:bottom w:type="dxa" w:w="80"/>
              <w:right w:type="dxa" w:w="100"/>
            </w:tcMar>
          </w:tcPr>
          <w:p>
            <w:r>
              <w:rPr>
                <w:b/>
                <w:bCs/>
                <w:color w:val="FFFFFF"/>
              </w:rPr>
              <w:t xml:space="preserve">Marker / Author Tag</w:t>
            </w:r>
          </w:p>
        </w:tc>
        <w:tc>
          <w:tcPr>
            <w:tcW w:type="dxa" w:w="1812"/>
            <w:shd w:fill="2E5395" w:val="clear"/>
            <w:tcMar>
              <w:top w:type="dxa" w:w="80"/>
              <w:left w:type="dxa" w:w="100"/>
              <w:bottom w:type="dxa" w:w="80"/>
              <w:right w:type="dxa" w:w="100"/>
            </w:tcMar>
          </w:tcPr>
          <w:p>
            <w:r>
              <w:rPr>
                <w:b/>
                <w:bCs/>
                <w:color w:val="FFFFFF"/>
              </w:rPr>
              <w:t xml:space="preserve">Approx. Date</w:t>
            </w:r>
          </w:p>
        </w:tc>
        <w:tc>
          <w:tcPr>
            <w:tcW w:type="dxa" w:w="5133"/>
            <w:shd w:fill="2E5395" w:val="clear"/>
            <w:tcMar>
              <w:top w:type="dxa" w:w="80"/>
              <w:left w:type="dxa" w:w="100"/>
              <w:bottom w:type="dxa" w:w="80"/>
              <w:right w:type="dxa" w:w="100"/>
            </w:tcMar>
          </w:tcPr>
          <w:p>
            <w:r>
              <w:rPr>
                <w:b/>
                <w:bCs/>
                <w:color w:val="FFFFFF"/>
              </w:rPr>
              <w:t xml:space="preserve">What It Touched (from code)</w:t>
            </w:r>
          </w:p>
        </w:tc>
      </w:tr>
      <w:tr>
        <w:tc>
          <w:tcPr>
            <w:tcW w:type="dxa" w:w="2415"/>
            <w:tcMar>
              <w:top w:type="dxa" w:w="60"/>
              <w:left w:type="dxa" w:w="100"/>
              <w:bottom w:type="dxa" w:w="60"/>
              <w:right w:type="dxa" w:w="100"/>
            </w:tcMar>
          </w:tcPr>
          <w:p>
            <w:r>
              <w:rPr>
                <w:b w:val="false"/>
                <w:bCs w:val="false"/>
              </w:rPr>
              <w:t xml:space="preserve">HALAFAWY</w:t>
            </w:r>
          </w:p>
        </w:tc>
        <w:tc>
          <w:tcPr>
            <w:tcW w:type="dxa" w:w="1812"/>
            <w:tcMar>
              <w:top w:type="dxa" w:w="60"/>
              <w:left w:type="dxa" w:w="100"/>
              <w:bottom w:type="dxa" w:w="60"/>
              <w:right w:type="dxa" w:w="100"/>
            </w:tcMar>
          </w:tcPr>
          <w:p>
            <w:r>
              <w:rPr>
                <w:b w:val="false"/>
                <w:bCs w:val="false"/>
              </w:rPr>
              <w:t xml:space="preserve">03-Sep-2013 (original)</w:t>
            </w:r>
          </w:p>
        </w:tc>
        <w:tc>
          <w:tcPr>
            <w:tcW w:type="dxa" w:w="5133"/>
            <w:tcMar>
              <w:top w:type="dxa" w:w="60"/>
              <w:left w:type="dxa" w:w="100"/>
              <w:bottom w:type="dxa" w:w="60"/>
              <w:right w:type="dxa" w:w="100"/>
            </w:tcMar>
          </w:tcPr>
          <w:p>
            <w:r>
              <w:rPr>
                <w:b w:val="false"/>
                <w:bCs w:val="false"/>
              </w:rPr>
              <w:t xml:space="preserve">Original routine creation</w:t>
            </w:r>
          </w:p>
        </w:tc>
      </w:tr>
      <w:tr>
        <w:tc>
          <w:tcPr>
            <w:tcW w:type="dxa" w:w="2415"/>
            <w:tcMar>
              <w:top w:type="dxa" w:w="60"/>
              <w:left w:type="dxa" w:w="100"/>
              <w:bottom w:type="dxa" w:w="60"/>
              <w:right w:type="dxa" w:w="100"/>
            </w:tcMar>
          </w:tcPr>
          <w:p>
            <w:r>
              <w:rPr>
                <w:b w:val="false"/>
                <w:bCs w:val="false"/>
              </w:rPr>
              <w:t xml:space="preserve">Ravikant / MCBCS-20180702</w:t>
            </w:r>
          </w:p>
        </w:tc>
        <w:tc>
          <w:tcPr>
            <w:tcW w:type="dxa" w:w="1812"/>
            <w:tcMar>
              <w:top w:type="dxa" w:w="60"/>
              <w:left w:type="dxa" w:w="100"/>
              <w:bottom w:type="dxa" w:w="60"/>
              <w:right w:type="dxa" w:w="100"/>
            </w:tcMar>
          </w:tcPr>
          <w:p>
            <w:r>
              <w:rPr>
                <w:b w:val="false"/>
                <w:bCs w:val="false"/>
              </w:rPr>
              <w:t xml:space="preserve">02-Jul-2018</w:t>
            </w:r>
          </w:p>
        </w:tc>
        <w:tc>
          <w:tcPr>
            <w:tcW w:type="dxa" w:w="5133"/>
            <w:tcMar>
              <w:top w:type="dxa" w:w="60"/>
              <w:left w:type="dxa" w:w="100"/>
              <w:bottom w:type="dxa" w:w="60"/>
              <w:right w:type="dxa" w:w="100"/>
            </w:tcMar>
          </w:tcPr>
          <w:p>
            <w:r>
              <w:rPr>
                <w:b w:val="false"/>
                <w:bCs w:val="false"/>
              </w:rPr>
              <w:t xml:space="preserve">R18 upgrade retrofit — comparison-operator modernization, F.READ conversions</w:t>
            </w:r>
          </w:p>
        </w:tc>
      </w:tr>
      <w:tr>
        <w:tc>
          <w:tcPr>
            <w:tcW w:type="dxa" w:w="2415"/>
            <w:tcMar>
              <w:top w:type="dxa" w:w="60"/>
              <w:left w:type="dxa" w:w="100"/>
              <w:bottom w:type="dxa" w:w="60"/>
              <w:right w:type="dxa" w:w="100"/>
            </w:tcMar>
          </w:tcPr>
          <w:p>
            <w:r>
              <w:rPr>
                <w:b w:val="false"/>
                <w:bCs w:val="false"/>
              </w:rPr>
              <w:t xml:space="preserve">(unattributed) 20170920</w:t>
            </w:r>
          </w:p>
        </w:tc>
        <w:tc>
          <w:tcPr>
            <w:tcW w:type="dxa" w:w="1812"/>
            <w:tcMar>
              <w:top w:type="dxa" w:w="60"/>
              <w:left w:type="dxa" w:w="100"/>
              <w:bottom w:type="dxa" w:w="60"/>
              <w:right w:type="dxa" w:w="100"/>
            </w:tcMar>
          </w:tcPr>
          <w:p>
            <w:r>
              <w:rPr>
                <w:b w:val="false"/>
                <w:bCs w:val="false"/>
              </w:rPr>
              <w:t xml:space="preserve">20-Sep-2017</w:t>
            </w:r>
          </w:p>
        </w:tc>
        <w:tc>
          <w:tcPr>
            <w:tcW w:type="dxa" w:w="5133"/>
            <w:tcMar>
              <w:top w:type="dxa" w:w="60"/>
              <w:left w:type="dxa" w:w="100"/>
              <w:bottom w:type="dxa" w:w="60"/>
              <w:right w:type="dxa" w:w="100"/>
            </w:tcMar>
          </w:tcPr>
          <w:p>
            <w:r>
              <w:rPr>
                <w:b w:val="false"/>
                <w:bCs w:val="false"/>
              </w:rPr>
              <w:t xml:space="preserve">Switched debited/credited amount fields from FT.DEBIT.AMOUNT/FT.CREDIT.AMOUNT to the computed FT.AMOUNT.DEBITED/FT.AMOUNT.CREDITED with [4,20] currency-stripping, specifically to prevent null values — this is also the point the two amount fields' 'requested vs actual' distinction (§5, position 8) was introduced</w:t>
            </w:r>
          </w:p>
        </w:tc>
      </w:tr>
      <w:tr>
        <w:tc>
          <w:tcPr>
            <w:tcW w:type="dxa" w:w="2415"/>
            <w:tcMar>
              <w:top w:type="dxa" w:w="60"/>
              <w:left w:type="dxa" w:w="100"/>
              <w:bottom w:type="dxa" w:w="60"/>
              <w:right w:type="dxa" w:w="100"/>
            </w:tcMar>
          </w:tcPr>
          <w:p>
            <w:r>
              <w:rPr>
                <w:b w:val="false"/>
                <w:bCs w:val="false"/>
              </w:rPr>
              <w:t xml:space="preserve">HEND</w:t>
            </w:r>
          </w:p>
        </w:tc>
        <w:tc>
          <w:tcPr>
            <w:tcW w:type="dxa" w:w="1812"/>
            <w:tcMar>
              <w:top w:type="dxa" w:w="60"/>
              <w:left w:type="dxa" w:w="100"/>
              <w:bottom w:type="dxa" w:w="60"/>
              <w:right w:type="dxa" w:w="100"/>
            </w:tcMar>
          </w:tcPr>
          <w:p>
            <w:r>
              <w:rPr>
                <w:b w:val="false"/>
                <w:bCs w:val="false"/>
              </w:rPr>
              <w:t xml:space="preserve">18-Dec-2023</w:t>
            </w:r>
          </w:p>
        </w:tc>
        <w:tc>
          <w:tcPr>
            <w:tcW w:type="dxa" w:w="5133"/>
            <w:tcMar>
              <w:top w:type="dxa" w:w="60"/>
              <w:left w:type="dxa" w:w="100"/>
              <w:bottom w:type="dxa" w:w="60"/>
              <w:right w:type="dxa" w:w="100"/>
            </w:tcMar>
          </w:tcPr>
          <w:p>
            <w:r>
              <w:rPr>
                <w:b w:val="false"/>
                <w:bCs w:val="false"/>
              </w:rPr>
              <w:t xml:space="preserve">Added the SRC.CHANNEL local-reference field (response position 49) — the most recent addition, and on its own; not obviously connected to the pre-existing FT.NARRATIVE duplication (position 19/30), suggesting these accumulated independently over separate patches</w:t>
            </w:r>
          </w:p>
        </w:tc>
      </w:tr>
    </w:tbl>
    <w:p>
      <w:pPr>
        <w:pStyle w:val="Heading1"/>
        <w:pBdr>
          <w:bottom w:val="single" w:color="2E5395" w:sz="6" w:space="4"/>
        </w:pBdr>
        <w:spacing w:after="150" w:before="300"/>
      </w:pPr>
      <w:r>
        <w:t xml:space="preserve">13. Open Questions / Assumptions for the Team</w:t>
      </w:r>
    </w:p>
    <w:p>
      <w:pPr>
        <w:pStyle w:val="ListParagraph"/>
        <w:numPr>
          <w:ilvl w:val="0"/>
          <w:numId w:val="1"/>
        </w:numPr>
        <w:spacing w:after="60"/>
      </w:pPr>
      <w:r>
        <w:t xml:space="preserve">Are the four duplicate response fields (§5) relied upon by any existing channel in their current (duplicated) form, or can they be safely consolidated?</w:t>
      </w:r>
    </w:p>
    <w:p>
      <w:pPr>
        <w:pStyle w:val="ListParagraph"/>
        <w:numPr>
          <w:ilvl w:val="0"/>
          <w:numId w:val="1"/>
        </w:numPr>
        <w:spacing w:after="60"/>
      </w:pPr>
      <w:r>
        <w:t xml:space="preserve">What do the ';1' and ';2' FUNDS.TRANSFER$HIS generation suffixes represent, and is ';2' always checked before ';1' for a good reason (e.g. ';2' being the more recent/likely version)?</w:t>
      </w:r>
    </w:p>
    <w:p>
      <w:pPr>
        <w:pStyle w:val="ListParagraph"/>
        <w:numPr>
          <w:ilvl w:val="0"/>
          <w:numId w:val="1"/>
        </w:numPr>
        <w:spacing w:after="60"/>
      </w:pPr>
      <w:r>
        <w:t xml:space="preserve">Is the raw (non-VM-converted) FT.OVERRIDE field (§5 Finding) intentional for this specific service, or an oversight relative to the rest of the family?</w:t>
      </w:r>
    </w:p>
    <w:p>
      <w:pPr>
        <w:pStyle w:val="ListParagraph"/>
        <w:numPr>
          <w:ilvl w:val="0"/>
          <w:numId w:val="1"/>
        </w:numPr>
        <w:spacing w:after="60"/>
      </w:pPr>
      <w:r>
        <w:t xml:space="preserve">Should Authorise FT (Document 04) adopt this service's more robust length-plus-prefix reference-resolution check?</w:t>
      </w:r>
    </w:p>
    <w:p>
      <w:pPr>
        <w:pStyle w:val="ListParagraph"/>
        <w:numPr>
          <w:ilvl w:val="0"/>
          <w:numId w:val="1"/>
        </w:numPr>
        <w:spacing w:after="60"/>
      </w:pPr>
      <w:r>
        <w:t xml:space="preserve">Is a real sample available to validate the full 49-field response mapping end-to-end?</w:t>
      </w:r>
    </w:p>
    <w:p>
      <w:pPr>
        <w:pStyle w:val="Heading1"/>
        <w:pBdr>
          <w:bottom w:val="single" w:color="2E5395" w:sz="6" w:space="4"/>
        </w:pBdr>
        <w:spacing w:after="150" w:before="300"/>
      </w:pPr>
      <w:r>
        <w:t xml:space="preserve">14.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(Payments)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Get FT Details (1026)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2026-09-02T05:51:23.721Z</dcterms:created>
  <dcterms:modified xsi:type="dcterms:W3CDTF">2026-09-02T05:51:23.733Z</dcterms:modified>
</cp:coreProperties>
</file>

<file path=docProps/custom.xml><?xml version="1.0" encoding="utf-8"?>
<Properties xmlns="http://schemas.openxmlformats.org/officeDocument/2006/custom-properties" xmlns:vt="http://schemas.openxmlformats.org/officeDocument/2006/docPropsVTypes"/>
</file>