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color w:val="1F3864"/>
          <w:sz w:val="34"/>
          <w:szCs w:val="34"/>
        </w:rPr>
        <w:t xml:space="preserve">Service Analysis: Simulate Fees &amp; Calculate Commission (FT08)</w:t>
      </w:r>
    </w:p>
    <w:p>
      <w:pPr>
        <w:spacing w:after="300"/>
      </w:pPr>
      <w:r>
        <w:rPr>
          <w:i/>
          <w:iCs/>
          <w:color w:val="555555"/>
          <w:sz w:val="22"/>
          <w:szCs w:val="22"/>
        </w:rPr>
        <w:t xml:space="preserve">T24 R20/FT → TPH R25/IRIS API Migration Audit</w:t>
      </w:r>
    </w:p>
    <w:p>
      <w:pPr>
        <w:spacing w:after="60"/>
      </w:pPr>
      <w:r>
        <w:rPr>
          <w:b/>
          <w:bCs/>
        </w:rPr>
        <w:t xml:space="preserve">Source Routine: </w:t>
      </w:r>
      <w:r>
        <w:t xml:space="preserve">CIB.SIMULATE.CALC.FT</w:t>
      </w:r>
    </w:p>
    <w:p>
      <w:pPr>
        <w:spacing w:after="60"/>
      </w:pPr>
      <w:r>
        <w:rPr>
          <w:b/>
          <w:bCs/>
        </w:rPr>
        <w:t xml:space="preserve">Type: </w:t>
      </w:r>
      <w:r>
        <w:t xml:space="preserve">Generic Config-Driven OFS Translator Routine (Custom Call Routine)</w:t>
      </w:r>
    </w:p>
    <w:p>
      <w:pPr>
        <w:spacing w:after="60"/>
      </w:pPr>
      <w:r>
        <w:rPr>
          <w:b/>
          <w:bCs/>
        </w:rPr>
        <w:t xml:space="preserve">Current Version: </w:t>
      </w:r>
      <w:r>
        <w:t xml:space="preserve">T24 R20 / FT (OFS)</w:t>
      </w:r>
    </w:p>
    <w:p>
      <w:pPr>
        <w:spacing w:after="60"/>
      </w:pPr>
      <w:r>
        <w:rPr>
          <w:b/>
          <w:bCs/>
        </w:rPr>
        <w:t xml:space="preserve">Target: </w:t>
      </w:r>
      <w:r>
        <w:t xml:space="preserve">TPH R25 / IRIS API</w:t>
      </w:r>
    </w:p>
    <w:p>
      <w:pPr>
        <w:spacing w:after="60"/>
      </w:pPr>
      <w:r>
        <w:rPr>
          <w:b/>
          <w:bCs/>
        </w:rPr>
        <w:t xml:space="preserve">Service ID (SRVC.ID): </w:t>
      </w:r>
      <w:r>
        <w:t xml:space="preserve">FT08 — this instance of the generic routine, configured for outward-transfer fee simulation and commission calculation via CIB.MSG.CONFIG / CIB.API.CONFIG.XML</w:t>
      </w:r>
    </w:p>
    <w:p>
      <w:pPr>
        <w:spacing w:after="60"/>
      </w:pPr>
      <w:r>
        <w:rPr>
          <w:b/>
          <w:bCs/>
        </w:rPr>
        <w:t xml:space="preserve">Used By: </w:t>
      </w:r>
      <w:r>
        <w:t xml:space="preserve">Any channel invoking the fee-simulation/commission-calculation step ahead of or during an outward transfer (mobile/internet banking, Business Banking portal, branch/API clients)</w:t>
      </w:r>
    </w:p>
    <w:p>
      <w:pPr>
        <w:spacing w:after="120"/>
      </w:pPr>
      <w:r>
        <w:rPr>
          <w:b/>
          <w:bCs/>
          <w:color w:val="C00000"/>
        </w:rPr>
        <w:t xml:space="preserve">Important structural note: unlike CIB.OT.FT (fixed positional pipe-delimited fields), this routine is a generic name/value tag engine — the input field list, the OFS field mapping, and the response shape are ALL driven by per-service configuration tables (CIB.MSG.CONFIG, CIB.API.CONFIG.XML), not hardcoded in this routine. The same routine could be reused for a different service by changing config alone. This changes the migration approach: the config tables themselves are part of the contract that must be captured, not just the code.</w:t>
      </w:r>
    </w:p>
    <w:p>
      <w:pPr>
        <w:pStyle w:val="Heading1"/>
        <w:pBdr>
          <w:bottom w:val="single" w:color="2E5395" w:sz="6" w:space="4"/>
        </w:pBdr>
        <w:spacing w:after="150" w:before="30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tblHeader/>
        </w:trPr>
        <w:tc>
          <w:tcPr>
            <w:tcW w:type="dxa" w:w="2895"/>
            <w:shd w:fill="2E5395" w:val="clear"/>
            <w:tcMar>
              <w:top w:type="dxa" w:w="80"/>
              <w:left w:type="dxa" w:w="100"/>
              <w:bottom w:type="dxa" w:w="80"/>
              <w:right w:type="dxa" w:w="100"/>
            </w:tcMar>
          </w:tcPr>
          <w:p>
            <w:r>
              <w:rPr>
                <w:b/>
                <w:bCs/>
                <w:color w:val="FFFFFF"/>
              </w:rPr>
              <w:t xml:space="preserve">Field</w:t>
            </w:r>
          </w:p>
        </w:tc>
        <w:tc>
          <w:tcPr>
            <w:tcW w:type="dxa" w:w="6465"/>
            <w:shd w:fill="2E5395" w:val="clear"/>
            <w:tcMar>
              <w:top w:type="dxa" w:w="80"/>
              <w:left w:type="dxa" w:w="100"/>
              <w:bottom w:type="dxa" w:w="80"/>
              <w:right w:type="dxa" w:w="100"/>
            </w:tcMar>
          </w:tcPr>
          <w:p>
            <w:r>
              <w:rPr>
                <w:b/>
                <w:bCs/>
                <w:color w:val="FFFFFF"/>
              </w:rPr>
              <w:t xml:space="preserve">Value</w:t>
            </w:r>
          </w:p>
        </w:tc>
      </w:tr>
      <w:tr>
        <w:tc>
          <w:tcPr>
            <w:tcW w:type="dxa" w:w="2895"/>
            <w:tcMar>
              <w:top w:type="dxa" w:w="60"/>
              <w:left w:type="dxa" w:w="100"/>
              <w:bottom w:type="dxa" w:w="60"/>
              <w:right w:type="dxa" w:w="100"/>
            </w:tcMar>
          </w:tcPr>
          <w:p>
            <w:r>
              <w:rPr>
                <w:b w:val="false"/>
                <w:bCs w:val="false"/>
              </w:rPr>
              <w:t xml:space="preserve">Document Title</w:t>
            </w:r>
          </w:p>
        </w:tc>
        <w:tc>
          <w:tcPr>
            <w:tcW w:type="dxa" w:w="6465"/>
            <w:tcMar>
              <w:top w:type="dxa" w:w="60"/>
              <w:left w:type="dxa" w:w="100"/>
              <w:bottom w:type="dxa" w:w="60"/>
              <w:right w:type="dxa" w:w="100"/>
            </w:tcMar>
          </w:tcPr>
          <w:p>
            <w:r>
              <w:rPr>
                <w:b w:val="false"/>
                <w:bCs w:val="false"/>
              </w:rPr>
              <w:t xml:space="preserve">Service Analysis — Simulate Fees &amp; Calculate Commission (CIB.SIMULATE.CALC.FT / FT08)</w:t>
            </w:r>
          </w:p>
        </w:tc>
      </w:tr>
      <w:tr>
        <w:tc>
          <w:tcPr>
            <w:tcW w:type="dxa" w:w="2895"/>
            <w:tcMar>
              <w:top w:type="dxa" w:w="60"/>
              <w:left w:type="dxa" w:w="100"/>
              <w:bottom w:type="dxa" w:w="60"/>
              <w:right w:type="dxa" w:w="100"/>
            </w:tcMar>
          </w:tcPr>
          <w:p>
            <w:r>
              <w:rPr>
                <w:b w:val="false"/>
                <w:bCs w:val="false"/>
              </w:rPr>
              <w:t xml:space="preserve">Version</w:t>
            </w:r>
          </w:p>
        </w:tc>
        <w:tc>
          <w:tcPr>
            <w:tcW w:type="dxa" w:w="6465"/>
            <w:tcMar>
              <w:top w:type="dxa" w:w="60"/>
              <w:left w:type="dxa" w:w="100"/>
              <w:bottom w:type="dxa" w:w="60"/>
              <w:right w:type="dxa" w:w="100"/>
            </w:tcMar>
          </w:tcPr>
          <w:p>
            <w:r>
              <w:rPr>
                <w:b w:val="false"/>
                <w:bCs w:val="false"/>
              </w:rPr>
              <w:t xml:space="preserve">1.0 — Draft, pending peer review</w:t>
            </w:r>
          </w:p>
        </w:tc>
      </w:tr>
      <w:tr>
        <w:tc>
          <w:tcPr>
            <w:tcW w:type="dxa" w:w="2895"/>
            <w:tcMar>
              <w:top w:type="dxa" w:w="60"/>
              <w:left w:type="dxa" w:w="100"/>
              <w:bottom w:type="dxa" w:w="60"/>
              <w:right w:type="dxa" w:w="100"/>
            </w:tcMar>
          </w:tcPr>
          <w:p>
            <w:r>
              <w:rPr>
                <w:b w:val="false"/>
                <w:bCs w:val="false"/>
              </w:rPr>
              <w:t xml:space="preserve">Prepared For</w:t>
            </w:r>
          </w:p>
        </w:tc>
        <w:tc>
          <w:tcPr>
            <w:tcW w:type="dxa" w:w="6465"/>
            <w:tcMar>
              <w:top w:type="dxa" w:w="60"/>
              <w:left w:type="dxa" w:w="100"/>
              <w:bottom w:type="dxa" w:w="60"/>
              <w:right w:type="dxa" w:w="100"/>
            </w:tcMar>
          </w:tcPr>
          <w:p>
            <w:r>
              <w:rPr>
                <w:b w:val="false"/>
                <w:bCs w:val="false"/>
              </w:rPr>
              <w:t xml:space="preserve">T24 R20→R25 / FT→TPH Migration Programme</w:t>
            </w:r>
          </w:p>
        </w:tc>
      </w:tr>
      <w:tr>
        <w:tc>
          <w:tcPr>
            <w:tcW w:type="dxa" w:w="2895"/>
            <w:tcMar>
              <w:top w:type="dxa" w:w="60"/>
              <w:left w:type="dxa" w:w="100"/>
              <w:bottom w:type="dxa" w:w="60"/>
              <w:right w:type="dxa" w:w="100"/>
            </w:tcMar>
          </w:tcPr>
          <w:p>
            <w:r>
              <w:rPr>
                <w:b w:val="false"/>
                <w:bCs w:val="false"/>
              </w:rPr>
              <w:t xml:space="preserve">Prepared Basis</w:t>
            </w:r>
          </w:p>
        </w:tc>
        <w:tc>
          <w:tcPr>
            <w:tcW w:type="dxa" w:w="6465"/>
            <w:tcMar>
              <w:top w:type="dxa" w:w="60"/>
              <w:left w:type="dxa" w:w="100"/>
              <w:bottom w:type="dxa" w:w="60"/>
              <w:right w:type="dxa" w:w="100"/>
            </w:tcMar>
          </w:tcPr>
          <w:p>
            <w:r>
              <w:rPr>
                <w:b w:val="false"/>
                <w:bCs w:val="false"/>
              </w:rPr>
              <w:t xml:space="preserve">Static code review of CIB.SIMULATE.CALC.FT (as supplied)</w:t>
            </w:r>
          </w:p>
        </w:tc>
      </w:tr>
      <w:tr>
        <w:tc>
          <w:tcPr>
            <w:tcW w:type="dxa" w:w="2895"/>
            <w:tcMar>
              <w:top w:type="dxa" w:w="60"/>
              <w:left w:type="dxa" w:w="100"/>
              <w:bottom w:type="dxa" w:w="60"/>
              <w:right w:type="dxa" w:w="100"/>
            </w:tcMar>
          </w:tcPr>
          <w:p>
            <w:r>
              <w:rPr>
                <w:b w:val="false"/>
                <w:bCs w:val="false"/>
              </w:rPr>
              <w:t xml:space="preserve">Last Updated</w:t>
            </w:r>
          </w:p>
        </w:tc>
        <w:tc>
          <w:tcPr>
            <w:tcW w:type="dxa" w:w="6465"/>
            <w:tcMar>
              <w:top w:type="dxa" w:w="60"/>
              <w:left w:type="dxa" w:w="100"/>
              <w:bottom w:type="dxa" w:w="60"/>
              <w:right w:type="dxa" w:w="100"/>
            </w:tcMar>
          </w:tcPr>
          <w:p>
            <w:r>
              <w:rPr>
                <w:b w:val="false"/>
                <w:bCs w:val="false"/>
              </w:rPr>
              <w:t xml:space="preserve">24-Aug-2026</w:t>
            </w:r>
          </w:p>
        </w:tc>
      </w:tr>
      <w:tr>
        <w:tc>
          <w:tcPr>
            <w:tcW w:type="dxa" w:w="2895"/>
            <w:tcMar>
              <w:top w:type="dxa" w:w="60"/>
              <w:left w:type="dxa" w:w="100"/>
              <w:bottom w:type="dxa" w:w="60"/>
              <w:right w:type="dxa" w:w="100"/>
            </w:tcMar>
          </w:tcPr>
          <w:p>
            <w:r>
              <w:rPr>
                <w:b w:val="false"/>
                <w:bCs w:val="false"/>
              </w:rPr>
              <w:t xml:space="preserve">Related Documents</w:t>
            </w:r>
          </w:p>
        </w:tc>
        <w:tc>
          <w:tcPr>
            <w:tcW w:type="dxa" w:w="6465"/>
            <w:tcMar>
              <w:top w:type="dxa" w:w="60"/>
              <w:left w:type="dxa" w:w="100"/>
              <w:bottom w:type="dxa" w:w="60"/>
              <w:right w:type="dxa" w:w="100"/>
            </w:tcMar>
          </w:tcPr>
          <w:p>
            <w:r>
              <w:rPr>
                <w:b w:val="false"/>
                <w:bCs w:val="false"/>
              </w:rPr>
              <w:t xml:space="preserve">01 — Create Outward Transfer (CIB.OT.FT); CIB.MSG.CONFIG table export for FT08 (pending); CIB.API.CONFIG.XML table export for FT08 (pending); CIB.CALCULATE.CONCESSION audit (pending)</w:t>
            </w:r>
          </w:p>
        </w:tc>
      </w:tr>
    </w:tbl>
    <w:p>
      <w:pPr>
        <w:pStyle w:val="Heading1"/>
        <w:pBdr>
          <w:bottom w:val="single" w:color="2E5395" w:sz="6" w:space="4"/>
        </w:pBdr>
        <w:spacing w:after="150" w:before="300"/>
      </w:pPr>
      <w:r>
        <w:t xml:space="preserve">Executive Summary</w:t>
      </w:r>
    </w:p>
    <w:p>
      <w:pPr>
        <w:spacing w:after="120"/>
      </w:pPr>
      <w:r>
        <w:t xml:space="preserve">CIB.SIMULATE.CALC.FT is a generic, config-driven OFS message translator shared potentially across multiple services; FT08 is the specific configuration used to simulate/calculate outward-transfer fees and commission. Unlike CIB.OT.FT, almost none of the field-to-OFS mapping is hardcoded — it is entirely dependent on two configuration tables (CIB.MSG.CONFIG and CIB.API.CONFIG.XML). Migration risk here is concentrated less in the routine's own code and more in: (a) faithfully capturing what the FT08 configuration rows actually contain today, and (b) reproducing a multi-layered commission calculation with three stacked override mechanisms (standard tariff calculation → channel-forced override for specific commission types → concession-engine override) whose precedence order is easy to get wrong.</w:t>
      </w:r>
    </w:p>
    <w:p>
      <w:pPr>
        <w:pStyle w:val="Heading2"/>
        <w:spacing w:after="120" w:before="260"/>
      </w:pPr>
      <w:r>
        <w:t xml:space="preserve">Risk &amp; Priority Rating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9"/>
        <w:gridCol w:w="1544"/>
        <w:gridCol w:w="5307"/>
      </w:tblGrid>
      <w:tr>
        <w:trPr>
          <w:tblHeader/>
        </w:trPr>
        <w:tc>
          <w:tcPr>
            <w:tcW w:type="dxa" w:w="2509"/>
            <w:shd w:fill="2E5395" w:val="clear"/>
            <w:tcMar>
              <w:top w:type="dxa" w:w="80"/>
              <w:left w:type="dxa" w:w="100"/>
              <w:bottom w:type="dxa" w:w="80"/>
              <w:right w:type="dxa" w:w="100"/>
            </w:tcMar>
          </w:tcPr>
          <w:p>
            <w:r>
              <w:rPr>
                <w:b/>
                <w:bCs/>
                <w:color w:val="FFFFFF"/>
              </w:rPr>
              <w:t xml:space="preserve">Dimension</w:t>
            </w:r>
          </w:p>
        </w:tc>
        <w:tc>
          <w:tcPr>
            <w:tcW w:type="dxa" w:w="1544"/>
            <w:shd w:fill="2E5395" w:val="clear"/>
            <w:tcMar>
              <w:top w:type="dxa" w:w="80"/>
              <w:left w:type="dxa" w:w="100"/>
              <w:bottom w:type="dxa" w:w="80"/>
              <w:right w:type="dxa" w:w="100"/>
            </w:tcMar>
          </w:tcPr>
          <w:p>
            <w:r>
              <w:rPr>
                <w:b/>
                <w:bCs/>
                <w:color w:val="FFFFFF"/>
              </w:rPr>
              <w:t xml:space="preserve">Rating</w:t>
            </w:r>
          </w:p>
        </w:tc>
        <w:tc>
          <w:tcPr>
            <w:tcW w:type="dxa" w:w="5307"/>
            <w:shd w:fill="2E5395" w:val="clear"/>
            <w:tcMar>
              <w:top w:type="dxa" w:w="80"/>
              <w:left w:type="dxa" w:w="100"/>
              <w:bottom w:type="dxa" w:w="80"/>
              <w:right w:type="dxa" w:w="100"/>
            </w:tcMar>
          </w:tcPr>
          <w:p>
            <w:r>
              <w:rPr>
                <w:b/>
                <w:bCs/>
                <w:color w:val="FFFFFF"/>
              </w:rPr>
              <w:t xml:space="preserve">Rationale</w:t>
            </w:r>
          </w:p>
        </w:tc>
      </w:tr>
      <w:tr>
        <w:tc>
          <w:tcPr>
            <w:tcW w:type="dxa" w:w="2509"/>
            <w:tcMar>
              <w:top w:type="dxa" w:w="60"/>
              <w:left w:type="dxa" w:w="100"/>
              <w:bottom w:type="dxa" w:w="60"/>
              <w:right w:type="dxa" w:w="100"/>
            </w:tcMar>
          </w:tcPr>
          <w:p>
            <w:r>
              <w:rPr>
                <w:b w:val="false"/>
                <w:bCs w:val="false"/>
              </w:rPr>
              <w:t xml:space="preserve">Business Criticality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Determines the fee the customer is quoted and ultimately charged for an outward transfer — directly affects customer trust and revenue</w:t>
            </w:r>
          </w:p>
        </w:tc>
      </w:tr>
      <w:tr>
        <w:tc>
          <w:tcPr>
            <w:tcW w:type="dxa" w:w="2509"/>
            <w:tcMar>
              <w:top w:type="dxa" w:w="60"/>
              <w:left w:type="dxa" w:w="100"/>
              <w:bottom w:type="dxa" w:w="60"/>
              <w:right w:type="dxa" w:w="100"/>
            </w:tcMar>
          </w:tcPr>
          <w:p>
            <w:r>
              <w:rPr>
                <w:b w:val="false"/>
                <w:bCs w:val="false"/>
              </w:rPr>
              <w:t xml:space="preserve">Migration Complexity</w:t>
            </w:r>
          </w:p>
        </w:tc>
        <w:tc>
          <w:tcPr>
            <w:tcW w:type="dxa" w:w="1544"/>
            <w:tcMar>
              <w:top w:type="dxa" w:w="60"/>
              <w:left w:type="dxa" w:w="100"/>
              <w:bottom w:type="dxa" w:w="60"/>
              <w:right w:type="dxa" w:w="100"/>
            </w:tcMar>
          </w:tcPr>
          <w:p>
            <w:r>
              <w:rPr>
                <w:b w:val="false"/>
                <w:bCs w:val="false"/>
              </w:rPr>
              <w:t xml:space="preserve">Very High</w:t>
            </w:r>
          </w:p>
        </w:tc>
        <w:tc>
          <w:tcPr>
            <w:tcW w:type="dxa" w:w="5307"/>
            <w:tcMar>
              <w:top w:type="dxa" w:w="60"/>
              <w:left w:type="dxa" w:w="100"/>
              <w:bottom w:type="dxa" w:w="60"/>
              <w:right w:type="dxa" w:w="100"/>
            </w:tcMar>
          </w:tcPr>
          <w:p>
            <w:r>
              <w:rPr>
                <w:b w:val="false"/>
                <w:bCs w:val="false"/>
              </w:rPr>
              <w:t xml:space="preserve">Entire behavior is config-driven (2 tables) rather than hardcoded; 3-layer commission override stack; two-hop currency conversion; generic passthrough posting logic</w:t>
            </w:r>
          </w:p>
        </w:tc>
      </w:tr>
      <w:tr>
        <w:tc>
          <w:tcPr>
            <w:tcW w:type="dxa" w:w="2509"/>
            <w:tcMar>
              <w:top w:type="dxa" w:w="60"/>
              <w:left w:type="dxa" w:w="100"/>
              <w:bottom w:type="dxa" w:w="60"/>
              <w:right w:type="dxa" w:w="100"/>
            </w:tcMar>
          </w:tcPr>
          <w:p>
            <w:r>
              <w:rPr>
                <w:b w:val="false"/>
                <w:bCs w:val="false"/>
              </w:rPr>
              <w:t xml:space="preserve">Control/Compliance Sensitivity</w:t>
            </w:r>
          </w:p>
        </w:tc>
        <w:tc>
          <w:tcPr>
            <w:tcW w:type="dxa" w:w="1544"/>
            <w:tcMar>
              <w:top w:type="dxa" w:w="60"/>
              <w:left w:type="dxa" w:w="100"/>
              <w:bottom w:type="dxa" w:w="60"/>
              <w:right w:type="dxa" w:w="100"/>
            </w:tcMar>
          </w:tcPr>
          <w:p>
            <w:r>
              <w:rPr>
                <w:b w:val="false"/>
                <w:bCs w:val="false"/>
              </w:rPr>
              <w:t xml:space="preserve">High</w:t>
            </w:r>
          </w:p>
        </w:tc>
        <w:tc>
          <w:tcPr>
            <w:tcW w:type="dxa" w:w="5307"/>
            <w:tcMar>
              <w:top w:type="dxa" w:w="60"/>
              <w:left w:type="dxa" w:w="100"/>
              <w:bottom w:type="dxa" w:w="60"/>
              <w:right w:type="dxa" w:w="100"/>
            </w:tcMar>
          </w:tcPr>
          <w:p>
            <w:r>
              <w:rPr>
                <w:b w:val="false"/>
                <w:bCs w:val="false"/>
              </w:rPr>
              <w:t xml:space="preserve">Includes an explicit reconciliation signal (SAME_COMMISSON_RCVD) whose whole purpose is to catch cases where the applied fee differs from what was quoted — getting this wrong risks silently overcharging or undercharging customers</w:t>
            </w:r>
          </w:p>
        </w:tc>
      </w:tr>
      <w:tr>
        <w:tc>
          <w:tcPr>
            <w:tcW w:type="dxa" w:w="2509"/>
            <w:tcMar>
              <w:top w:type="dxa" w:w="60"/>
              <w:left w:type="dxa" w:w="100"/>
              <w:bottom w:type="dxa" w:w="60"/>
              <w:right w:type="dxa" w:w="100"/>
            </w:tcMar>
          </w:tcPr>
          <w:p>
            <w:r>
              <w:rPr>
                <w:b w:val="false"/>
                <w:bCs w:val="false"/>
              </w:rPr>
              <w:t xml:space="preserve">Testing Priority</w:t>
            </w:r>
          </w:p>
        </w:tc>
        <w:tc>
          <w:tcPr>
            <w:tcW w:type="dxa" w:w="1544"/>
            <w:tcMar>
              <w:top w:type="dxa" w:w="60"/>
              <w:left w:type="dxa" w:w="100"/>
              <w:bottom w:type="dxa" w:w="60"/>
              <w:right w:type="dxa" w:w="100"/>
            </w:tcMar>
          </w:tcPr>
          <w:p>
            <w:r>
              <w:rPr>
                <w:b w:val="false"/>
                <w:bCs w:val="false"/>
              </w:rPr>
              <w:t xml:space="preserve">P1 — test first, alongside Create Outward Transfer</w:t>
            </w:r>
          </w:p>
        </w:tc>
        <w:tc>
          <w:tcPr>
            <w:tcW w:type="dxa" w:w="5307"/>
            <w:tcMar>
              <w:top w:type="dxa" w:w="60"/>
              <w:left w:type="dxa" w:w="100"/>
              <w:bottom w:type="dxa" w:w="60"/>
              <w:right w:type="dxa" w:w="100"/>
            </w:tcMar>
          </w:tcPr>
          <w:p>
            <w:r>
              <w:rPr>
                <w:b w:val="false"/>
                <w:bCs w:val="false"/>
              </w:rPr>
              <w:t xml:space="preserve">Must be tested for every distinct FT08 config permutation (remove-tags list, response tag list), every currency-pair/two-hop scenario, and every override/concession combination</w:t>
            </w:r>
          </w:p>
        </w:tc>
      </w:tr>
    </w:tbl>
    <w:p>
      <w:pPr>
        <w:pStyle w:val="Heading1"/>
        <w:pBdr>
          <w:bottom w:val="single" w:color="2E5395" w:sz="6" w:space="4"/>
        </w:pBdr>
        <w:spacing w:after="150" w:before="300"/>
      </w:pPr>
      <w:r>
        <w:t xml:space="preserve">Service Description (Business View)</w:t>
      </w:r>
    </w:p>
    <w:p>
      <w:pPr>
        <w:spacing w:after="120"/>
      </w:pPr>
      <w:r>
        <w:t xml:space="preserve">This service answers the question a channel needs before (or while) sending money out: "how much commission/fees will this transfer cost, and who is really paying for it?" It is the fee-simulation and fee-calculation step that typically runs ahead of, or alongside, the actual outward transfer.</w:t>
      </w:r>
    </w:p>
    <w:p>
      <w:pPr>
        <w:spacing w:after="120"/>
      </w:pPr>
      <w:r>
        <w:t xml:space="preserve">In plain terms, when this service is called it:</w:t>
      </w:r>
    </w:p>
    <w:p>
      <w:pPr>
        <w:pStyle w:val="ListParagraph"/>
        <w:numPr>
          <w:ilvl w:val="0"/>
          <w:numId w:val="1"/>
        </w:numPr>
        <w:spacing w:after="60"/>
      </w:pPr>
      <w:r>
        <w:t xml:space="preserve">Works out which currency the commission itself should be charged in — the sender's account currency, or the beneficiary's, depending on who is set to bear the charges — and converts amounts between currencies as needed, including an unusual two-step conversion path (e.g. via EGP into USD) for certain currency combinations.</w:t>
      </w:r>
    </w:p>
    <w:p>
      <w:pPr>
        <w:pStyle w:val="ListParagraph"/>
        <w:numPr>
          <w:ilvl w:val="0"/>
          <w:numId w:val="1"/>
        </w:numPr>
        <w:spacing w:after="60"/>
      </w:pPr>
      <w:r>
        <w:t xml:space="preserve">For each requested fee/commission line, either uses the bank's standard tariff engine to calculate the amount from the customer's own conditions, or trusts an amount the channel already worked out itself.</w:t>
      </w:r>
    </w:p>
    <w:p>
      <w:pPr>
        <w:pStyle w:val="ListParagraph"/>
        <w:numPr>
          <w:ilvl w:val="0"/>
          <w:numId w:val="1"/>
        </w:numPr>
        <w:spacing w:after="60"/>
      </w:pPr>
      <w:r>
        <w:t xml:space="preserve">Applies any fee waiver percentage the customer is entitled to.</w:t>
      </w:r>
    </w:p>
    <w:p>
      <w:pPr>
        <w:pStyle w:val="ListParagraph"/>
        <w:numPr>
          <w:ilvl w:val="0"/>
          <w:numId w:val="1"/>
        </w:numPr>
        <w:spacing w:after="60"/>
      </w:pPr>
      <w:r>
        <w:t xml:space="preserve">For select transfer types, allows the channel to force a specific override fee amount instead of the calculated one — a controlled exception path.</w:t>
      </w:r>
    </w:p>
    <w:p>
      <w:pPr>
        <w:pStyle w:val="ListParagraph"/>
        <w:numPr>
          <w:ilvl w:val="0"/>
          <w:numId w:val="1"/>
        </w:numPr>
        <w:spacing w:after="60"/>
      </w:pPr>
      <w:r>
        <w:t xml:space="preserve">Runs a final concession check that can still adjust the fee, even after the override step.</w:t>
      </w:r>
    </w:p>
    <w:p>
      <w:pPr>
        <w:pStyle w:val="ListParagraph"/>
        <w:numPr>
          <w:ilvl w:val="0"/>
          <w:numId w:val="1"/>
        </w:numPr>
        <w:spacing w:after="60"/>
      </w:pPr>
      <w:r>
        <w:t xml:space="preserve">Drops any commission line that ends up being zero — it won't clutter the response or the ledger with zero-value fee lines.</w:t>
      </w:r>
    </w:p>
    <w:p>
      <w:pPr>
        <w:pStyle w:val="ListParagraph"/>
        <w:numPr>
          <w:ilvl w:val="0"/>
          <w:numId w:val="1"/>
        </w:numPr>
        <w:spacing w:after="60"/>
      </w:pPr>
      <w:r>
        <w:t xml:space="preserve">Protects an in-flight (not-yet-authorized) transfer from being tampered with: if this same record already has a pending amendment, a repeat call must come from the same channel with the same reference, or it's rejected.</w:t>
      </w:r>
    </w:p>
    <w:p>
      <w:pPr>
        <w:pStyle w:val="ListParagraph"/>
        <w:numPr>
          <w:ilvl w:val="0"/>
          <w:numId w:val="1"/>
        </w:numPr>
        <w:spacing w:after="60"/>
      </w:pPr>
      <w:r>
        <w:t xml:space="preserve">Guards against reprocessing: a repeat call with the same message ID that already succeeded gets the same answer back again, without recalculating.</w:t>
      </w:r>
    </w:p>
    <w:p>
      <w:pPr>
        <w:pStyle w:val="ListParagraph"/>
        <w:numPr>
          <w:ilvl w:val="0"/>
          <w:numId w:val="1"/>
        </w:numPr>
        <w:spacing w:after="60"/>
      </w:pPr>
      <w:r>
        <w:t xml:space="preserve">Sends back not just the final calculated fees, but — critically — a flag per fee line telling the channel whether the amount that actually got applied matches what the channel itself originally proposed. This is the channel's cue to know whether the price it already showed the customer is still accurate.</w:t>
      </w:r>
    </w:p>
    <w:p>
      <w:pPr>
        <w:spacing w:after="120"/>
      </w:pPr>
      <w:r>
        <w:rPr>
          <w:i/>
          <w:iCs/>
        </w:rPr>
        <w:t xml:space="preserve">Who uses it: any digital or branch channel that needs to show a customer the cost of an outward transfer before they confirm it, or that needs the final authoritative commission figures once the transfer itself is being processed.</w:t>
      </w:r>
    </w:p>
    <w:p>
      <w:pPr>
        <w:pStyle w:val="Heading1"/>
        <w:pBdr>
          <w:bottom w:val="single" w:color="2E5395" w:sz="6" w:space="4"/>
        </w:pBdr>
        <w:spacing w:after="150" w:before="300"/>
      </w:pPr>
      <w:r>
        <w:t xml:space="preserve">1. Purpose</w:t>
      </w:r>
    </w:p>
    <w:p>
      <w:pPr>
        <w:spacing w:after="120"/>
      </w:pPr>
      <w:r>
        <w:t xml:space="preserve">CIB.SIMULATE.CALC.FT is a generic OFS-in routine: it translates an inbound name/value tag message into an OFS call against a T24 application (typically FUNDS.TRANSFER, but configurable), calculates commission/charges as part of that translation, posts (or validates) it, and translates the OFS response back into a channel-facing response — with the exact input tags recognized, the OFS fields produced, and the response shape ALL defined by per-SRVC.ID configuration rather than hardcoded field lists.</w:t>
      </w:r>
    </w:p>
    <w:p>
      <w:pPr>
        <w:spacing w:after="120"/>
      </w:pPr>
      <w:r>
        <w:t xml:space="preserve">This is fundamentally more generic than CIB.OT.FT. Where CIB.OT.FT has ~51 fixed positional input fields and a hardcoded OFS field map, this routine has a small set of specially-handled "known" tags (listed in §2) plus an open-ended set of "pass everything else through unless the config says to remove it" fields. Migration must therefore capture the current FT08 configuration data, not just this code.</w:t>
      </w:r>
    </w:p>
    <w:p>
      <w:pPr>
        <w:pStyle w:val="Heading1"/>
        <w:pBdr>
          <w:bottom w:val="single" w:color="2E5395" w:sz="6" w:space="4"/>
        </w:pBdr>
        <w:spacing w:after="150" w:before="300"/>
      </w:pPr>
      <w:r>
        <w:t xml:space="preserve">2. Input Contract (Tag/Value Pairs — Config-Driven, Not Positional)</w:t>
      </w:r>
    </w:p>
    <w:p>
      <w:pPr>
        <w:spacing w:after="120"/>
      </w:pPr>
      <w:r>
        <w:rPr>
          <w:i/>
          <w:iCs/>
          <w:color w:val="555555"/>
        </w:rPr>
        <w:t xml:space="preserve">The raw I.PARAM is split into three pipe-delimited segments: (1) a header containing the service ID, (2) an FM-delimited list of TAG NAMES, and (3) an FM-delimited list of corresponding VALUES, positionally paired with the tag names. Because the tag list itself is open-ended (not a fixed field count like CIB.OT.FT), the table below documents every tag this routine specifically recognizes and treats specially — any tag NOT in this list is passed straight through to the OFS record as-is, unless the per-service CIB.MSG.CONFIG XML.TAGS.REMOVE list says to drop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3"/>
        <w:gridCol w:w="1636"/>
        <w:gridCol w:w="5362"/>
      </w:tblGrid>
      <w:tr>
        <w:trPr>
          <w:tblHeader/>
        </w:trPr>
        <w:tc>
          <w:tcPr>
            <w:tcW w:type="dxa" w:w="2363"/>
            <w:shd w:fill="2E5395" w:val="clear"/>
            <w:tcMar>
              <w:top w:type="dxa" w:w="80"/>
              <w:left w:type="dxa" w:w="100"/>
              <w:bottom w:type="dxa" w:w="80"/>
              <w:right w:type="dxa" w:w="100"/>
            </w:tcMar>
          </w:tcPr>
          <w:p>
            <w:r>
              <w:rPr>
                <w:b/>
                <w:bCs/>
                <w:color w:val="FFFFFF"/>
              </w:rPr>
              <w:t xml:space="preserve">Tag Name</w:t>
            </w:r>
          </w:p>
        </w:tc>
        <w:tc>
          <w:tcPr>
            <w:tcW w:type="dxa" w:w="1636"/>
            <w:shd w:fill="2E5395" w:val="clear"/>
            <w:tcMar>
              <w:top w:type="dxa" w:w="80"/>
              <w:left w:type="dxa" w:w="100"/>
              <w:bottom w:type="dxa" w:w="80"/>
              <w:right w:type="dxa" w:w="100"/>
            </w:tcMar>
          </w:tcPr>
          <w:p>
            <w:r>
              <w:rPr>
                <w:b/>
                <w:bCs/>
                <w:color w:val="FFFFFF"/>
              </w:rPr>
              <w:t xml:space="preserve">Category</w:t>
            </w:r>
          </w:p>
        </w:tc>
        <w:tc>
          <w:tcPr>
            <w:tcW w:type="dxa" w:w="5362"/>
            <w:shd w:fill="2E5395" w:val="clear"/>
            <w:tcMar>
              <w:top w:type="dxa" w:w="80"/>
              <w:left w:type="dxa" w:w="100"/>
              <w:bottom w:type="dxa" w:w="80"/>
              <w:right w:type="dxa" w:w="100"/>
            </w:tcMar>
          </w:tcPr>
          <w:p>
            <w:r>
              <w:rPr>
                <w:b/>
                <w:bCs/>
                <w:color w:val="FFFFFF"/>
              </w:rPr>
              <w:t xml:space="preserve">Posted to OFS? / Treatment</w:t>
            </w:r>
          </w:p>
        </w:tc>
      </w:tr>
      <w:tr>
        <w:tc>
          <w:tcPr>
            <w:tcW w:type="dxa" w:w="2363"/>
            <w:tcMar>
              <w:top w:type="dxa" w:w="60"/>
              <w:left w:type="dxa" w:w="100"/>
              <w:bottom w:type="dxa" w:w="60"/>
              <w:right w:type="dxa" w:w="100"/>
            </w:tcMar>
          </w:tcPr>
          <w:p>
            <w:r>
              <w:rPr>
                <w:b w:val="false"/>
                <w:bCs w:val="false"/>
              </w:rPr>
              <w:t xml:space="preserve">MSG.ID</w:t>
            </w:r>
          </w:p>
        </w:tc>
        <w:tc>
          <w:tcPr>
            <w:tcW w:type="dxa" w:w="1636"/>
            <w:tcMar>
              <w:top w:type="dxa" w:w="60"/>
              <w:left w:type="dxa" w:w="100"/>
              <w:bottom w:type="dxa" w:w="60"/>
              <w:right w:type="dxa" w:w="100"/>
            </w:tcMar>
          </w:tcPr>
          <w:p>
            <w:r>
              <w:rPr>
                <w:b w:val="false"/>
                <w:bCs w:val="false"/>
              </w:rPr>
              <w:t xml:space="preserve">Control</w:t>
            </w:r>
          </w:p>
        </w:tc>
        <w:tc>
          <w:tcPr>
            <w:tcW w:type="dxa" w:w="5362"/>
            <w:tcMar>
              <w:top w:type="dxa" w:w="60"/>
              <w:left w:type="dxa" w:w="100"/>
              <w:bottom w:type="dxa" w:w="60"/>
              <w:right w:type="dxa" w:w="100"/>
            </w:tcMar>
          </w:tcPr>
          <w:p>
            <w:r>
              <w:rPr>
                <w:b w:val="false"/>
                <w:bCs w:val="false"/>
              </w:rPr>
              <w:t xml:space="preserve">NOT posted — consumed as the idempotency key (CIB.API.LOG lookup); removed from the array immediately</w:t>
            </w:r>
          </w:p>
        </w:tc>
      </w:tr>
      <w:tr>
        <w:tc>
          <w:tcPr>
            <w:tcW w:type="dxa" w:w="2363"/>
            <w:tcMar>
              <w:top w:type="dxa" w:w="60"/>
              <w:left w:type="dxa" w:w="100"/>
              <w:bottom w:type="dxa" w:w="60"/>
              <w:right w:type="dxa" w:w="100"/>
            </w:tcMar>
          </w:tcPr>
          <w:p>
            <w:r>
              <w:rPr>
                <w:b w:val="false"/>
                <w:bCs w:val="false"/>
              </w:rPr>
              <w:t xml:space="preserve">SRVC.ID</w:t>
            </w:r>
          </w:p>
        </w:tc>
        <w:tc>
          <w:tcPr>
            <w:tcW w:type="dxa" w:w="1636"/>
            <w:tcMar>
              <w:top w:type="dxa" w:w="60"/>
              <w:left w:type="dxa" w:w="100"/>
              <w:bottom w:type="dxa" w:w="60"/>
              <w:right w:type="dxa" w:w="100"/>
            </w:tcMar>
          </w:tcPr>
          <w:p>
            <w:r>
              <w:rPr>
                <w:b w:val="false"/>
                <w:bCs w:val="false"/>
              </w:rPr>
              <w:t xml:space="preserve">Control</w:t>
            </w:r>
          </w:p>
        </w:tc>
        <w:tc>
          <w:tcPr>
            <w:tcW w:type="dxa" w:w="5362"/>
            <w:tcMar>
              <w:top w:type="dxa" w:w="60"/>
              <w:left w:type="dxa" w:w="100"/>
              <w:bottom w:type="dxa" w:w="60"/>
              <w:right w:type="dxa" w:w="100"/>
            </w:tcMar>
          </w:tcPr>
          <w:p>
            <w:r>
              <w:rPr>
                <w:b w:val="false"/>
                <w:bCs w:val="false"/>
              </w:rPr>
              <w:t xml:space="preserve">NOT posted — already parsed from the header segment; if also present as a tag, it's removed</w:t>
            </w:r>
          </w:p>
        </w:tc>
      </w:tr>
      <w:tr>
        <w:tc>
          <w:tcPr>
            <w:tcW w:type="dxa" w:w="2363"/>
            <w:tcMar>
              <w:top w:type="dxa" w:w="60"/>
              <w:left w:type="dxa" w:w="100"/>
              <w:bottom w:type="dxa" w:w="60"/>
              <w:right w:type="dxa" w:w="100"/>
            </w:tcMar>
          </w:tcPr>
          <w:p>
            <w:r>
              <w:rPr>
                <w:b w:val="false"/>
                <w:bCs w:val="false"/>
              </w:rPr>
              <w:t xml:space="preserve">CHNL.CODE</w:t>
            </w:r>
          </w:p>
        </w:tc>
        <w:tc>
          <w:tcPr>
            <w:tcW w:type="dxa" w:w="1636"/>
            <w:tcMar>
              <w:top w:type="dxa" w:w="60"/>
              <w:left w:type="dxa" w:w="100"/>
              <w:bottom w:type="dxa" w:w="60"/>
              <w:right w:type="dxa" w:w="100"/>
            </w:tcMar>
          </w:tcPr>
          <w:p>
            <w:r>
              <w:rPr>
                <w:b w:val="false"/>
                <w:bCs w:val="false"/>
              </w:rPr>
              <w:t xml:space="preserve">Control</w:t>
            </w:r>
          </w:p>
        </w:tc>
        <w:tc>
          <w:tcPr>
            <w:tcW w:type="dxa" w:w="5362"/>
            <w:tcMar>
              <w:top w:type="dxa" w:w="60"/>
              <w:left w:type="dxa" w:w="100"/>
              <w:bottom w:type="dxa" w:w="60"/>
              <w:right w:type="dxa" w:w="100"/>
            </w:tcMar>
          </w:tcPr>
          <w:p>
            <w:r>
              <w:rPr>
                <w:b w:val="false"/>
                <w:bCs w:val="false"/>
              </w:rPr>
              <w:t xml:space="preserve">NOT posted by default — removed from the array; only re-added to the OFS record explicitly if EXTERNAL.REF was also supplied</w:t>
            </w:r>
          </w:p>
        </w:tc>
      </w:tr>
      <w:tr>
        <w:tc>
          <w:tcPr>
            <w:tcW w:type="dxa" w:w="2363"/>
            <w:tcMar>
              <w:top w:type="dxa" w:w="60"/>
              <w:left w:type="dxa" w:w="100"/>
              <w:bottom w:type="dxa" w:w="60"/>
              <w:right w:type="dxa" w:w="100"/>
            </w:tcMar>
          </w:tcPr>
          <w:p>
            <w:r>
              <w:rPr>
                <w:b w:val="false"/>
                <w:bCs w:val="false"/>
              </w:rPr>
              <w:t xml:space="preserve">TOKEN.ID</w:t>
            </w:r>
          </w:p>
        </w:tc>
        <w:tc>
          <w:tcPr>
            <w:tcW w:type="dxa" w:w="1636"/>
            <w:tcMar>
              <w:top w:type="dxa" w:w="60"/>
              <w:left w:type="dxa" w:w="100"/>
              <w:bottom w:type="dxa" w:w="60"/>
              <w:right w:type="dxa" w:w="100"/>
            </w:tcMar>
          </w:tcPr>
          <w:p>
            <w:r>
              <w:rPr>
                <w:b w:val="false"/>
                <w:bCs w:val="false"/>
              </w:rPr>
              <w:t xml:space="preserve">Control</w:t>
            </w:r>
          </w:p>
        </w:tc>
        <w:tc>
          <w:tcPr>
            <w:tcW w:type="dxa" w:w="5362"/>
            <w:tcMar>
              <w:top w:type="dxa" w:w="60"/>
              <w:left w:type="dxa" w:w="100"/>
              <w:bottom w:type="dxa" w:w="60"/>
              <w:right w:type="dxa" w:w="100"/>
            </w:tcMar>
          </w:tcPr>
          <w:p>
            <w:r>
              <w:rPr>
                <w:b w:val="false"/>
                <w:bCs w:val="false"/>
              </w:rPr>
              <w:t xml:space="preserve">NOT posted — removed, used only for header/audit</w:t>
            </w:r>
          </w:p>
        </w:tc>
      </w:tr>
      <w:tr>
        <w:tc>
          <w:tcPr>
            <w:tcW w:type="dxa" w:w="2363"/>
            <w:tcMar>
              <w:top w:type="dxa" w:w="60"/>
              <w:left w:type="dxa" w:w="100"/>
              <w:bottom w:type="dxa" w:w="60"/>
              <w:right w:type="dxa" w:w="100"/>
            </w:tcMar>
          </w:tcPr>
          <w:p>
            <w:r>
              <w:rPr>
                <w:b w:val="false"/>
                <w:bCs w:val="false"/>
              </w:rPr>
              <w:t xml:space="preserve">GTS.CONTROL</w:t>
            </w:r>
          </w:p>
        </w:tc>
        <w:tc>
          <w:tcPr>
            <w:tcW w:type="dxa" w:w="1636"/>
            <w:tcMar>
              <w:top w:type="dxa" w:w="60"/>
              <w:left w:type="dxa" w:w="100"/>
              <w:bottom w:type="dxa" w:w="60"/>
              <w:right w:type="dxa" w:w="100"/>
            </w:tcMar>
          </w:tcPr>
          <w:p>
            <w:r>
              <w:rPr>
                <w:b w:val="false"/>
                <w:bCs w:val="false"/>
              </w:rPr>
              <w:t xml:space="preserve">Header/routing</w:t>
            </w:r>
          </w:p>
        </w:tc>
        <w:tc>
          <w:tcPr>
            <w:tcW w:type="dxa" w:w="5362"/>
            <w:tcMar>
              <w:top w:type="dxa" w:w="60"/>
              <w:left w:type="dxa" w:w="100"/>
              <w:bottom w:type="dxa" w:w="60"/>
              <w:right w:type="dxa" w:w="100"/>
            </w:tcMar>
          </w:tcPr>
          <w:p>
            <w:r>
              <w:rPr>
                <w:b w:val="false"/>
                <w:bCs w:val="false"/>
              </w:rPr>
              <w:t xml:space="preserve">NOT posted as a data field — used in the OFS service-call header; defaults from CIB.MSG.CONFIG if blank</w:t>
            </w:r>
          </w:p>
        </w:tc>
      </w:tr>
      <w:tr>
        <w:tc>
          <w:tcPr>
            <w:tcW w:type="dxa" w:w="2363"/>
            <w:tcMar>
              <w:top w:type="dxa" w:w="60"/>
              <w:left w:type="dxa" w:w="100"/>
              <w:bottom w:type="dxa" w:w="60"/>
              <w:right w:type="dxa" w:w="100"/>
            </w:tcMar>
          </w:tcPr>
          <w:p>
            <w:r>
              <w:rPr>
                <w:b w:val="false"/>
                <w:bCs w:val="false"/>
              </w:rPr>
              <w:t xml:space="preserve">AUTH.FLAG</w:t>
            </w:r>
          </w:p>
        </w:tc>
        <w:tc>
          <w:tcPr>
            <w:tcW w:type="dxa" w:w="1636"/>
            <w:tcMar>
              <w:top w:type="dxa" w:w="60"/>
              <w:left w:type="dxa" w:w="100"/>
              <w:bottom w:type="dxa" w:w="60"/>
              <w:right w:type="dxa" w:w="100"/>
            </w:tcMar>
          </w:tcPr>
          <w:p>
            <w:r>
              <w:rPr>
                <w:b w:val="false"/>
                <w:bCs w:val="false"/>
              </w:rPr>
              <w:t xml:space="preserve">Header/routing</w:t>
            </w:r>
          </w:p>
        </w:tc>
        <w:tc>
          <w:tcPr>
            <w:tcW w:type="dxa" w:w="5362"/>
            <w:tcMar>
              <w:top w:type="dxa" w:w="60"/>
              <w:left w:type="dxa" w:w="100"/>
              <w:bottom w:type="dxa" w:w="60"/>
              <w:right w:type="dxa" w:w="100"/>
            </w:tcMar>
          </w:tcPr>
          <w:p>
            <w:r>
              <w:rPr>
                <w:b w:val="false"/>
                <w:bCs w:val="false"/>
              </w:rPr>
              <w:t xml:space="preserve">NOT posted as a data field — used in the OFS service-call header; defaults from CIB.MSG.CONFIG if blank</w:t>
            </w:r>
          </w:p>
        </w:tc>
      </w:tr>
      <w:tr>
        <w:tc>
          <w:tcPr>
            <w:tcW w:type="dxa" w:w="2363"/>
            <w:tcMar>
              <w:top w:type="dxa" w:w="60"/>
              <w:left w:type="dxa" w:w="100"/>
              <w:bottom w:type="dxa" w:w="60"/>
              <w:right w:type="dxa" w:w="100"/>
            </w:tcMar>
          </w:tcPr>
          <w:p>
            <w:r>
              <w:rPr>
                <w:b w:val="false"/>
                <w:bCs w:val="false"/>
              </w:rPr>
              <w:t xml:space="preserve">BRANCH.NO</w:t>
            </w:r>
          </w:p>
        </w:tc>
        <w:tc>
          <w:tcPr>
            <w:tcW w:type="dxa" w:w="1636"/>
            <w:tcMar>
              <w:top w:type="dxa" w:w="60"/>
              <w:left w:type="dxa" w:w="100"/>
              <w:bottom w:type="dxa" w:w="60"/>
              <w:right w:type="dxa" w:w="100"/>
            </w:tcMar>
          </w:tcPr>
          <w:p>
            <w:r>
              <w:rPr>
                <w:b w:val="false"/>
                <w:bCs w:val="false"/>
              </w:rPr>
              <w:t xml:space="preserve">Header/routing</w:t>
            </w:r>
          </w:p>
        </w:tc>
        <w:tc>
          <w:tcPr>
            <w:tcW w:type="dxa" w:w="5362"/>
            <w:tcMar>
              <w:top w:type="dxa" w:w="60"/>
              <w:left w:type="dxa" w:w="100"/>
              <w:bottom w:type="dxa" w:w="60"/>
              <w:right w:type="dxa" w:w="100"/>
            </w:tcMar>
          </w:tcPr>
          <w:p>
            <w:r>
              <w:rPr>
                <w:b w:val="false"/>
                <w:bCs w:val="false"/>
              </w:rPr>
              <w:t xml:space="preserve">NOT posted as a data field — mapped to BRANCH.CODE, used in the OFS header (auto-prefixed EG0010 if 3 chars); defaults from config</w:t>
            </w:r>
          </w:p>
        </w:tc>
      </w:tr>
      <w:tr>
        <w:tc>
          <w:tcPr>
            <w:tcW w:type="dxa" w:w="2363"/>
            <w:tcMar>
              <w:top w:type="dxa" w:w="60"/>
              <w:left w:type="dxa" w:w="100"/>
              <w:bottom w:type="dxa" w:w="60"/>
              <w:right w:type="dxa" w:w="100"/>
            </w:tcMar>
          </w:tcPr>
          <w:p>
            <w:r>
              <w:rPr>
                <w:b w:val="false"/>
                <w:bCs w:val="false"/>
              </w:rPr>
              <w:t xml:space="preserve">&lt;dynamic — the tag named in CIB.MSG.CONFIG's ID.TAG&gt;</w:t>
            </w:r>
          </w:p>
        </w:tc>
        <w:tc>
          <w:tcPr>
            <w:tcW w:type="dxa" w:w="1636"/>
            <w:tcMar>
              <w:top w:type="dxa" w:w="60"/>
              <w:left w:type="dxa" w:w="100"/>
              <w:bottom w:type="dxa" w:w="60"/>
              <w:right w:type="dxa" w:w="100"/>
            </w:tcMar>
          </w:tcPr>
          <w:p>
            <w:r>
              <w:rPr>
                <w:b w:val="false"/>
                <w:bCs w:val="false"/>
              </w:rPr>
              <w:t xml:space="preserve">Control</w:t>
            </w:r>
          </w:p>
        </w:tc>
        <w:tc>
          <w:tcPr>
            <w:tcW w:type="dxa" w:w="5362"/>
            <w:tcMar>
              <w:top w:type="dxa" w:w="60"/>
              <w:left w:type="dxa" w:w="100"/>
              <w:bottom w:type="dxa" w:w="60"/>
              <w:right w:type="dxa" w:w="100"/>
            </w:tcMar>
          </w:tcPr>
          <w:p>
            <w:r>
              <w:rPr>
                <w:b w:val="false"/>
                <w:bCs w:val="false"/>
              </w:rPr>
              <w:t xml:space="preserve">NOT posted as a data field — this is the record-id tag (name varies per service); used as Y.RECORD.ID in the OFS header and for the NAU external-ref lookup</w:t>
            </w:r>
          </w:p>
        </w:tc>
      </w:tr>
      <w:tr>
        <w:tc>
          <w:tcPr>
            <w:tcW w:type="dxa" w:w="2363"/>
            <w:tcMar>
              <w:top w:type="dxa" w:w="60"/>
              <w:left w:type="dxa" w:w="100"/>
              <w:bottom w:type="dxa" w:w="60"/>
              <w:right w:type="dxa" w:w="100"/>
            </w:tcMar>
          </w:tcPr>
          <w:p>
            <w:r>
              <w:rPr>
                <w:b w:val="false"/>
                <w:bCs w:val="false"/>
              </w:rPr>
              <w:t xml:space="preserve">EXTERNAL.REF</w:t>
            </w:r>
          </w:p>
        </w:tc>
        <w:tc>
          <w:tcPr>
            <w:tcW w:type="dxa" w:w="1636"/>
            <w:tcMar>
              <w:top w:type="dxa" w:w="60"/>
              <w:left w:type="dxa" w:w="100"/>
              <w:bottom w:type="dxa" w:w="60"/>
              <w:right w:type="dxa" w:w="100"/>
            </w:tcMar>
          </w:tcPr>
          <w:p>
            <w:r>
              <w:rPr>
                <w:b w:val="false"/>
                <w:bCs w:val="false"/>
              </w:rPr>
              <w:t xml:space="preserve">Control + data</w:t>
            </w:r>
          </w:p>
        </w:tc>
        <w:tc>
          <w:tcPr>
            <w:tcW w:type="dxa" w:w="5362"/>
            <w:tcMar>
              <w:top w:type="dxa" w:w="60"/>
              <w:left w:type="dxa" w:w="100"/>
              <w:bottom w:type="dxa" w:w="60"/>
              <w:right w:type="dxa" w:w="100"/>
            </w:tcMar>
          </w:tcPr>
          <w:p>
            <w:r>
              <w:rPr>
                <w:b w:val="false"/>
                <w:bCs w:val="false"/>
              </w:rPr>
              <w:t xml:space="preserve">Removed from the general array, but explicitly RE-ADDED to the OFS record (only when supplied) together with CHANNEL.CODE — also drives the external-reference integrity check</w:t>
            </w:r>
          </w:p>
        </w:tc>
      </w:tr>
      <w:tr>
        <w:tc>
          <w:tcPr>
            <w:tcW w:type="dxa" w:w="2363"/>
            <w:tcMar>
              <w:top w:type="dxa" w:w="60"/>
              <w:left w:type="dxa" w:w="100"/>
              <w:bottom w:type="dxa" w:w="60"/>
              <w:right w:type="dxa" w:w="100"/>
            </w:tcMar>
          </w:tcPr>
          <w:p>
            <w:r>
              <w:rPr>
                <w:b w:val="false"/>
                <w:bCs w:val="false"/>
              </w:rPr>
              <w:t xml:space="preserve">FUNCTION.ID</w:t>
            </w:r>
          </w:p>
        </w:tc>
        <w:tc>
          <w:tcPr>
            <w:tcW w:type="dxa" w:w="1636"/>
            <w:tcMar>
              <w:top w:type="dxa" w:w="60"/>
              <w:left w:type="dxa" w:w="100"/>
              <w:bottom w:type="dxa" w:w="60"/>
              <w:right w:type="dxa" w:w="100"/>
            </w:tcMar>
          </w:tcPr>
          <w:p>
            <w:r>
              <w:rPr>
                <w:b w:val="false"/>
                <w:bCs w:val="false"/>
              </w:rPr>
              <w:t xml:space="preserve">Control</w:t>
            </w:r>
          </w:p>
        </w:tc>
        <w:tc>
          <w:tcPr>
            <w:tcW w:type="dxa" w:w="5362"/>
            <w:tcMar>
              <w:top w:type="dxa" w:w="60"/>
              <w:left w:type="dxa" w:w="100"/>
              <w:bottom w:type="dxa" w:w="60"/>
              <w:right w:type="dxa" w:w="100"/>
            </w:tcMar>
          </w:tcPr>
          <w:p>
            <w:r>
              <w:rPr>
                <w:b w:val="false"/>
                <w:bCs w:val="false"/>
              </w:rPr>
              <w:t xml:space="preserve">NOT posted — drives VALIDATE vs PROCESS mode and selects the Amend-mode OFS version; defaults from config</w:t>
            </w:r>
          </w:p>
        </w:tc>
      </w:tr>
      <w:tr>
        <w:tc>
          <w:tcPr>
            <w:tcW w:type="dxa" w:w="2363"/>
            <w:tcMar>
              <w:top w:type="dxa" w:w="60"/>
              <w:left w:type="dxa" w:w="100"/>
              <w:bottom w:type="dxa" w:w="60"/>
              <w:right w:type="dxa" w:w="100"/>
            </w:tcMar>
          </w:tcPr>
          <w:p>
            <w:r>
              <w:rPr>
                <w:b w:val="false"/>
                <w:bCs w:val="false"/>
              </w:rPr>
              <w:t xml:space="preserve">DEBIT.ACCT.NO</w:t>
            </w:r>
          </w:p>
        </w:tc>
        <w:tc>
          <w:tcPr>
            <w:tcW w:type="dxa" w:w="1636"/>
            <w:tcMar>
              <w:top w:type="dxa" w:w="60"/>
              <w:left w:type="dxa" w:w="100"/>
              <w:bottom w:type="dxa" w:w="60"/>
              <w:right w:type="dxa" w:w="100"/>
            </w:tcMar>
          </w:tcPr>
          <w:p>
            <w:r>
              <w:rPr>
                <w:b w:val="false"/>
                <w:bCs w:val="false"/>
              </w:rPr>
              <w:t xml:space="preserve">Data field</w:t>
            </w:r>
          </w:p>
        </w:tc>
        <w:tc>
          <w:tcPr>
            <w:tcW w:type="dxa" w:w="5362"/>
            <w:tcMar>
              <w:top w:type="dxa" w:w="60"/>
              <w:left w:type="dxa" w:w="100"/>
              <w:bottom w:type="dxa" w:w="60"/>
              <w:right w:type="dxa" w:w="100"/>
            </w:tcMar>
          </w:tcPr>
          <w:p>
            <w:r>
              <w:rPr>
                <w:b w:val="false"/>
                <w:bCs w:val="false"/>
              </w:rPr>
              <w:t xml:space="preserve">Posted (generic passthrough) — also triggers an account read for currency + customer number</w:t>
            </w:r>
          </w:p>
        </w:tc>
      </w:tr>
      <w:tr>
        <w:tc>
          <w:tcPr>
            <w:tcW w:type="dxa" w:w="2363"/>
            <w:tcMar>
              <w:top w:type="dxa" w:w="60"/>
              <w:left w:type="dxa" w:w="100"/>
              <w:bottom w:type="dxa" w:w="60"/>
              <w:right w:type="dxa" w:w="100"/>
            </w:tcMar>
          </w:tcPr>
          <w:p>
            <w:r>
              <w:rPr>
                <w:b w:val="false"/>
                <w:bCs w:val="false"/>
              </w:rPr>
              <w:t xml:space="preserve">CHARGES.ACCT.NO</w:t>
            </w:r>
          </w:p>
        </w:tc>
        <w:tc>
          <w:tcPr>
            <w:tcW w:type="dxa" w:w="1636"/>
            <w:tcMar>
              <w:top w:type="dxa" w:w="60"/>
              <w:left w:type="dxa" w:w="100"/>
              <w:bottom w:type="dxa" w:w="60"/>
              <w:right w:type="dxa" w:w="100"/>
            </w:tcMar>
          </w:tcPr>
          <w:p>
            <w:r>
              <w:rPr>
                <w:b w:val="false"/>
                <w:bCs w:val="false"/>
              </w:rPr>
              <w:t xml:space="preserve">Data field</w:t>
            </w:r>
          </w:p>
        </w:tc>
        <w:tc>
          <w:tcPr>
            <w:tcW w:type="dxa" w:w="5362"/>
            <w:tcMar>
              <w:top w:type="dxa" w:w="60"/>
              <w:left w:type="dxa" w:w="100"/>
              <w:bottom w:type="dxa" w:w="60"/>
              <w:right w:type="dxa" w:w="100"/>
            </w:tcMar>
          </w:tcPr>
          <w:p>
            <w:r>
              <w:rPr>
                <w:b w:val="false"/>
                <w:bCs w:val="false"/>
              </w:rPr>
              <w:t xml:space="preserve">Posted (generic passthrough) — also triggers an account read; can silently overwrite MAIN.CUSTOMER if present</w:t>
            </w:r>
          </w:p>
        </w:tc>
      </w:tr>
      <w:tr>
        <w:tc>
          <w:tcPr>
            <w:tcW w:type="dxa" w:w="2363"/>
            <w:tcMar>
              <w:top w:type="dxa" w:w="60"/>
              <w:left w:type="dxa" w:w="100"/>
              <w:bottom w:type="dxa" w:w="60"/>
              <w:right w:type="dxa" w:w="100"/>
            </w:tcMar>
          </w:tcPr>
          <w:p>
            <w:r>
              <w:rPr>
                <w:b w:val="false"/>
                <w:bCs w:val="false"/>
              </w:rPr>
              <w:t xml:space="preserve">CREDIT.ACCT.NO</w:t>
            </w:r>
          </w:p>
        </w:tc>
        <w:tc>
          <w:tcPr>
            <w:tcW w:type="dxa" w:w="1636"/>
            <w:tcMar>
              <w:top w:type="dxa" w:w="60"/>
              <w:left w:type="dxa" w:w="100"/>
              <w:bottom w:type="dxa" w:w="60"/>
              <w:right w:type="dxa" w:w="100"/>
            </w:tcMar>
          </w:tcPr>
          <w:p>
            <w:r>
              <w:rPr>
                <w:b w:val="false"/>
                <w:bCs w:val="false"/>
              </w:rPr>
              <w:t xml:space="preserve">Data field</w:t>
            </w:r>
          </w:p>
        </w:tc>
        <w:tc>
          <w:tcPr>
            <w:tcW w:type="dxa" w:w="5362"/>
            <w:tcMar>
              <w:top w:type="dxa" w:w="60"/>
              <w:left w:type="dxa" w:w="100"/>
              <w:bottom w:type="dxa" w:w="60"/>
              <w:right w:type="dxa" w:w="100"/>
            </w:tcMar>
          </w:tcPr>
          <w:p>
            <w:r>
              <w:rPr>
                <w:b w:val="false"/>
                <w:bCs w:val="false"/>
              </w:rPr>
              <w:t xml:space="preserve">Posted (generic passthrough) — also triggers an account read for target-currency lookup</w:t>
            </w:r>
          </w:p>
        </w:tc>
      </w:tr>
      <w:tr>
        <w:tc>
          <w:tcPr>
            <w:tcW w:type="dxa" w:w="2363"/>
            <w:tcMar>
              <w:top w:type="dxa" w:w="60"/>
              <w:left w:type="dxa" w:w="100"/>
              <w:bottom w:type="dxa" w:w="60"/>
              <w:right w:type="dxa" w:w="100"/>
            </w:tcMar>
          </w:tcPr>
          <w:p>
            <w:r>
              <w:rPr>
                <w:b w:val="false"/>
                <w:bCs w:val="false"/>
              </w:rPr>
              <w:t xml:space="preserve">CUSTOMER.RATE</w:t>
            </w:r>
          </w:p>
        </w:tc>
        <w:tc>
          <w:tcPr>
            <w:tcW w:type="dxa" w:w="1636"/>
            <w:tcMar>
              <w:top w:type="dxa" w:w="60"/>
              <w:left w:type="dxa" w:w="100"/>
              <w:bottom w:type="dxa" w:w="60"/>
              <w:right w:type="dxa" w:w="100"/>
            </w:tcMar>
          </w:tcPr>
          <w:p>
            <w:r>
              <w:rPr>
                <w:b w:val="false"/>
                <w:bCs w:val="false"/>
              </w:rPr>
              <w:t xml:space="preserve">Data field</w:t>
            </w:r>
          </w:p>
        </w:tc>
        <w:tc>
          <w:tcPr>
            <w:tcW w:type="dxa" w:w="5362"/>
            <w:tcMar>
              <w:top w:type="dxa" w:w="60"/>
              <w:left w:type="dxa" w:w="100"/>
              <w:bottom w:type="dxa" w:w="60"/>
              <w:right w:type="dxa" w:w="100"/>
            </w:tcMar>
          </w:tcPr>
          <w:p>
            <w:r>
              <w:rPr>
                <w:b w:val="false"/>
                <w:bCs w:val="false"/>
              </w:rPr>
              <w:t xml:space="preserve">Posted, but blanked out before posting if debit and credit account currencies are the same (no FX involved)</w:t>
            </w:r>
          </w:p>
        </w:tc>
      </w:tr>
      <w:tr>
        <w:tc>
          <w:tcPr>
            <w:tcW w:type="dxa" w:w="2363"/>
            <w:tcMar>
              <w:top w:type="dxa" w:w="60"/>
              <w:left w:type="dxa" w:w="100"/>
              <w:bottom w:type="dxa" w:w="60"/>
              <w:right w:type="dxa" w:w="100"/>
            </w:tcMar>
          </w:tcPr>
          <w:p>
            <w:r>
              <w:rPr>
                <w:b w:val="false"/>
                <w:bCs w:val="false"/>
              </w:rPr>
              <w:t xml:space="preserve">USD.RATE</w:t>
            </w:r>
          </w:p>
        </w:tc>
        <w:tc>
          <w:tcPr>
            <w:tcW w:type="dxa" w:w="1636"/>
            <w:tcMar>
              <w:top w:type="dxa" w:w="60"/>
              <w:left w:type="dxa" w:w="100"/>
              <w:bottom w:type="dxa" w:w="60"/>
              <w:right w:type="dxa" w:w="100"/>
            </w:tcMar>
          </w:tcPr>
          <w:p>
            <w:r>
              <w:rPr>
                <w:b w:val="false"/>
                <w:bCs w:val="false"/>
              </w:rPr>
              <w:t xml:space="preserve">Control (calc input)</w:t>
            </w:r>
          </w:p>
        </w:tc>
        <w:tc>
          <w:tcPr>
            <w:tcW w:type="dxa" w:w="5362"/>
            <w:tcMar>
              <w:top w:type="dxa" w:w="60"/>
              <w:left w:type="dxa" w:w="100"/>
              <w:bottom w:type="dxa" w:w="60"/>
              <w:right w:type="dxa" w:w="100"/>
            </w:tcMar>
          </w:tcPr>
          <w:p>
            <w:r>
              <w:rPr>
                <w:b w:val="false"/>
                <w:bCs w:val="false"/>
              </w:rPr>
              <w:t xml:space="preserve">NOT posted — used only for the optional second-hop EGP→USD commission conversion</w:t>
            </w:r>
          </w:p>
        </w:tc>
      </w:tr>
      <w:tr>
        <w:tc>
          <w:tcPr>
            <w:tcW w:type="dxa" w:w="2363"/>
            <w:tcMar>
              <w:top w:type="dxa" w:w="60"/>
              <w:left w:type="dxa" w:w="100"/>
              <w:bottom w:type="dxa" w:w="60"/>
              <w:right w:type="dxa" w:w="100"/>
            </w:tcMar>
          </w:tcPr>
          <w:p>
            <w:r>
              <w:rPr>
                <w:b w:val="false"/>
                <w:bCs w:val="false"/>
              </w:rPr>
              <w:t xml:space="preserve">COMMISSION.RATE</w:t>
            </w:r>
          </w:p>
        </w:tc>
        <w:tc>
          <w:tcPr>
            <w:tcW w:type="dxa" w:w="1636"/>
            <w:tcMar>
              <w:top w:type="dxa" w:w="60"/>
              <w:left w:type="dxa" w:w="100"/>
              <w:bottom w:type="dxa" w:w="60"/>
              <w:right w:type="dxa" w:w="100"/>
            </w:tcMar>
          </w:tcPr>
          <w:p>
            <w:r>
              <w:rPr>
                <w:b w:val="false"/>
                <w:bCs w:val="false"/>
              </w:rPr>
              <w:t xml:space="preserve">Data field (calc input)</w:t>
            </w:r>
          </w:p>
        </w:tc>
        <w:tc>
          <w:tcPr>
            <w:tcW w:type="dxa" w:w="5362"/>
            <w:tcMar>
              <w:top w:type="dxa" w:w="60"/>
              <w:left w:type="dxa" w:w="100"/>
              <w:bottom w:type="dxa" w:w="60"/>
              <w:right w:type="dxa" w:w="100"/>
            </w:tcMar>
          </w:tcPr>
          <w:p>
            <w:r>
              <w:rPr>
                <w:b w:val="false"/>
                <w:bCs w:val="false"/>
              </w:rPr>
              <w:t xml:space="preserve">Posted (generic passthrough) — NOT deleted from the array in GET.COMMON.VALUES, so it flows through the same generic posting loop as any other field, unless the FT08 remove-tags config excludes it; also used internally as a calculation/override rate. (An exclusion only applies in a narrow edge case where the tag name itself contains a '-' character, which a plain COMMISSION.RATE tag normally would not.)</w:t>
            </w:r>
          </w:p>
        </w:tc>
      </w:tr>
      <w:tr>
        <w:tc>
          <w:tcPr>
            <w:tcW w:type="dxa" w:w="2363"/>
            <w:tcMar>
              <w:top w:type="dxa" w:w="60"/>
              <w:left w:type="dxa" w:w="100"/>
              <w:bottom w:type="dxa" w:w="60"/>
              <w:right w:type="dxa" w:w="100"/>
            </w:tcMar>
          </w:tcPr>
          <w:p>
            <w:r>
              <w:rPr>
                <w:b w:val="false"/>
                <w:bCs w:val="false"/>
              </w:rPr>
              <w:t xml:space="preserve">BEN.OUR.CHARGES</w:t>
            </w:r>
          </w:p>
        </w:tc>
        <w:tc>
          <w:tcPr>
            <w:tcW w:type="dxa" w:w="1636"/>
            <w:tcMar>
              <w:top w:type="dxa" w:w="60"/>
              <w:left w:type="dxa" w:w="100"/>
              <w:bottom w:type="dxa" w:w="60"/>
              <w:right w:type="dxa" w:w="100"/>
            </w:tcMar>
          </w:tcPr>
          <w:p>
            <w:r>
              <w:rPr>
                <w:b w:val="false"/>
                <w:bCs w:val="false"/>
              </w:rPr>
              <w:t xml:space="preserve">Data field</w:t>
            </w:r>
          </w:p>
        </w:tc>
        <w:tc>
          <w:tcPr>
            <w:tcW w:type="dxa" w:w="5362"/>
            <w:tcMar>
              <w:top w:type="dxa" w:w="60"/>
              <w:left w:type="dxa" w:w="100"/>
              <w:bottom w:type="dxa" w:w="60"/>
              <w:right w:type="dxa" w:w="100"/>
            </w:tcMar>
          </w:tcPr>
          <w:p>
            <w:r>
              <w:rPr>
                <w:b w:val="false"/>
                <w:bCs w:val="false"/>
              </w:rPr>
              <w:t xml:space="preserve">Posted (generic passthrough) — also selects the commission currency (target vs source account) and can auto-default COMMISSION.CODE</w:t>
            </w:r>
          </w:p>
        </w:tc>
      </w:tr>
      <w:tr>
        <w:tc>
          <w:tcPr>
            <w:tcW w:type="dxa" w:w="2363"/>
            <w:tcMar>
              <w:top w:type="dxa" w:w="60"/>
              <w:left w:type="dxa" w:w="100"/>
              <w:bottom w:type="dxa" w:w="60"/>
              <w:right w:type="dxa" w:w="100"/>
            </w:tcMar>
          </w:tcPr>
          <w:p>
            <w:r>
              <w:rPr>
                <w:b w:val="false"/>
                <w:bCs w:val="false"/>
              </w:rPr>
              <w:t xml:space="preserve">CREDIT.AMOUNT</w:t>
            </w:r>
          </w:p>
        </w:tc>
        <w:tc>
          <w:tcPr>
            <w:tcW w:type="dxa" w:w="1636"/>
            <w:tcMar>
              <w:top w:type="dxa" w:w="60"/>
              <w:left w:type="dxa" w:w="100"/>
              <w:bottom w:type="dxa" w:w="60"/>
              <w:right w:type="dxa" w:w="100"/>
            </w:tcMar>
          </w:tcPr>
          <w:p>
            <w:r>
              <w:rPr>
                <w:b w:val="false"/>
                <w:bCs w:val="false"/>
              </w:rPr>
              <w:t xml:space="preserve">Data field</w:t>
            </w:r>
          </w:p>
        </w:tc>
        <w:tc>
          <w:tcPr>
            <w:tcW w:type="dxa" w:w="5362"/>
            <w:tcMar>
              <w:top w:type="dxa" w:w="60"/>
              <w:left w:type="dxa" w:w="100"/>
              <w:bottom w:type="dxa" w:w="60"/>
              <w:right w:type="dxa" w:w="100"/>
            </w:tcMar>
          </w:tcPr>
          <w:p>
            <w:r>
              <w:rPr>
                <w:b w:val="false"/>
                <w:bCs w:val="false"/>
              </w:rPr>
              <w:t xml:space="preserve">Posted (generic passthrough) — also becomes the 'deal amount' for commission calculation</w:t>
            </w:r>
          </w:p>
        </w:tc>
      </w:tr>
      <w:tr>
        <w:tc>
          <w:tcPr>
            <w:tcW w:type="dxa" w:w="2363"/>
            <w:tcMar>
              <w:top w:type="dxa" w:w="60"/>
              <w:left w:type="dxa" w:w="100"/>
              <w:bottom w:type="dxa" w:w="60"/>
              <w:right w:type="dxa" w:w="100"/>
            </w:tcMar>
          </w:tcPr>
          <w:p>
            <w:r>
              <w:rPr>
                <w:b w:val="false"/>
                <w:bCs w:val="false"/>
              </w:rPr>
              <w:t xml:space="preserve">COMMISSION.TYPE</w:t>
            </w:r>
          </w:p>
        </w:tc>
        <w:tc>
          <w:tcPr>
            <w:tcW w:type="dxa" w:w="1636"/>
            <w:tcMar>
              <w:top w:type="dxa" w:w="60"/>
              <w:left w:type="dxa" w:w="100"/>
              <w:bottom w:type="dxa" w:w="60"/>
              <w:right w:type="dxa" w:w="100"/>
            </w:tcMar>
          </w:tcPr>
          <w:p>
            <w:r>
              <w:rPr>
                <w:b w:val="false"/>
                <w:bCs w:val="false"/>
              </w:rPr>
              <w:t xml:space="preserve">Data field — recalculated</w:t>
            </w:r>
          </w:p>
        </w:tc>
        <w:tc>
          <w:tcPr>
            <w:tcW w:type="dxa" w:w="5362"/>
            <w:tcMar>
              <w:top w:type="dxa" w:w="60"/>
              <w:left w:type="dxa" w:w="100"/>
              <w:bottom w:type="dxa" w:w="60"/>
              <w:right w:type="dxa" w:w="100"/>
            </w:tcMar>
          </w:tcPr>
          <w:p>
            <w:r>
              <w:rPr>
                <w:b w:val="false"/>
                <w:bCs w:val="false"/>
              </w:rPr>
              <w:t xml:space="preserve">NOT a straight passthrough — only posted together with COMMISSION.AMT, using the recalculated/filtered value, never the raw channel input directly</w:t>
            </w:r>
          </w:p>
        </w:tc>
      </w:tr>
      <w:tr>
        <w:tc>
          <w:tcPr>
            <w:tcW w:type="dxa" w:w="2363"/>
            <w:tcMar>
              <w:top w:type="dxa" w:w="60"/>
              <w:left w:type="dxa" w:w="100"/>
              <w:bottom w:type="dxa" w:w="60"/>
              <w:right w:type="dxa" w:w="100"/>
            </w:tcMar>
          </w:tcPr>
          <w:p>
            <w:r>
              <w:rPr>
                <w:b w:val="false"/>
                <w:bCs w:val="false"/>
              </w:rPr>
              <w:t xml:space="preserve">COMMISSION.AMT</w:t>
            </w:r>
          </w:p>
        </w:tc>
        <w:tc>
          <w:tcPr>
            <w:tcW w:type="dxa" w:w="1636"/>
            <w:tcMar>
              <w:top w:type="dxa" w:w="60"/>
              <w:left w:type="dxa" w:w="100"/>
              <w:bottom w:type="dxa" w:w="60"/>
              <w:right w:type="dxa" w:w="100"/>
            </w:tcMar>
          </w:tcPr>
          <w:p>
            <w:r>
              <w:rPr>
                <w:b w:val="false"/>
                <w:bCs w:val="false"/>
              </w:rPr>
              <w:t xml:space="preserve">Data field — recalculated</w:t>
            </w:r>
          </w:p>
        </w:tc>
        <w:tc>
          <w:tcPr>
            <w:tcW w:type="dxa" w:w="5362"/>
            <w:tcMar>
              <w:top w:type="dxa" w:w="60"/>
              <w:left w:type="dxa" w:w="100"/>
              <w:bottom w:type="dxa" w:w="60"/>
              <w:right w:type="dxa" w:w="100"/>
            </w:tcMar>
          </w:tcPr>
          <w:p>
            <w:r>
              <w:rPr>
                <w:b w:val="false"/>
                <w:bCs w:val="false"/>
              </w:rPr>
              <w:t xml:space="preserve">NOT a straight passthrough — posted using the calculated/overridden/concession-adjusted amount, with zero-amount lines dropped entirely</w:t>
            </w:r>
          </w:p>
        </w:tc>
      </w:tr>
      <w:tr>
        <w:tc>
          <w:tcPr>
            <w:tcW w:type="dxa" w:w="2363"/>
            <w:tcMar>
              <w:top w:type="dxa" w:w="60"/>
              <w:left w:type="dxa" w:w="100"/>
              <w:bottom w:type="dxa" w:w="60"/>
              <w:right w:type="dxa" w:w="100"/>
            </w:tcMar>
          </w:tcPr>
          <w:p>
            <w:r>
              <w:rPr>
                <w:b w:val="false"/>
                <w:bCs w:val="false"/>
              </w:rPr>
              <w:t xml:space="preserve">COMMISSION.WAIVER</w:t>
            </w:r>
          </w:p>
        </w:tc>
        <w:tc>
          <w:tcPr>
            <w:tcW w:type="dxa" w:w="1636"/>
            <w:tcMar>
              <w:top w:type="dxa" w:w="60"/>
              <w:left w:type="dxa" w:w="100"/>
              <w:bottom w:type="dxa" w:w="60"/>
              <w:right w:type="dxa" w:w="100"/>
            </w:tcMar>
          </w:tcPr>
          <w:p>
            <w:r>
              <w:rPr>
                <w:b w:val="false"/>
                <w:bCs w:val="false"/>
              </w:rPr>
              <w:t xml:space="preserve">Control (calc input)</w:t>
            </w:r>
          </w:p>
        </w:tc>
        <w:tc>
          <w:tcPr>
            <w:tcW w:type="dxa" w:w="5362"/>
            <w:tcMar>
              <w:top w:type="dxa" w:w="60"/>
              <w:left w:type="dxa" w:w="100"/>
              <w:bottom w:type="dxa" w:w="60"/>
              <w:right w:type="dxa" w:w="100"/>
            </w:tcMar>
          </w:tcPr>
          <w:p>
            <w:r>
              <w:rPr>
                <w:b w:val="false"/>
                <w:bCs w:val="false"/>
              </w:rPr>
              <w:t xml:space="preserve">NOT posted — per-commission-line waiver percentage used only inside the charge calculation</w:t>
            </w:r>
          </w:p>
        </w:tc>
      </w:tr>
      <w:tr>
        <w:tc>
          <w:tcPr>
            <w:tcW w:type="dxa" w:w="2363"/>
            <w:tcMar>
              <w:top w:type="dxa" w:w="60"/>
              <w:left w:type="dxa" w:w="100"/>
              <w:bottom w:type="dxa" w:w="60"/>
              <w:right w:type="dxa" w:w="100"/>
            </w:tcMar>
          </w:tcPr>
          <w:p>
            <w:r>
              <w:rPr>
                <w:b w:val="false"/>
                <w:bCs w:val="false"/>
              </w:rPr>
              <w:t xml:space="preserve">OVERRIDE.CUST.COMMISSION</w:t>
            </w:r>
          </w:p>
        </w:tc>
        <w:tc>
          <w:tcPr>
            <w:tcW w:type="dxa" w:w="1636"/>
            <w:tcMar>
              <w:top w:type="dxa" w:w="60"/>
              <w:left w:type="dxa" w:w="100"/>
              <w:bottom w:type="dxa" w:w="60"/>
              <w:right w:type="dxa" w:w="100"/>
            </w:tcMar>
          </w:tcPr>
          <w:p>
            <w:r>
              <w:rPr>
                <w:b w:val="false"/>
                <w:bCs w:val="false"/>
              </w:rPr>
              <w:t xml:space="preserve">Control (calc input)</w:t>
            </w:r>
          </w:p>
        </w:tc>
        <w:tc>
          <w:tcPr>
            <w:tcW w:type="dxa" w:w="5362"/>
            <w:tcMar>
              <w:top w:type="dxa" w:w="60"/>
              <w:left w:type="dxa" w:w="100"/>
              <w:bottom w:type="dxa" w:w="60"/>
              <w:right w:type="dxa" w:w="100"/>
            </w:tcMar>
          </w:tcPr>
          <w:p>
            <w:r>
              <w:rPr>
                <w:b w:val="false"/>
                <w:bCs w:val="false"/>
              </w:rPr>
              <w:t xml:space="preserve">NOT posted — channel-forced fee override, applied only to OUTWARDCHG/OUTWARDACH commission types</w:t>
            </w:r>
          </w:p>
        </w:tc>
      </w:tr>
      <w:tr>
        <w:tc>
          <w:tcPr>
            <w:tcW w:type="dxa" w:w="2363"/>
            <w:tcMar>
              <w:top w:type="dxa" w:w="60"/>
              <w:left w:type="dxa" w:w="100"/>
              <w:bottom w:type="dxa" w:w="60"/>
              <w:right w:type="dxa" w:w="100"/>
            </w:tcMar>
          </w:tcPr>
          <w:p>
            <w:r>
              <w:rPr>
                <w:b w:val="false"/>
                <w:bCs w:val="false"/>
              </w:rPr>
              <w:t xml:space="preserve">CONCESSION</w:t>
            </w:r>
          </w:p>
        </w:tc>
        <w:tc>
          <w:tcPr>
            <w:tcW w:type="dxa" w:w="1636"/>
            <w:tcMar>
              <w:top w:type="dxa" w:w="60"/>
              <w:left w:type="dxa" w:w="100"/>
              <w:bottom w:type="dxa" w:w="60"/>
              <w:right w:type="dxa" w:w="100"/>
            </w:tcMar>
          </w:tcPr>
          <w:p>
            <w:r>
              <w:rPr>
                <w:b w:val="false"/>
                <w:bCs w:val="false"/>
              </w:rPr>
              <w:t xml:space="preserve">Control (calc input)</w:t>
            </w:r>
          </w:p>
        </w:tc>
        <w:tc>
          <w:tcPr>
            <w:tcW w:type="dxa" w:w="5362"/>
            <w:tcMar>
              <w:top w:type="dxa" w:w="60"/>
              <w:left w:type="dxa" w:w="100"/>
              <w:bottom w:type="dxa" w:w="60"/>
              <w:right w:type="dxa" w:w="100"/>
            </w:tcMar>
          </w:tcPr>
          <w:p>
            <w:r>
              <w:rPr>
                <w:b w:val="false"/>
                <w:bCs w:val="false"/>
              </w:rPr>
              <w:t xml:space="preserve">NOT posted — seed values passed into the concession engine</w:t>
            </w:r>
          </w:p>
        </w:tc>
      </w:tr>
    </w:tbl>
    <w:p>
      <w:pPr>
        <w:pStyle w:val="Heading2"/>
        <w:spacing w:after="120" w:before="260"/>
      </w:pPr>
      <w:r>
        <w:t xml:space="preserve">2.1 How "Posted vs Not Posted" Is Actually Decided</w:t>
      </w:r>
    </w:p>
    <w:p>
      <w:pPr>
        <w:spacing w:after="120"/>
      </w:pPr>
      <w:r>
        <w:rPr>
          <w:i/>
          <w:iCs/>
        </w:rPr>
        <w:t xml:space="preserve">CREATE.OFS.MSG loops over every tag still present in the array and posts each one to the OFS record via SEND.OFS.MSG — it is fundamentally a "post everything" loop, not a selective one. The only reason some tags in the table above are marked "NOT posted" is that GET.COMMON.VALUES deletes them from the array earlier (explicit DEL OUT.TAG.VALUE.ARRAY / DEL OUT.VALUES.ARRAY statements) before that loop ever runs — so they simply aren't there to be looped over. Any tag GET.COMMON.VALUES reads WITHOUT deleting stays in the array and gets posted through the generic loop like any other field, subject only to the FT08 remove-tags config.</w:t>
      </w:r>
    </w:p>
    <w:p>
      <w:pPr>
        <w:pStyle w:val="Heading2"/>
        <w:spacing w:after="120" w:before="260"/>
      </w:pPr>
      <w:r>
        <w:t xml:space="preserve">2.2 Structural Consequence for Migration</w:t>
      </w:r>
    </w:p>
    <w:p>
      <w:pPr>
        <w:spacing w:after="120"/>
      </w:pPr>
      <w:r>
        <w:rPr>
          <w:color w:val="C00000"/>
        </w:rPr>
        <w:t xml:space="preserve">Because almost every non-control tag flows through generically, the true "request contract" for FT08 is defined by whatever tag names the calling channel currently sends AND whatever the FT08 row of CIB.MSG.CONFIG's XML.TAGS.REMOVE list excludes. Both of these must be extracted as data (not inferred from code) before an equivalent IRIS request schema can be finalized.</w:t>
      </w:r>
    </w:p>
    <w:p>
      <w:pPr>
        <w:pStyle w:val="Heading1"/>
        <w:pBdr>
          <w:bottom w:val="single" w:color="2E5395" w:sz="6" w:space="4"/>
        </w:pBdr>
        <w:spacing w:after="150" w:before="300"/>
      </w:pPr>
      <w:r>
        <w:t xml:space="preserve">2A. Technical Processing Flow (Sequence)</w:t>
      </w:r>
    </w:p>
    <w:p>
      <w:pPr>
        <w:spacing w:after="80"/>
      </w:pPr>
      <w:r>
        <w:rPr>
          <w:b/>
          <w:bCs/>
        </w:rPr>
        <w:t xml:space="preserve">1. </w:t>
      </w:r>
      <w:r>
        <w:t xml:space="preserve">OPEN.FILES — opens F.CIB.MSG.CONFIG, F.CIB.API.CONFIG.XML, F.ACCOUNT, F.CIB.API.LOG.</w:t>
      </w:r>
    </w:p>
    <w:p>
      <w:pPr>
        <w:spacing w:after="80"/>
      </w:pPr>
      <w:r>
        <w:rPr>
          <w:b/>
          <w:bCs/>
        </w:rPr>
        <w:t xml:space="preserve">2. </w:t>
      </w:r>
      <w:r>
        <w:t xml:space="preserve">GET.VALUES — normalize reserved characters in IN.PARAM, split into header / tag-names / values segments, extract SRVC.ID from the header, and read the FT08 row from both CIB.MSG.CONFIG and CIB.API.CONFIG.XML. If CIB.MSG.CONFIG has an APP.NAME configured, dynamically open that application's live and $NAU files plus F.STANDARD.SELECTION.</w:t>
      </w:r>
    </w:p>
    <w:p>
      <w:pPr>
        <w:spacing w:after="80"/>
      </w:pPr>
      <w:r>
        <w:rPr>
          <w:b/>
          <w:bCs/>
        </w:rPr>
        <w:t xml:space="preserve">3. </w:t>
      </w:r>
      <w:r>
        <w:t xml:space="preserve">GET.COMMON.VALUES — pull out and remove all the "known" control tags (MSG.ID, CHNL.CODE, TOKEN.ID, GTS.CONTROL, AUTH.FLAG, BRANCH.NO, the configured ID.TAG, EXTERNAL.REF, FUNCTION.ID, USD.RATE, COMMISSION.WAIVER, OVERRIDE.CUST.COMMISSION, CONCESSION) from the array, applying config defaults for any that are blank; also capture (WITHOUT removing — so these still flow through the generic posting loop) DEBIT.ACCT.NO / CHARGES.ACCT.NO / CREDIT.ACCT.NO (triggering account lookups), CUSTOMER.RATE, COMMISSION.RATE, BEN.OUR.CHARGES, CREDIT.AMOUNT, COMMISSION.TYPE, COMMISSION.AMT. Build HEADER.ID.</w:t>
      </w:r>
    </w:p>
    <w:p>
      <w:pPr>
        <w:spacing w:after="80"/>
      </w:pPr>
      <w:r>
        <w:rPr>
          <w:b/>
          <w:bCs/>
        </w:rPr>
        <w:t xml:space="preserve">4. </w:t>
      </w:r>
      <w:r>
        <w:t xml:space="preserve">CHECK.MSG.ID — idempotency gate: if a CIB.API.LOG record already exists for this MSG.ID with a prior return code of 0000, immediately build the cached response with return code 1001 and skip reprocessing entirely. If no record exists at all, create an initial log entry (SAVE.MSG) and continue.</w:t>
      </w:r>
    </w:p>
    <w:p>
      <w:pPr>
        <w:spacing w:after="80"/>
      </w:pPr>
      <w:r>
        <w:rPr>
          <w:b/>
          <w:bCs/>
        </w:rPr>
        <w:t xml:space="preserve">5. </w:t>
      </w:r>
      <w:r>
        <w:t xml:space="preserve">CHECK.EXTRNAL.REF (only if an EXTERNAL.REF tag was supplied) — read the target application's NAU (uncommitted) record for this record ID; if found, compare its stored external reference, channel code, and inputter-user context against the current call; any mismatch produces an immediate 5000 rejection. Note: this check runs even after a successful idempotency-cache hit, and can override that cached response with a fresh 5000 error.</w:t>
      </w:r>
    </w:p>
    <w:p>
      <w:pPr>
        <w:spacing w:after="80"/>
      </w:pPr>
      <w:r>
        <w:rPr>
          <w:b/>
          <w:bCs/>
        </w:rPr>
        <w:t xml:space="preserve">6. </w:t>
      </w:r>
      <w:r>
        <w:t xml:space="preserve">If no response has been built yet by either of the two gates above, proceed to CREATE.OFS.MSG.</w:t>
      </w:r>
    </w:p>
    <w:p>
      <w:pPr>
        <w:spacing w:after="80"/>
      </w:pPr>
      <w:r>
        <w:rPr>
          <w:b/>
          <w:bCs/>
        </w:rPr>
        <w:t xml:space="preserve">7. </w:t>
      </w:r>
      <w:r>
        <w:t xml:space="preserve">CREATE.OFS.MSG — resolve FUNCTION.ID (V/I/U/VU → VALIDATE/PROCESS, switching to the Amend-mode OFS version for U/VU), normalize BRANCH.CODE, determine the commission charge currency from BEN.OUR.CHARGES, perform the primary currency conversion (including the optional EGP→USD second hop), then call GO.CALC if any commission types were requested.</w:t>
      </w:r>
    </w:p>
    <w:p>
      <w:pPr>
        <w:spacing w:after="80"/>
      </w:pPr>
      <w:r>
        <w:rPr>
          <w:b/>
          <w:bCs/>
        </w:rPr>
        <w:t xml:space="preserve">8. </w:t>
      </w:r>
      <w:r>
        <w:t xml:space="preserve">GO.CALC — for each requested commission line: if the channel gave an explicit amount, convert/round it directly; if not, call CALCULATE.CHARGE for the standard tariff amount, applying any waiver percentage, with the OVERRIDE.CUST.COMMISSION channel override taking precedence for OUTWARDCHG/OUTWARDACH types. Then, if any concession flags are set, call CHECK.CONCESSION, which can override the amount yet again via CIB.CALCULATE.CONCESSION.</w:t>
      </w:r>
    </w:p>
    <w:p>
      <w:pPr>
        <w:spacing w:after="80"/>
      </w:pPr>
      <w:r>
        <w:rPr>
          <w:b/>
          <w:bCs/>
        </w:rPr>
        <w:t xml:space="preserve">9. </w:t>
      </w:r>
      <w:r>
        <w:t xml:space="preserve">Loop through every remaining tag in the array and post it to the OFS record via SEND.OFS.MSG, excluding only whatever is listed in the FT08 row of CIB.MSG.CONFIG's remove-tags list (COMMISSION.RATE is NOT excluded by default — it is posted like any other passthrough field), and specially re-pairing COMMISSION.TYPE with COMMISSION.AMT using the recalculated values (with zero-amount lines already stripped out).</w:t>
      </w:r>
    </w:p>
    <w:p>
      <w:pPr>
        <w:spacing w:after="80"/>
      </w:pPr>
      <w:r>
        <w:rPr>
          <w:b/>
          <w:bCs/>
        </w:rPr>
        <w:t xml:space="preserve">10. </w:t>
      </w:r>
      <w:r>
        <w:t xml:space="preserve">Append the hardcoded ORDERING.CUST:1: = 'BNK' field, and — only if EXTERNAL.REF.FLAG is true — re-append EXTERNAL.REF and CHANNEL.CODE explicitly.</w:t>
      </w:r>
    </w:p>
    <w:p>
      <w:pPr>
        <w:spacing w:after="80"/>
      </w:pPr>
      <w:r>
        <w:rPr>
          <w:b/>
          <w:bCs/>
        </w:rPr>
        <w:t xml:space="preserve">11. </w:t>
      </w:r>
      <w:r>
        <w:t xml:space="preserve">Post via OFS.INITIALISE.SOURCE + OFS.BULK.MANAGER (or run in VALIDATE mode, depending on FUNCTION.ID).</w:t>
      </w:r>
    </w:p>
    <w:p>
      <w:pPr>
        <w:spacing w:after="80"/>
      </w:pPr>
      <w:r>
        <w:rPr>
          <w:b/>
          <w:bCs/>
        </w:rPr>
        <w:t xml:space="preserve">12. </w:t>
      </w:r>
      <w:r>
        <w:t xml:space="preserve">Interpret the OFS response: VAL='1' → 0000 (success); the literal text "NOT AUTH. RECORD NOT CHANGED" anywhere in the response is ALSO treated as 0000; anything else → 0006.</w:t>
      </w:r>
    </w:p>
    <w:p>
      <w:pPr>
        <w:spacing w:after="80"/>
      </w:pPr>
      <w:r>
        <w:rPr>
          <w:b/>
          <w:bCs/>
        </w:rPr>
        <w:t xml:space="preserve">13. </w:t>
      </w:r>
      <w:r>
        <w:t xml:space="preserve">If FUNCTION.ID ≠ VALIDATE, persist the final outcome to CIB.API.LOG (SAVE.MSG). If FUNCTION.ID = VALIDATE, write a lighter-weight log update directly (version name, record ID, response, OFS in/out) without going through SAVE.MSG.</w:t>
      </w:r>
    </w:p>
    <w:p>
      <w:pPr>
        <w:spacing w:after="80"/>
      </w:pPr>
      <w:r>
        <w:rPr>
          <w:b/>
          <w:bCs/>
        </w:rPr>
        <w:t xml:space="preserve">14. </w:t>
      </w:r>
      <w:r>
        <w:t xml:space="preserve">CREATE.RESPONSE — parse the OFS response into field/value pairs, compute the per-commission-line SAME_COMMISSON_RCVD comparison (what was requested vs what was actually applied), then build the outbound O.MSG entirely from the CIB.API.CONFIG.XML tag list for this service, substituting the reserved tag names (OFS_RETURN, RECORD_ID/ID.TAG, COMMISSION_AMT, COMMISSION_TYPE, SAME_COMMISSON_RCVD, CONCESSION) and looking up everything else directly in the parsed OFS response.</w:t>
      </w:r>
    </w:p>
    <w:p>
      <w:pPr>
        <w:spacing w:after="80"/>
      </w:pPr>
      <w:r>
        <w:rPr>
          <w:b/>
          <w:bCs/>
        </w:rPr>
        <w:t xml:space="preserve">15. </w:t>
      </w:r>
      <w:r>
        <w:t xml:space="preserve">Return O.MSG in the format HEADER.ID#RETURN.CODE#|&lt;config-defined pipe-delimited fields&gt;.</w:t>
      </w:r>
    </w:p>
    <w:p>
      <w:pPr>
        <w:pStyle w:val="Heading1"/>
        <w:pBdr>
          <w:bottom w:val="single" w:color="2E5395" w:sz="6" w:space="4"/>
        </w:pBdr>
        <w:spacing w:after="150" w:before="300"/>
      </w:pPr>
      <w:r>
        <w:t xml:space="preserve">3. Validations &amp; Business Rules</w:t>
      </w:r>
    </w:p>
    <w:p>
      <w:pPr>
        <w:pStyle w:val="Heading2"/>
        <w:spacing w:after="120" w:before="260"/>
      </w:pPr>
      <w:r>
        <w:t xml:space="preserve">3.1 Idempotency / Duplicate Message Check</w:t>
      </w:r>
    </w:p>
    <w:p>
      <w:pPr>
        <w:pStyle w:val="ListParagraph"/>
        <w:numPr>
          <w:ilvl w:val="0"/>
          <w:numId w:val="1"/>
        </w:numPr>
        <w:spacing w:after="60"/>
      </w:pPr>
      <w:r>
        <w:t xml:space="preserve">Every inbound MSG.ID is looked up in CIB.API.LOG.</w:t>
      </w:r>
    </w:p>
    <w:p>
      <w:pPr>
        <w:pStyle w:val="ListParagraph"/>
        <w:numPr>
          <w:ilvl w:val="0"/>
          <w:numId w:val="1"/>
        </w:numPr>
        <w:spacing w:after="60"/>
      </w:pPr>
      <w:r>
        <w:t xml:space="preserve">If found with a prior return code of 0000, the cached response is replayed immediately — but with return code 1001, not 0000, so the channel can distinguish a fresh success from a replayed one.</w:t>
      </w:r>
    </w:p>
    <w:p>
      <w:pPr>
        <w:pStyle w:val="ListParagraph"/>
        <w:numPr>
          <w:ilvl w:val="0"/>
          <w:numId w:val="1"/>
        </w:numPr>
        <w:spacing w:after="60"/>
      </w:pPr>
      <w:r>
        <w:t xml:space="preserve">If found with any other prior return code (a previous failed attempt), the routine does NOT short-circuit — it falls through and reprocesses normally.</w:t>
      </w:r>
    </w:p>
    <w:p>
      <w:pPr>
        <w:spacing w:after="120"/>
      </w:pPr>
      <w:r>
        <w:rPr>
          <w:i/>
          <w:iCs/>
          <w:color w:val="C00000"/>
        </w:rPr>
        <w:t xml:space="preserve">Gap risk: unlike CIB.OT.FT's idempotency cache (which returns the SAME return code, 0000, on replay), this routine deliberately returns a DIFFERENT code (1001) on replay. Any TPH/IRIS idempotency mechanism must preserve this distinction — a generic "return the same cached response" implementation would not be equivalent.</w:t>
      </w:r>
    </w:p>
    <w:p>
      <w:pPr>
        <w:pStyle w:val="Heading2"/>
        <w:spacing w:after="120" w:before="260"/>
      </w:pPr>
      <w:r>
        <w:t xml:space="preserve">3.2 External Reference Integrity Check (Conditional)</w:t>
      </w:r>
    </w:p>
    <w:p>
      <w:pPr>
        <w:pStyle w:val="ListParagraph"/>
        <w:numPr>
          <w:ilvl w:val="0"/>
          <w:numId w:val="1"/>
        </w:numPr>
        <w:spacing w:after="60"/>
      </w:pPr>
      <w:r>
        <w:t xml:space="preserve">Only runs if the channel supplied an EXTERNAL.REF tag.</w:t>
      </w:r>
    </w:p>
    <w:p>
      <w:pPr>
        <w:pStyle w:val="ListParagraph"/>
        <w:numPr>
          <w:ilvl w:val="0"/>
          <w:numId w:val="1"/>
        </w:numPr>
        <w:spacing w:after="60"/>
      </w:pPr>
      <w:r>
        <w:t xml:space="preserve">Reads the target application's NAU (pending/uncommitted) record for this record ID. If one exists, it means this transaction already has an unauthorized amendment in flight.</w:t>
      </w:r>
    </w:p>
    <w:p>
      <w:pPr>
        <w:pStyle w:val="ListParagraph"/>
        <w:numPr>
          <w:ilvl w:val="0"/>
          <w:numId w:val="1"/>
        </w:numPr>
        <w:spacing w:after="60"/>
      </w:pPr>
      <w:r>
        <w:t xml:space="preserve">Rejects (5000) if the external reference differs from what's stored on the pending record.</w:t>
      </w:r>
    </w:p>
    <w:p>
      <w:pPr>
        <w:pStyle w:val="ListParagraph"/>
        <w:numPr>
          <w:ilvl w:val="0"/>
          <w:numId w:val="1"/>
        </w:numPr>
        <w:spacing w:after="60"/>
      </w:pPr>
      <w:r>
        <w:t xml:space="preserve">Rejects (5000) if the channel code differs from what's stored on the pending record.</w:t>
      </w:r>
    </w:p>
    <w:p>
      <w:pPr>
        <w:pStyle w:val="ListParagraph"/>
        <w:numPr>
          <w:ilvl w:val="0"/>
          <w:numId w:val="1"/>
        </w:numPr>
        <w:spacing w:after="60"/>
      </w:pPr>
      <w:r>
        <w:t xml:space="preserve">Rejects if the pending record's inputter/user context doesn't contain an 'OFS.SERVICE.ID' marker — though note this specific branch sets CUR.STATUS rather than RETURN.CODE (see §9 Technical Debt), so the actual code returned to the channel for this specific failure needs verification.</w:t>
      </w:r>
    </w:p>
    <w:p>
      <w:pPr>
        <w:spacing w:after="120"/>
      </w:pPr>
      <w:r>
        <w:rPr>
          <w:i/>
          <w:iCs/>
        </w:rPr>
        <w:t xml:space="preserve">This is effectively a concurrency/tamper guard: it stops a second call for the same in-flight transaction from succeeding unless it's consistent with the first.</w:t>
      </w:r>
    </w:p>
    <w:p>
      <w:pPr>
        <w:pStyle w:val="Heading2"/>
        <w:spacing w:after="120" w:before="260"/>
      </w:pPr>
      <w:r>
        <w:t xml:space="preserve">3.3 Commission Currency Selection &amp; Two-Hop Conversion</w:t>
      </w:r>
    </w:p>
    <w:p>
      <w:pPr>
        <w:pStyle w:val="ListParagraph"/>
        <w:numPr>
          <w:ilvl w:val="0"/>
          <w:numId w:val="1"/>
        </w:numPr>
        <w:spacing w:after="60"/>
      </w:pPr>
      <w:r>
        <w:t xml:space="preserve">Commission currency = target (credit) account currency if BEN.OUR.CHARGES = 'BEN', otherwise the source (debit) account currency.</w:t>
      </w:r>
    </w:p>
    <w:p>
      <w:pPr>
        <w:pStyle w:val="ListParagraph"/>
        <w:numPr>
          <w:ilvl w:val="0"/>
          <w:numId w:val="1"/>
        </w:numPr>
        <w:spacing w:after="60"/>
      </w:pPr>
      <w:r>
        <w:t xml:space="preserve">If the commission currency differs from the deal (transfer) currency, the deal amount is converted via EXCHRATE using the supplied customer rate.</w:t>
      </w:r>
    </w:p>
    <w:p>
      <w:pPr>
        <w:pStyle w:val="ListParagraph"/>
        <w:numPr>
          <w:ilvl w:val="0"/>
          <w:numId w:val="1"/>
        </w:numPr>
        <w:spacing w:after="60"/>
      </w:pPr>
      <w:r>
        <w:t xml:space="preserve">Special case: if the resulting commission currency is EGP AND a separate USD.RATE was supplied, a SECOND conversion is performed from EGP into USD using that rate — an unusual two-hop FX path specific to this routine.</w:t>
      </w:r>
    </w:p>
    <w:p>
      <w:pPr>
        <w:spacing w:after="120"/>
      </w:pPr>
      <w:r>
        <w:rPr>
          <w:i/>
          <w:iCs/>
          <w:color w:val="C00000"/>
        </w:rPr>
        <w:t xml:space="preserve">Gap risk: this two-hop conversion is a non-obvious business rule. Confirm whether IRIS/TPH's FX handling needs to replicate this exact two-step path or whether it can be simplified — but do not assume it's safe to drop without checking with Treasury/Product.</w:t>
      </w:r>
    </w:p>
    <w:p>
      <w:pPr>
        <w:pStyle w:val="Heading2"/>
        <w:spacing w:after="120" w:before="260"/>
      </w:pPr>
      <w:r>
        <w:t xml:space="preserve">3.4 Commission Calculation — Three-Layer Override Stack</w:t>
      </w:r>
    </w:p>
    <w:p>
      <w:pPr>
        <w:pStyle w:val="ListParagraph"/>
        <w:numPr>
          <w:ilvl w:val="0"/>
          <w:numId w:val="1"/>
        </w:numPr>
        <w:spacing w:after="60"/>
      </w:pPr>
      <w:r>
        <w:t xml:space="preserve">Layer 1 (base): if the channel didn't supply an explicit amount for a commission type, CALCULATE.CHARGE computes the standard tariff amount from the customer's conditions, then any waiver percentage is applied.</w:t>
      </w:r>
    </w:p>
    <w:p>
      <w:pPr>
        <w:pStyle w:val="ListParagraph"/>
        <w:numPr>
          <w:ilvl w:val="0"/>
          <w:numId w:val="1"/>
        </w:numPr>
        <w:spacing w:after="60"/>
      </w:pPr>
      <w:r>
        <w:t xml:space="preserve">Layer 2 (channel override): for commission types OUTWARDCHG or OUTWARDACH specifically, if the channel supplied a non-blank, non-zero OVERRIDE.CUST.COMMISSION value, that value is used instead of the Layer 1 result.</w:t>
      </w:r>
    </w:p>
    <w:p>
      <w:pPr>
        <w:pStyle w:val="ListParagraph"/>
        <w:numPr>
          <w:ilvl w:val="0"/>
          <w:numId w:val="1"/>
        </w:numPr>
        <w:spacing w:after="60"/>
      </w:pPr>
      <w:r>
        <w:t xml:space="preserve">Layer 3 (concession engine): if any concession flags are set, CIB.CALCULATE.CONCESSION is called; where it returns 'Y' for a line, the commission amount from Layer 1 or 2 is overwritten again with the concession-adjusted amount.</w:t>
      </w:r>
    </w:p>
    <w:p>
      <w:pPr>
        <w:spacing w:after="120"/>
      </w:pPr>
      <w:r>
        <w:rPr>
          <w:i/>
          <w:iCs/>
          <w:color w:val="C00000"/>
        </w:rPr>
        <w:t xml:space="preserve">Precedence matters: Layer 3 can override Layer 2, meaning the concession engine has the final say even over a channel-forced fee override. This exact precedence order must be preserved in the TPH/IRIS re-implementation — reversing it would change what customers get charged.</w:t>
      </w:r>
    </w:p>
    <w:p>
      <w:pPr>
        <w:pStyle w:val="ListParagraph"/>
        <w:numPr>
          <w:ilvl w:val="0"/>
          <w:numId w:val="1"/>
        </w:numPr>
        <w:spacing w:after="60"/>
      </w:pPr>
      <w:r>
        <w:t xml:space="preserve">Any commission line that ends up with a calculated amount of zero is filtered out entirely and never posted or returned.</w:t>
      </w:r>
    </w:p>
    <w:p>
      <w:pPr>
        <w:pStyle w:val="Heading2"/>
        <w:spacing w:after="120" w:before="260"/>
      </w:pPr>
      <w:r>
        <w:t xml:space="preserve">3.5 Commission Code Auto-Default</w:t>
      </w:r>
    </w:p>
    <w:p>
      <w:pPr>
        <w:pStyle w:val="ListParagraph"/>
        <w:numPr>
          <w:ilvl w:val="0"/>
          <w:numId w:val="1"/>
        </w:numPr>
        <w:spacing w:after="60"/>
      </w:pPr>
      <w:r>
        <w:t xml:space="preserve">If COMMISSION.CODE is blank on input and BEN.OUR.CHARGES = 'BEN', it is auto-defaulted to 'CREDIT LESS CHARGES' before posting. (Note: unlike CIB.OT.FT, this routine only has the BEN default branch — no equivalent OUR/SHA default logic is present here.)</w:t>
      </w:r>
    </w:p>
    <w:p>
      <w:pPr>
        <w:pStyle w:val="Heading2"/>
        <w:spacing w:after="120" w:before="260"/>
      </w:pPr>
      <w:r>
        <w:t xml:space="preserve">3.6 Requested-vs-Applied Commission Reconciliation Flag (SAME_COMMISSON_RCVD)</w:t>
      </w:r>
    </w:p>
    <w:p>
      <w:pPr>
        <w:pStyle w:val="ListParagraph"/>
        <w:numPr>
          <w:ilvl w:val="0"/>
          <w:numId w:val="1"/>
        </w:numPr>
        <w:spacing w:after="60"/>
      </w:pPr>
      <w:r>
        <w:t xml:space="preserve">For every commission line, the routine compares what the channel originally sent in (SEND.COMMISSIONS.CALC / SEND.COMMISSIONS.AMOUNTS) against what was actually posted and returned by T24 (parsed back out of the OFS response).</w:t>
      </w:r>
    </w:p>
    <w:p>
      <w:pPr>
        <w:pStyle w:val="ListParagraph"/>
        <w:numPr>
          <w:ilvl w:val="0"/>
          <w:numId w:val="1"/>
        </w:numPr>
        <w:spacing w:after="60"/>
      </w:pPr>
      <w:r>
        <w:t xml:space="preserve">'Y' — the applied amount matches what the channel requested (with a special rule: a 3-character T24 amount value, i.e. just a currency code with no numeric amount, is treated as literally '0.00' for comparison purposes).</w:t>
      </w:r>
    </w:p>
    <w:p>
      <w:pPr>
        <w:pStyle w:val="ListParagraph"/>
        <w:numPr>
          <w:ilvl w:val="0"/>
          <w:numId w:val="1"/>
        </w:numPr>
        <w:spacing w:after="60"/>
      </w:pPr>
      <w:r>
        <w:t xml:space="preserve">'N' — the applied amount differs from what the channel requested.</w:t>
      </w:r>
    </w:p>
    <w:p>
      <w:pPr>
        <w:pStyle w:val="ListParagraph"/>
        <w:numPr>
          <w:ilvl w:val="0"/>
          <w:numId w:val="1"/>
        </w:numPr>
        <w:spacing w:after="60"/>
      </w:pPr>
      <w:r>
        <w:t xml:space="preserve">'W' — a commission line was applied that the channel never requested in the first place (a new/waived line appeared).</w:t>
      </w:r>
    </w:p>
    <w:p>
      <w:pPr>
        <w:pStyle w:val="ListParagraph"/>
        <w:numPr>
          <w:ilvl w:val="0"/>
          <w:numId w:val="1"/>
        </w:numPr>
        <w:spacing w:after="60"/>
      </w:pPr>
      <w:r>
        <w:t xml:space="preserve">Blank — neither side had a value for that line.</w:t>
      </w:r>
    </w:p>
    <w:p>
      <w:pPr>
        <w:spacing w:after="120"/>
      </w:pPr>
      <w:r>
        <w:rPr>
          <w:color w:val="C00000"/>
        </w:rPr>
        <w:t xml:space="preserve">This flag is a control-relevant field, not a nice-to-have: it is the channel's only signal that the price it already quoted the customer may no longer be accurate. It must be preserved with identical semantics in the TPH/IRIS response contract.</w:t>
      </w:r>
    </w:p>
    <w:p>
      <w:pPr>
        <w:pStyle w:val="Heading1"/>
        <w:pBdr>
          <w:bottom w:val="single" w:color="2E5395" w:sz="6" w:space="4"/>
        </w:pBdr>
        <w:spacing w:after="150" w:before="300"/>
      </w:pPr>
      <w:r>
        <w:t xml:space="preserve">4. Response Contract</w:t>
      </w:r>
    </w:p>
    <w:p>
      <w:pPr>
        <w:spacing w:after="120"/>
      </w:pPr>
      <w:r>
        <w:t xml:space="preserve">Format: HEADER.ID#RETURN.CODE#|&lt;pipe-delimited fields defined by CIB.API.CONFIG.XML for SRVC.ID=FT08, in the exact order and count configured&gt;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rPr>
          <w:tblHeader/>
        </w:trPr>
        <w:tc>
          <w:tcPr>
            <w:tcW w:type="dxa" w:w="1685"/>
            <w:shd w:fill="2E5395" w:val="clear"/>
            <w:tcMar>
              <w:top w:type="dxa" w:w="80"/>
              <w:left w:type="dxa" w:w="100"/>
              <w:bottom w:type="dxa" w:w="80"/>
              <w:right w:type="dxa" w:w="100"/>
            </w:tcMar>
          </w:tcPr>
          <w:p>
            <w:r>
              <w:rPr>
                <w:b/>
                <w:bCs/>
                <w:color w:val="FFFFFF"/>
              </w:rPr>
              <w:t xml:space="preserve">Return Code</w:t>
            </w:r>
          </w:p>
        </w:tc>
        <w:tc>
          <w:tcPr>
            <w:tcW w:type="dxa" w:w="7675"/>
            <w:shd w:fill="2E5395" w:val="clear"/>
            <w:tcMar>
              <w:top w:type="dxa" w:w="80"/>
              <w:left w:type="dxa" w:w="100"/>
              <w:bottom w:type="dxa" w:w="80"/>
              <w:right w:type="dxa" w:w="100"/>
            </w:tcMar>
          </w:tcPr>
          <w:p>
            <w:r>
              <w:rPr>
                <w:b/>
                <w:bCs/>
                <w:color w:val="FFFFFF"/>
              </w:rPr>
              <w:t xml:space="preserve">Meaning</w:t>
            </w:r>
          </w:p>
        </w:tc>
      </w:tr>
      <w:tr>
        <w:tc>
          <w:tcPr>
            <w:tcW w:type="dxa" w:w="1685"/>
            <w:tcMar>
              <w:top w:type="dxa" w:w="60"/>
              <w:left w:type="dxa" w:w="100"/>
              <w:bottom w:type="dxa" w:w="60"/>
              <w:right w:type="dxa" w:w="100"/>
            </w:tcMar>
          </w:tcPr>
          <w:p>
            <w:r>
              <w:rPr>
                <w:b w:val="false"/>
                <w:bCs w:val="false"/>
              </w:rPr>
              <w:t xml:space="preserve">0000</w:t>
            </w:r>
          </w:p>
        </w:tc>
        <w:tc>
          <w:tcPr>
            <w:tcW w:type="dxa" w:w="7675"/>
            <w:tcMar>
              <w:top w:type="dxa" w:w="60"/>
              <w:left w:type="dxa" w:w="100"/>
              <w:bottom w:type="dxa" w:w="60"/>
              <w:right w:type="dxa" w:w="100"/>
            </w:tcMar>
          </w:tcPr>
          <w:p>
            <w:r>
              <w:rPr>
                <w:b w:val="false"/>
                <w:bCs w:val="false"/>
              </w:rPr>
              <w:t xml:space="preserve">Success — OFS post/validate accepted (VAL='1'), OR T24 returned "NOT AUTH. RECORD NOT CHANGED" (an already-authorized/no-change condition, deliberately treated as success, not failure)</w:t>
            </w:r>
          </w:p>
        </w:tc>
      </w:tr>
      <w:tr>
        <w:tc>
          <w:tcPr>
            <w:tcW w:type="dxa" w:w="1685"/>
            <w:tcMar>
              <w:top w:type="dxa" w:w="60"/>
              <w:left w:type="dxa" w:w="100"/>
              <w:bottom w:type="dxa" w:w="60"/>
              <w:right w:type="dxa" w:w="100"/>
            </w:tcMar>
          </w:tcPr>
          <w:p>
            <w:r>
              <w:rPr>
                <w:b w:val="false"/>
                <w:bCs w:val="false"/>
              </w:rPr>
              <w:t xml:space="preserve">0006</w:t>
            </w:r>
          </w:p>
        </w:tc>
        <w:tc>
          <w:tcPr>
            <w:tcW w:type="dxa" w:w="7675"/>
            <w:tcMar>
              <w:top w:type="dxa" w:w="60"/>
              <w:left w:type="dxa" w:w="100"/>
              <w:bottom w:type="dxa" w:w="60"/>
              <w:right w:type="dxa" w:w="100"/>
            </w:tcMar>
          </w:tcPr>
          <w:p>
            <w:r>
              <w:rPr>
                <w:b w:val="false"/>
                <w:bCs w:val="false"/>
              </w:rPr>
              <w:t xml:space="preserve">Default/generic failure — OFS post rejected and neither of the 0000 conditions above was met</w:t>
            </w:r>
          </w:p>
        </w:tc>
      </w:tr>
      <w:tr>
        <w:tc>
          <w:tcPr>
            <w:tcW w:type="dxa" w:w="1685"/>
            <w:tcMar>
              <w:top w:type="dxa" w:w="60"/>
              <w:left w:type="dxa" w:w="100"/>
              <w:bottom w:type="dxa" w:w="60"/>
              <w:right w:type="dxa" w:w="100"/>
            </w:tcMar>
          </w:tcPr>
          <w:p>
            <w:r>
              <w:rPr>
                <w:b w:val="false"/>
                <w:bCs w:val="false"/>
              </w:rPr>
              <w:t xml:space="preserve">1001</w:t>
            </w:r>
          </w:p>
        </w:tc>
        <w:tc>
          <w:tcPr>
            <w:tcW w:type="dxa" w:w="7675"/>
            <w:tcMar>
              <w:top w:type="dxa" w:w="60"/>
              <w:left w:type="dxa" w:w="100"/>
              <w:bottom w:type="dxa" w:w="60"/>
              <w:right w:type="dxa" w:w="100"/>
            </w:tcMar>
          </w:tcPr>
          <w:p>
            <w:r>
              <w:rPr>
                <w:b w:val="false"/>
                <w:bCs w:val="false"/>
              </w:rPr>
              <w:t xml:space="preserve">Duplicate message — a prior call with the same MSG.ID already completed successfully (0000); this call replays the cached response instead of reprocessing</w:t>
            </w:r>
          </w:p>
        </w:tc>
      </w:tr>
      <w:tr>
        <w:tc>
          <w:tcPr>
            <w:tcW w:type="dxa" w:w="1685"/>
            <w:tcMar>
              <w:top w:type="dxa" w:w="60"/>
              <w:left w:type="dxa" w:w="100"/>
              <w:bottom w:type="dxa" w:w="60"/>
              <w:right w:type="dxa" w:w="100"/>
            </w:tcMar>
          </w:tcPr>
          <w:p>
            <w:r>
              <w:rPr>
                <w:b w:val="false"/>
                <w:bCs w:val="false"/>
              </w:rPr>
              <w:t xml:space="preserve">5000</w:t>
            </w:r>
          </w:p>
        </w:tc>
        <w:tc>
          <w:tcPr>
            <w:tcW w:type="dxa" w:w="7675"/>
            <w:tcMar>
              <w:top w:type="dxa" w:w="60"/>
              <w:left w:type="dxa" w:w="100"/>
              <w:bottom w:type="dxa" w:w="60"/>
              <w:right w:type="dxa" w:w="100"/>
            </w:tcMar>
          </w:tcPr>
          <w:p>
            <w:r>
              <w:rPr>
                <w:b w:val="false"/>
                <w:bCs w:val="false"/>
              </w:rPr>
              <w:t xml:space="preserve">External reference / channel code / inputter-user mismatch — this record already has a pending (NAU) amendment in flight, and the new external ref, channel, or user context doesn't match it</w:t>
            </w:r>
          </w:p>
        </w:tc>
      </w:tr>
    </w:tbl>
    <w:p>
      <w:pPr>
        <w:spacing w:after="150"/>
      </w:pPr>
    </w:p>
    <w:p>
      <w:pPr>
        <w:spacing w:after="120"/>
      </w:pPr>
      <w:r>
        <w:rPr>
          <w:b/>
          <w:bCs/>
        </w:rPr>
        <w:t xml:space="preserve">Response Tag Semantics (from CIB.API.CONFIG.XML)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9"/>
        <w:gridCol w:w="1285"/>
        <w:gridCol w:w="5506"/>
      </w:tblGrid>
      <w:tr>
        <w:trPr>
          <w:tblHeader/>
        </w:trPr>
        <w:tc>
          <w:tcPr>
            <w:tcW w:type="dxa" w:w="2569"/>
            <w:shd w:fill="2E5395" w:val="clear"/>
            <w:tcMar>
              <w:top w:type="dxa" w:w="80"/>
              <w:left w:type="dxa" w:w="100"/>
              <w:bottom w:type="dxa" w:w="80"/>
              <w:right w:type="dxa" w:w="100"/>
            </w:tcMar>
          </w:tcPr>
          <w:p>
            <w:r>
              <w:rPr>
                <w:b/>
                <w:bCs/>
                <w:color w:val="FFFFFF"/>
              </w:rPr>
              <w:t xml:space="preserve">Tag</w:t>
            </w:r>
          </w:p>
        </w:tc>
        <w:tc>
          <w:tcPr>
            <w:tcW w:type="dxa" w:w="1285"/>
            <w:shd w:fill="2E5395" w:val="clear"/>
            <w:tcMar>
              <w:top w:type="dxa" w:w="80"/>
              <w:left w:type="dxa" w:w="100"/>
              <w:bottom w:type="dxa" w:w="80"/>
              <w:right w:type="dxa" w:w="100"/>
            </w:tcMar>
          </w:tcPr>
          <w:p>
            <w:r>
              <w:rPr>
                <w:b/>
                <w:bCs/>
                <w:color w:val="FFFFFF"/>
              </w:rPr>
              <w:t xml:space="preserve">Type</w:t>
            </w:r>
          </w:p>
        </w:tc>
        <w:tc>
          <w:tcPr>
            <w:tcW w:type="dxa" w:w="5506"/>
            <w:shd w:fill="2E5395" w:val="clear"/>
            <w:tcMar>
              <w:top w:type="dxa" w:w="80"/>
              <w:left w:type="dxa" w:w="100"/>
              <w:bottom w:type="dxa" w:w="80"/>
              <w:right w:type="dxa" w:w="100"/>
            </w:tcMar>
          </w:tcPr>
          <w:p>
            <w:r>
              <w:rPr>
                <w:b/>
                <w:bCs/>
                <w:color w:val="FFFFFF"/>
              </w:rPr>
              <w:t xml:space="preserve">Meaning</w:t>
            </w:r>
          </w:p>
        </w:tc>
      </w:tr>
      <w:tr>
        <w:tc>
          <w:tcPr>
            <w:tcW w:type="dxa" w:w="2569"/>
            <w:tcMar>
              <w:top w:type="dxa" w:w="60"/>
              <w:left w:type="dxa" w:w="100"/>
              <w:bottom w:type="dxa" w:w="60"/>
              <w:right w:type="dxa" w:w="100"/>
            </w:tcMar>
          </w:tcPr>
          <w:p>
            <w:r>
              <w:rPr>
                <w:b w:val="false"/>
                <w:bCs w:val="false"/>
              </w:rPr>
              <w:t xml:space="preserve">OFS_RETURN</w:t>
            </w:r>
          </w:p>
        </w:tc>
        <w:tc>
          <w:tcPr>
            <w:tcW w:type="dxa" w:w="1285"/>
            <w:tcMar>
              <w:top w:type="dxa" w:w="60"/>
              <w:left w:type="dxa" w:w="100"/>
              <w:bottom w:type="dxa" w:w="60"/>
              <w:right w:type="dxa" w:w="100"/>
            </w:tcMar>
          </w:tcPr>
          <w:p>
            <w:r>
              <w:rPr>
                <w:b w:val="false"/>
                <w:bCs w:val="false"/>
              </w:rPr>
              <w:t xml:space="preserve">Reserved</w:t>
            </w:r>
          </w:p>
        </w:tc>
        <w:tc>
          <w:tcPr>
            <w:tcW w:type="dxa" w:w="5506"/>
            <w:tcMar>
              <w:top w:type="dxa" w:w="60"/>
              <w:left w:type="dxa" w:w="100"/>
              <w:bottom w:type="dxa" w:w="60"/>
              <w:right w:type="dxa" w:w="100"/>
            </w:tcMar>
          </w:tcPr>
          <w:p>
            <w:r>
              <w:rPr>
                <w:b w:val="false"/>
                <w:bCs w:val="false"/>
              </w:rPr>
              <w:t xml:space="preserve">The raw OFS response string (whatever T24 returned for the posting/validate call)</w:t>
            </w:r>
          </w:p>
        </w:tc>
      </w:tr>
      <w:tr>
        <w:tc>
          <w:tcPr>
            <w:tcW w:type="dxa" w:w="2569"/>
            <w:tcMar>
              <w:top w:type="dxa" w:w="60"/>
              <w:left w:type="dxa" w:w="100"/>
              <w:bottom w:type="dxa" w:w="60"/>
              <w:right w:type="dxa" w:w="100"/>
            </w:tcMar>
          </w:tcPr>
          <w:p>
            <w:r>
              <w:rPr>
                <w:b w:val="false"/>
                <w:bCs w:val="false"/>
              </w:rPr>
              <w:t xml:space="preserve">RECORD_ID or &lt;the configured ID.TAG name&gt;</w:t>
            </w:r>
          </w:p>
        </w:tc>
        <w:tc>
          <w:tcPr>
            <w:tcW w:type="dxa" w:w="1285"/>
            <w:tcMar>
              <w:top w:type="dxa" w:w="60"/>
              <w:left w:type="dxa" w:w="100"/>
              <w:bottom w:type="dxa" w:w="60"/>
              <w:right w:type="dxa" w:w="100"/>
            </w:tcMar>
          </w:tcPr>
          <w:p>
            <w:r>
              <w:rPr>
                <w:b w:val="false"/>
                <w:bCs w:val="false"/>
              </w:rPr>
              <w:t xml:space="preserve">Reserved</w:t>
            </w:r>
          </w:p>
        </w:tc>
        <w:tc>
          <w:tcPr>
            <w:tcW w:type="dxa" w:w="5506"/>
            <w:tcMar>
              <w:top w:type="dxa" w:w="60"/>
              <w:left w:type="dxa" w:w="100"/>
              <w:bottom w:type="dxa" w:w="60"/>
              <w:right w:type="dxa" w:w="100"/>
            </w:tcMar>
          </w:tcPr>
          <w:p>
            <w:r>
              <w:rPr>
                <w:b w:val="false"/>
                <w:bCs w:val="false"/>
              </w:rPr>
              <w:t xml:space="preserve">The record ID assigned/used by T24 for this transaction</w:t>
            </w:r>
          </w:p>
        </w:tc>
      </w:tr>
      <w:tr>
        <w:tc>
          <w:tcPr>
            <w:tcW w:type="dxa" w:w="2569"/>
            <w:tcMar>
              <w:top w:type="dxa" w:w="60"/>
              <w:left w:type="dxa" w:w="100"/>
              <w:bottom w:type="dxa" w:w="60"/>
              <w:right w:type="dxa" w:w="100"/>
            </w:tcMar>
          </w:tcPr>
          <w:p>
            <w:r>
              <w:rPr>
                <w:b w:val="false"/>
                <w:bCs w:val="false"/>
              </w:rPr>
              <w:t xml:space="preserve">COMMISSION_AMT</w:t>
            </w:r>
          </w:p>
        </w:tc>
        <w:tc>
          <w:tcPr>
            <w:tcW w:type="dxa" w:w="1285"/>
            <w:tcMar>
              <w:top w:type="dxa" w:w="60"/>
              <w:left w:type="dxa" w:w="100"/>
              <w:bottom w:type="dxa" w:w="60"/>
              <w:right w:type="dxa" w:w="100"/>
            </w:tcMar>
          </w:tcPr>
          <w:p>
            <w:r>
              <w:rPr>
                <w:b w:val="false"/>
                <w:bCs w:val="false"/>
              </w:rPr>
              <w:t xml:space="preserve">Reserved</w:t>
            </w:r>
          </w:p>
        </w:tc>
        <w:tc>
          <w:tcPr>
            <w:tcW w:type="dxa" w:w="5506"/>
            <w:tcMar>
              <w:top w:type="dxa" w:w="60"/>
              <w:left w:type="dxa" w:w="100"/>
              <w:bottom w:type="dxa" w:w="60"/>
              <w:right w:type="dxa" w:w="100"/>
            </w:tcMar>
          </w:tcPr>
          <w:p>
            <w:r>
              <w:rPr>
                <w:b w:val="false"/>
                <w:bCs w:val="false"/>
              </w:rPr>
              <w:t xml:space="preserve">Final calculated commission amount(s) — only populated when RETURN.CODE = 0000</w:t>
            </w:r>
          </w:p>
        </w:tc>
      </w:tr>
      <w:tr>
        <w:tc>
          <w:tcPr>
            <w:tcW w:type="dxa" w:w="2569"/>
            <w:tcMar>
              <w:top w:type="dxa" w:w="60"/>
              <w:left w:type="dxa" w:w="100"/>
              <w:bottom w:type="dxa" w:w="60"/>
              <w:right w:type="dxa" w:w="100"/>
            </w:tcMar>
          </w:tcPr>
          <w:p>
            <w:r>
              <w:rPr>
                <w:b w:val="false"/>
                <w:bCs w:val="false"/>
              </w:rPr>
              <w:t xml:space="preserve">COMMISSION_TYPE</w:t>
            </w:r>
          </w:p>
        </w:tc>
        <w:tc>
          <w:tcPr>
            <w:tcW w:type="dxa" w:w="1285"/>
            <w:tcMar>
              <w:top w:type="dxa" w:w="60"/>
              <w:left w:type="dxa" w:w="100"/>
              <w:bottom w:type="dxa" w:w="60"/>
              <w:right w:type="dxa" w:w="100"/>
            </w:tcMar>
          </w:tcPr>
          <w:p>
            <w:r>
              <w:rPr>
                <w:b w:val="false"/>
                <w:bCs w:val="false"/>
              </w:rPr>
              <w:t xml:space="preserve">Reserved</w:t>
            </w:r>
          </w:p>
        </w:tc>
        <w:tc>
          <w:tcPr>
            <w:tcW w:type="dxa" w:w="5506"/>
            <w:tcMar>
              <w:top w:type="dxa" w:w="60"/>
              <w:left w:type="dxa" w:w="100"/>
              <w:bottom w:type="dxa" w:w="60"/>
              <w:right w:type="dxa" w:w="100"/>
            </w:tcMar>
          </w:tcPr>
          <w:p>
            <w:r>
              <w:rPr>
                <w:b w:val="false"/>
                <w:bCs w:val="false"/>
              </w:rPr>
              <w:t xml:space="preserve">Final commission type(s) actually applied — only populated when RETURN.CODE = 0000</w:t>
            </w:r>
          </w:p>
        </w:tc>
      </w:tr>
      <w:tr>
        <w:tc>
          <w:tcPr>
            <w:tcW w:type="dxa" w:w="2569"/>
            <w:tcMar>
              <w:top w:type="dxa" w:w="60"/>
              <w:left w:type="dxa" w:w="100"/>
              <w:bottom w:type="dxa" w:w="60"/>
              <w:right w:type="dxa" w:w="100"/>
            </w:tcMar>
          </w:tcPr>
          <w:p>
            <w:r>
              <w:rPr>
                <w:b w:val="false"/>
                <w:bCs w:val="false"/>
              </w:rPr>
              <w:t xml:space="preserve">SAME_COMMISSON_RCVD</w:t>
            </w:r>
          </w:p>
        </w:tc>
        <w:tc>
          <w:tcPr>
            <w:tcW w:type="dxa" w:w="1285"/>
            <w:tcMar>
              <w:top w:type="dxa" w:w="60"/>
              <w:left w:type="dxa" w:w="100"/>
              <w:bottom w:type="dxa" w:w="60"/>
              <w:right w:type="dxa" w:w="100"/>
            </w:tcMar>
          </w:tcPr>
          <w:p>
            <w:r>
              <w:rPr>
                <w:b w:val="false"/>
                <w:bCs w:val="false"/>
              </w:rPr>
              <w:t xml:space="preserve">Reserved</w:t>
            </w:r>
          </w:p>
        </w:tc>
        <w:tc>
          <w:tcPr>
            <w:tcW w:type="dxa" w:w="5506"/>
            <w:tcMar>
              <w:top w:type="dxa" w:w="60"/>
              <w:left w:type="dxa" w:w="100"/>
              <w:bottom w:type="dxa" w:w="60"/>
              <w:right w:type="dxa" w:w="100"/>
            </w:tcMar>
          </w:tcPr>
          <w:p>
            <w:r>
              <w:rPr>
                <w:b w:val="false"/>
                <w:bCs w:val="false"/>
              </w:rPr>
              <w:t xml:space="preserve">Per-line Y/N/W flag (see §3.6) — only populated when RETURN.CODE = 0000</w:t>
            </w:r>
          </w:p>
        </w:tc>
      </w:tr>
      <w:tr>
        <w:tc>
          <w:tcPr>
            <w:tcW w:type="dxa" w:w="2569"/>
            <w:tcMar>
              <w:top w:type="dxa" w:w="60"/>
              <w:left w:type="dxa" w:w="100"/>
              <w:bottom w:type="dxa" w:w="60"/>
              <w:right w:type="dxa" w:w="100"/>
            </w:tcMar>
          </w:tcPr>
          <w:p>
            <w:r>
              <w:rPr>
                <w:b w:val="false"/>
                <w:bCs w:val="false"/>
              </w:rPr>
              <w:t xml:space="preserve">CONCESSION</w:t>
            </w:r>
          </w:p>
        </w:tc>
        <w:tc>
          <w:tcPr>
            <w:tcW w:type="dxa" w:w="1285"/>
            <w:tcMar>
              <w:top w:type="dxa" w:w="60"/>
              <w:left w:type="dxa" w:w="100"/>
              <w:bottom w:type="dxa" w:w="60"/>
              <w:right w:type="dxa" w:w="100"/>
            </w:tcMar>
          </w:tcPr>
          <w:p>
            <w:r>
              <w:rPr>
                <w:b w:val="false"/>
                <w:bCs w:val="false"/>
              </w:rPr>
              <w:t xml:space="preserve">Reserved</w:t>
            </w:r>
          </w:p>
        </w:tc>
        <w:tc>
          <w:tcPr>
            <w:tcW w:type="dxa" w:w="5506"/>
            <w:tcMar>
              <w:top w:type="dxa" w:w="60"/>
              <w:left w:type="dxa" w:w="100"/>
              <w:bottom w:type="dxa" w:w="60"/>
              <w:right w:type="dxa" w:w="100"/>
            </w:tcMar>
          </w:tcPr>
          <w:p>
            <w:r>
              <w:rPr>
                <w:b w:val="false"/>
                <w:bCs w:val="false"/>
              </w:rPr>
              <w:t xml:space="preserve">The concession engine's per-line Y/N flag array</w:t>
            </w:r>
          </w:p>
        </w:tc>
      </w:tr>
      <w:tr>
        <w:tc>
          <w:tcPr>
            <w:tcW w:type="dxa" w:w="2569"/>
            <w:tcMar>
              <w:top w:type="dxa" w:w="60"/>
              <w:left w:type="dxa" w:w="100"/>
              <w:bottom w:type="dxa" w:w="60"/>
              <w:right w:type="dxa" w:w="100"/>
            </w:tcMar>
          </w:tcPr>
          <w:p>
            <w:r>
              <w:rPr>
                <w:b w:val="false"/>
                <w:bCs w:val="false"/>
              </w:rPr>
              <w:t xml:space="preserve">Any other tag name</w:t>
            </w:r>
          </w:p>
        </w:tc>
        <w:tc>
          <w:tcPr>
            <w:tcW w:type="dxa" w:w="1285"/>
            <w:tcMar>
              <w:top w:type="dxa" w:w="60"/>
              <w:left w:type="dxa" w:w="100"/>
              <w:bottom w:type="dxa" w:w="60"/>
              <w:right w:type="dxa" w:w="100"/>
            </w:tcMar>
          </w:tcPr>
          <w:p>
            <w:r>
              <w:rPr>
                <w:b w:val="false"/>
                <w:bCs w:val="false"/>
              </w:rPr>
              <w:t xml:space="preserve">Generic</w:t>
            </w:r>
          </w:p>
        </w:tc>
        <w:tc>
          <w:tcPr>
            <w:tcW w:type="dxa" w:w="5506"/>
            <w:tcMar>
              <w:top w:type="dxa" w:w="60"/>
              <w:left w:type="dxa" w:w="100"/>
              <w:bottom w:type="dxa" w:w="60"/>
              <w:right w:type="dxa" w:w="100"/>
            </w:tcMar>
          </w:tcPr>
          <w:p>
            <w:r>
              <w:rPr>
                <w:b w:val="false"/>
                <w:bCs w:val="false"/>
              </w:rPr>
              <w:t xml:space="preserve">Looked up directly in the parsed OFS response by field name and returned as-is — a straight passthrough of whatever the OFS post returned for that field</w:t>
            </w:r>
          </w:p>
        </w:tc>
      </w:tr>
    </w:tbl>
    <w:p>
      <w:pPr>
        <w:pStyle w:val="Heading1"/>
        <w:pBdr>
          <w:bottom w:val="single" w:color="2E5395" w:sz="6" w:space="4"/>
        </w:pBdr>
        <w:spacing w:after="150" w:before="300"/>
      </w:pPr>
      <w:r>
        <w:t xml:space="preserve">5. Config Tables This Routine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shd w:fill="2E5395" w:val="clear"/>
            <w:tcMar>
              <w:top w:type="dxa" w:w="80"/>
              <w:left w:type="dxa" w:w="100"/>
              <w:bottom w:type="dxa" w:w="80"/>
              <w:right w:type="dxa" w:w="100"/>
            </w:tcMar>
          </w:tcPr>
          <w:p>
            <w:r>
              <w:rPr>
                <w:b/>
                <w:bCs/>
                <w:color w:val="FFFFFF"/>
              </w:rPr>
              <w:t xml:space="preserve">Table</w:t>
            </w:r>
          </w:p>
        </w:tc>
        <w:tc>
          <w:tcPr>
            <w:tcW w:type="dxa" w:w="6926"/>
            <w:shd w:fill="2E5395" w:val="clear"/>
            <w:tcMar>
              <w:top w:type="dxa" w:w="80"/>
              <w:left w:type="dxa" w:w="100"/>
              <w:bottom w:type="dxa" w:w="80"/>
              <w:right w:type="dxa" w:w="100"/>
            </w:tcMar>
          </w:tcPr>
          <w:p>
            <w:r>
              <w:rPr>
                <w:b/>
                <w:bCs/>
                <w:color w:val="FFFFFF"/>
              </w:rPr>
              <w:t xml:space="preserve">Purpose</w:t>
            </w:r>
          </w:p>
        </w:tc>
      </w:tr>
      <w:tr>
        <w:tc>
          <w:tcPr>
            <w:tcW w:type="dxa" w:w="2434"/>
            <w:tcMar>
              <w:top w:type="dxa" w:w="60"/>
              <w:left w:type="dxa" w:w="100"/>
              <w:bottom w:type="dxa" w:w="60"/>
              <w:right w:type="dxa" w:w="100"/>
            </w:tcMar>
          </w:tcPr>
          <w:p>
            <w:r>
              <w:rPr>
                <w:b w:val="false"/>
                <w:bCs w:val="false"/>
              </w:rPr>
              <w:t xml:space="preserve">F.CIB.MSG.CONFIG</w:t>
            </w:r>
          </w:p>
        </w:tc>
        <w:tc>
          <w:tcPr>
            <w:tcW w:type="dxa" w:w="6926"/>
            <w:tcMar>
              <w:top w:type="dxa" w:w="60"/>
              <w:left w:type="dxa" w:w="100"/>
              <w:bottom w:type="dxa" w:w="60"/>
              <w:right w:type="dxa" w:w="100"/>
            </w:tcMar>
          </w:tcPr>
          <w:p>
            <w:r>
              <w:rPr>
                <w:b w:val="false"/>
                <w:bCs w:val="false"/>
              </w:rPr>
              <w:t xml:space="preserve">Keyed by SRVC.ID. Per-service defaults: AUTH.FLAG, FUNCTION.ID, GTS.CONTROL, VERSION.NAME (OFS template), OFS.SRCE.ID, BRANCH.CODE, ID.TAG (name of the record-id tag expected in input), XML.TAGS.REMOVE (tag names to exclude from posting), APP.NAME (target T24 application — generic, not hardcoded to FUNDS.TRANSFER), AMEND.VERSION.NAME (alternate OFS version for amend/U calls)</w:t>
            </w:r>
          </w:p>
        </w:tc>
      </w:tr>
      <w:tr>
        <w:tc>
          <w:tcPr>
            <w:tcW w:type="dxa" w:w="2434"/>
            <w:tcMar>
              <w:top w:type="dxa" w:w="60"/>
              <w:left w:type="dxa" w:w="100"/>
              <w:bottom w:type="dxa" w:w="60"/>
              <w:right w:type="dxa" w:w="100"/>
            </w:tcMar>
          </w:tcPr>
          <w:p>
            <w:r>
              <w:rPr>
                <w:b w:val="false"/>
                <w:bCs w:val="false"/>
              </w:rPr>
              <w:t xml:space="preserve">F.CIB.API.CONFIG.XML</w:t>
            </w:r>
          </w:p>
        </w:tc>
        <w:tc>
          <w:tcPr>
            <w:tcW w:type="dxa" w:w="6926"/>
            <w:tcMar>
              <w:top w:type="dxa" w:w="60"/>
              <w:left w:type="dxa" w:w="100"/>
              <w:bottom w:type="dxa" w:w="60"/>
              <w:right w:type="dxa" w:w="100"/>
            </w:tcMar>
          </w:tcPr>
          <w:p>
            <w:r>
              <w:rPr>
                <w:b w:val="false"/>
                <w:bCs w:val="false"/>
              </w:rPr>
              <w:t xml:space="preserve">Keyed by SRVC.ID. Ordered list of TAGNAME / TAGTYPE / TAGCOUNT triples that define the exact shape and field order of the outbound response (O.MSG) for this service</w:t>
            </w:r>
          </w:p>
        </w:tc>
      </w:tr>
      <w:tr>
        <w:tc>
          <w:tcPr>
            <w:tcW w:type="dxa" w:w="2434"/>
            <w:tcMar>
              <w:top w:type="dxa" w:w="60"/>
              <w:left w:type="dxa" w:w="100"/>
              <w:bottom w:type="dxa" w:w="60"/>
              <w:right w:type="dxa" w:w="100"/>
            </w:tcMar>
          </w:tcPr>
          <w:p>
            <w:r>
              <w:rPr>
                <w:b w:val="false"/>
                <w:bCs w:val="false"/>
              </w:rPr>
              <w:t xml:space="preserve">F.CIB.API.LOG</w:t>
            </w:r>
          </w:p>
        </w:tc>
        <w:tc>
          <w:tcPr>
            <w:tcW w:type="dxa" w:w="6926"/>
            <w:tcMar>
              <w:top w:type="dxa" w:w="60"/>
              <w:left w:type="dxa" w:w="100"/>
              <w:bottom w:type="dxa" w:w="60"/>
              <w:right w:type="dxa" w:w="100"/>
            </w:tcMar>
          </w:tcPr>
          <w:p>
            <w:r>
              <w:rPr>
                <w:b w:val="false"/>
                <w:bCs w:val="false"/>
              </w:rPr>
              <w:t xml:space="preserve">Keyed by MSG.ID. Idempotency/audit store — service id, channel, token, version name used, record id, function id, full response, OFS in/out payloads, return code</w:t>
            </w:r>
          </w:p>
        </w:tc>
      </w:tr>
      <w:tr>
        <w:tc>
          <w:tcPr>
            <w:tcW w:type="dxa" w:w="2434"/>
            <w:tcMar>
              <w:top w:type="dxa" w:w="60"/>
              <w:left w:type="dxa" w:w="100"/>
              <w:bottom w:type="dxa" w:w="60"/>
              <w:right w:type="dxa" w:w="100"/>
            </w:tcMar>
          </w:tcPr>
          <w:p>
            <w:r>
              <w:rPr>
                <w:b w:val="false"/>
                <w:bCs w:val="false"/>
              </w:rPr>
              <w:t xml:space="preserve">F.STANDARD.SELECTION</w:t>
            </w:r>
          </w:p>
        </w:tc>
        <w:tc>
          <w:tcPr>
            <w:tcW w:type="dxa" w:w="6926"/>
            <w:tcMar>
              <w:top w:type="dxa" w:w="60"/>
              <w:left w:type="dxa" w:w="100"/>
              <w:bottom w:type="dxa" w:w="60"/>
              <w:right w:type="dxa" w:w="100"/>
            </w:tcMar>
          </w:tcPr>
          <w:p>
            <w:r>
              <w:rPr>
                <w:b w:val="false"/>
                <w:bCs w:val="false"/>
              </w:rPr>
              <w:t xml:space="preserve">T24 standard table, keyed by application name. Used to dynamically resolve the local-reference field positions for EXTERNAL.REF and CHANNEL.CODE on the target application, for the external-ref integrity check</w:t>
            </w:r>
          </w:p>
        </w:tc>
      </w:tr>
    </w:tbl>
    <w:p>
      <w:pPr>
        <w:pStyle w:val="Heading1"/>
        <w:pBdr>
          <w:bottom w:val="single" w:color="2E5395" w:sz="6" w:space="4"/>
        </w:pBdr>
        <w:spacing w:after="150" w:before="300"/>
      </w:pPr>
      <w:r>
        <w:t xml:space="preserve">6. External Routines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6178"/>
      </w:tblGrid>
      <w:tr>
        <w:trPr>
          <w:tblHeader/>
        </w:trPr>
        <w:tc>
          <w:tcPr>
            <w:tcW w:type="dxa" w:w="3182"/>
            <w:shd w:fill="2E5395" w:val="clear"/>
            <w:tcMar>
              <w:top w:type="dxa" w:w="80"/>
              <w:left w:type="dxa" w:w="100"/>
              <w:bottom w:type="dxa" w:w="80"/>
              <w:right w:type="dxa" w:w="100"/>
            </w:tcMar>
          </w:tcPr>
          <w:p>
            <w:r>
              <w:rPr>
                <w:b/>
                <w:bCs/>
                <w:color w:val="FFFFFF"/>
              </w:rPr>
              <w:t xml:space="preserve">Routine</w:t>
            </w:r>
          </w:p>
        </w:tc>
        <w:tc>
          <w:tcPr>
            <w:tcW w:type="dxa" w:w="6178"/>
            <w:shd w:fill="2E5395" w:val="clear"/>
            <w:tcMar>
              <w:top w:type="dxa" w:w="80"/>
              <w:left w:type="dxa" w:w="100"/>
              <w:bottom w:type="dxa" w:w="80"/>
              <w:right w:type="dxa" w:w="100"/>
            </w:tcMar>
          </w:tcPr>
          <w:p>
            <w:r>
              <w:rPr>
                <w:b/>
                <w:bCs/>
                <w:color w:val="FFFFFF"/>
              </w:rPr>
              <w:t xml:space="preserve">Purpose</w:t>
            </w:r>
          </w:p>
        </w:tc>
      </w:tr>
      <w:tr>
        <w:tc>
          <w:tcPr>
            <w:tcW w:type="dxa" w:w="3182"/>
            <w:tcMar>
              <w:top w:type="dxa" w:w="60"/>
              <w:left w:type="dxa" w:w="100"/>
              <w:bottom w:type="dxa" w:w="60"/>
              <w:right w:type="dxa" w:w="100"/>
            </w:tcMar>
          </w:tcPr>
          <w:p>
            <w:r>
              <w:rPr>
                <w:b w:val="false"/>
                <w:bCs w:val="false"/>
              </w:rPr>
              <w:t xml:space="preserve">CIB.SPLIT.OFS.RESPONSE</w:t>
            </w:r>
          </w:p>
        </w:tc>
        <w:tc>
          <w:tcPr>
            <w:tcW w:type="dxa" w:w="6178"/>
            <w:tcMar>
              <w:top w:type="dxa" w:w="60"/>
              <w:left w:type="dxa" w:w="100"/>
              <w:bottom w:type="dxa" w:w="60"/>
              <w:right w:type="dxa" w:w="100"/>
            </w:tcMar>
          </w:tcPr>
          <w:p>
            <w:r>
              <w:rPr>
                <w:b w:val="false"/>
                <w:bCs w:val="false"/>
              </w:rPr>
              <w:t xml:space="preserve">Custom — parses the raw OFS response string back into name/value pairs (FIELD.ARRAY / VALUE.ARRAY) for building the response</w:t>
            </w:r>
          </w:p>
        </w:tc>
      </w:tr>
      <w:tr>
        <w:tc>
          <w:tcPr>
            <w:tcW w:type="dxa" w:w="3182"/>
            <w:tcMar>
              <w:top w:type="dxa" w:w="60"/>
              <w:left w:type="dxa" w:w="100"/>
              <w:bottom w:type="dxa" w:w="60"/>
              <w:right w:type="dxa" w:w="100"/>
            </w:tcMar>
          </w:tcPr>
          <w:p>
            <w:r>
              <w:rPr>
                <w:b w:val="false"/>
                <w:bCs w:val="false"/>
              </w:rPr>
              <w:t xml:space="preserve">EXCHRATE</w:t>
            </w:r>
          </w:p>
        </w:tc>
        <w:tc>
          <w:tcPr>
            <w:tcW w:type="dxa" w:w="6178"/>
            <w:tcMar>
              <w:top w:type="dxa" w:w="60"/>
              <w:left w:type="dxa" w:w="100"/>
              <w:bottom w:type="dxa" w:w="60"/>
              <w:right w:type="dxa" w:w="100"/>
            </w:tcMar>
          </w:tcPr>
          <w:p>
            <w:r>
              <w:rPr>
                <w:b w:val="false"/>
                <w:bCs w:val="false"/>
              </w:rPr>
              <w:t xml:space="preserve">T24 standard — currency conversion; used both for the main deal→commission-currency conversion and per commission line inside GO.CALC</w:t>
            </w:r>
          </w:p>
        </w:tc>
      </w:tr>
      <w:tr>
        <w:tc>
          <w:tcPr>
            <w:tcW w:type="dxa" w:w="3182"/>
            <w:tcMar>
              <w:top w:type="dxa" w:w="60"/>
              <w:left w:type="dxa" w:w="100"/>
              <w:bottom w:type="dxa" w:w="60"/>
              <w:right w:type="dxa" w:w="100"/>
            </w:tcMar>
          </w:tcPr>
          <w:p>
            <w:r>
              <w:rPr>
                <w:b w:val="false"/>
                <w:bCs w:val="false"/>
              </w:rPr>
              <w:t xml:space="preserve">CALCULATE.CHARGE</w:t>
            </w:r>
          </w:p>
        </w:tc>
        <w:tc>
          <w:tcPr>
            <w:tcW w:type="dxa" w:w="6178"/>
            <w:tcMar>
              <w:top w:type="dxa" w:w="60"/>
              <w:left w:type="dxa" w:w="100"/>
              <w:bottom w:type="dxa" w:w="60"/>
              <w:right w:type="dxa" w:w="100"/>
            </w:tcMar>
          </w:tcPr>
          <w:p>
            <w:r>
              <w:rPr>
                <w:b w:val="false"/>
                <w:bCs w:val="false"/>
              </w:rPr>
              <w:t xml:space="preserve">T24 standard — computes the standard tariff/charge amount based on customer conditions, when the channel didn't supply an explicit amount</w:t>
            </w:r>
          </w:p>
        </w:tc>
      </w:tr>
      <w:tr>
        <w:tc>
          <w:tcPr>
            <w:tcW w:type="dxa" w:w="3182"/>
            <w:tcMar>
              <w:top w:type="dxa" w:w="60"/>
              <w:left w:type="dxa" w:w="100"/>
              <w:bottom w:type="dxa" w:w="60"/>
              <w:right w:type="dxa" w:w="100"/>
            </w:tcMar>
          </w:tcPr>
          <w:p>
            <w:r>
              <w:rPr>
                <w:b w:val="false"/>
                <w:bCs w:val="false"/>
              </w:rPr>
              <w:t xml:space="preserve">EB.ROUND.AMOUNT</w:t>
            </w:r>
          </w:p>
        </w:tc>
        <w:tc>
          <w:tcPr>
            <w:tcW w:type="dxa" w:w="6178"/>
            <w:tcMar>
              <w:top w:type="dxa" w:w="60"/>
              <w:left w:type="dxa" w:w="100"/>
              <w:bottom w:type="dxa" w:w="60"/>
              <w:right w:type="dxa" w:w="100"/>
            </w:tcMar>
          </w:tcPr>
          <w:p>
            <w:r>
              <w:rPr>
                <w:b w:val="false"/>
                <w:bCs w:val="false"/>
              </w:rPr>
              <w:t xml:space="preserve">T24 standard — currency-correct rounding of calculated commission amounts</w:t>
            </w:r>
          </w:p>
        </w:tc>
      </w:tr>
      <w:tr>
        <w:tc>
          <w:tcPr>
            <w:tcW w:type="dxa" w:w="3182"/>
            <w:tcMar>
              <w:top w:type="dxa" w:w="60"/>
              <w:left w:type="dxa" w:w="100"/>
              <w:bottom w:type="dxa" w:w="60"/>
              <w:right w:type="dxa" w:w="100"/>
            </w:tcMar>
          </w:tcPr>
          <w:p>
            <w:r>
              <w:rPr>
                <w:b w:val="false"/>
                <w:bCs w:val="false"/>
              </w:rPr>
              <w:t xml:space="preserve">CIB.CALCULATE.CONCESSION</w:t>
            </w:r>
          </w:p>
        </w:tc>
        <w:tc>
          <w:tcPr>
            <w:tcW w:type="dxa" w:w="6178"/>
            <w:tcMar>
              <w:top w:type="dxa" w:w="60"/>
              <w:left w:type="dxa" w:w="100"/>
              <w:bottom w:type="dxa" w:w="60"/>
              <w:right w:type="dxa" w:w="100"/>
            </w:tcMar>
          </w:tcPr>
          <w:p>
            <w:r>
              <w:rPr>
                <w:b w:val="false"/>
                <w:bCs w:val="false"/>
              </w:rPr>
              <w:t xml:space="preserve">Custom — determines whether a special concession applies per commission line, and can override the calculated amount</w:t>
            </w:r>
          </w:p>
        </w:tc>
      </w:tr>
      <w:tr>
        <w:tc>
          <w:tcPr>
            <w:tcW w:type="dxa" w:w="3182"/>
            <w:tcMar>
              <w:top w:type="dxa" w:w="60"/>
              <w:left w:type="dxa" w:w="100"/>
              <w:bottom w:type="dxa" w:w="60"/>
              <w:right w:type="dxa" w:w="100"/>
            </w:tcMar>
          </w:tcPr>
          <w:p>
            <w:r>
              <w:rPr>
                <w:b w:val="false"/>
                <w:bCs w:val="false"/>
              </w:rPr>
              <w:t xml:space="preserve">FIELD.NAMES.TO.NUMBERS / MULTI.GET.LOC.REF</w:t>
            </w:r>
          </w:p>
        </w:tc>
        <w:tc>
          <w:tcPr>
            <w:tcW w:type="dxa" w:w="6178"/>
            <w:tcMar>
              <w:top w:type="dxa" w:w="60"/>
              <w:left w:type="dxa" w:w="100"/>
              <w:bottom w:type="dxa" w:w="60"/>
              <w:right w:type="dxa" w:w="100"/>
            </w:tcMar>
          </w:tcPr>
          <w:p>
            <w:r>
              <w:rPr>
                <w:b w:val="false"/>
                <w:bCs w:val="false"/>
              </w:rPr>
              <w:t xml:space="preserve">T24 standard — resolve local-reference field positions dynamically for the external-ref/channel-code check</w:t>
            </w:r>
          </w:p>
        </w:tc>
      </w:tr>
      <w:tr>
        <w:tc>
          <w:tcPr>
            <w:tcW w:type="dxa" w:w="3182"/>
            <w:tcMar>
              <w:top w:type="dxa" w:w="60"/>
              <w:left w:type="dxa" w:w="100"/>
              <w:bottom w:type="dxa" w:w="60"/>
              <w:right w:type="dxa" w:w="100"/>
            </w:tcMar>
          </w:tcPr>
          <w:p>
            <w:r>
              <w:rPr>
                <w:b w:val="false"/>
                <w:bCs w:val="false"/>
              </w:rPr>
              <w:t xml:space="preserve">OFS.INITIALISE.SOURCE / OFS.BULK.MANAGER</w:t>
            </w:r>
          </w:p>
        </w:tc>
        <w:tc>
          <w:tcPr>
            <w:tcW w:type="dxa" w:w="6178"/>
            <w:tcMar>
              <w:top w:type="dxa" w:w="60"/>
              <w:left w:type="dxa" w:w="100"/>
              <w:bottom w:type="dxa" w:w="60"/>
              <w:right w:type="dxa" w:w="100"/>
            </w:tcMar>
          </w:tcPr>
          <w:p>
            <w:r>
              <w:rPr>
                <w:b w:val="false"/>
                <w:bCs w:val="false"/>
              </w:rPr>
              <w:t xml:space="preserve">T24 standard OFS posting mechanism — same pattern used in CIB.OT.FT</w:t>
            </w:r>
          </w:p>
        </w:tc>
      </w:tr>
    </w:tbl>
    <w:p>
      <w:pPr>
        <w:pStyle w:val="Heading1"/>
        <w:pBdr>
          <w:bottom w:val="single" w:color="2E5395" w:sz="6" w:space="4"/>
        </w:pBdr>
        <w:spacing w:after="150" w:before="300"/>
      </w:pPr>
      <w:r>
        <w:t xml:space="preserve">7. Files Read /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18"/>
        <w:gridCol w:w="1409"/>
        <w:gridCol w:w="5133"/>
      </w:tblGrid>
      <w:tr>
        <w:trPr>
          <w:tblHeader/>
        </w:trPr>
        <w:tc>
          <w:tcPr>
            <w:tcW w:type="dxa" w:w="2818"/>
            <w:shd w:fill="2E5395" w:val="clear"/>
            <w:tcMar>
              <w:top w:type="dxa" w:w="80"/>
              <w:left w:type="dxa" w:w="100"/>
              <w:bottom w:type="dxa" w:w="80"/>
              <w:right w:type="dxa" w:w="100"/>
            </w:tcMar>
          </w:tcPr>
          <w:p>
            <w:r>
              <w:rPr>
                <w:b/>
                <w:bCs/>
                <w:color w:val="FFFFFF"/>
              </w:rPr>
              <w:t xml:space="preserve">File / Table</w:t>
            </w:r>
          </w:p>
        </w:tc>
        <w:tc>
          <w:tcPr>
            <w:tcW w:type="dxa" w:w="1409"/>
            <w:shd w:fill="2E5395" w:val="clear"/>
            <w:tcMar>
              <w:top w:type="dxa" w:w="80"/>
              <w:left w:type="dxa" w:w="100"/>
              <w:bottom w:type="dxa" w:w="80"/>
              <w:right w:type="dxa" w:w="100"/>
            </w:tcMar>
          </w:tcPr>
          <w:p>
            <w:r>
              <w:rPr>
                <w:b/>
                <w:bCs/>
                <w:color w:val="FFFFFF"/>
              </w:rPr>
              <w:t xml:space="preserve">Access</w:t>
            </w:r>
          </w:p>
        </w:tc>
        <w:tc>
          <w:tcPr>
            <w:tcW w:type="dxa" w:w="5133"/>
            <w:shd w:fill="2E5395" w:val="clear"/>
            <w:tcMar>
              <w:top w:type="dxa" w:w="80"/>
              <w:left w:type="dxa" w:w="100"/>
              <w:bottom w:type="dxa" w:w="80"/>
              <w:right w:type="dxa" w:w="100"/>
            </w:tcMar>
          </w:tcPr>
          <w:p>
            <w:r>
              <w:rPr>
                <w:b/>
                <w:bCs/>
                <w:color w:val="FFFFFF"/>
              </w:rPr>
              <w:t xml:space="preserve">Purpose</w:t>
            </w:r>
          </w:p>
        </w:tc>
      </w:tr>
      <w:tr>
        <w:tc>
          <w:tcPr>
            <w:tcW w:type="dxa" w:w="2818"/>
            <w:tcMar>
              <w:top w:type="dxa" w:w="60"/>
              <w:left w:type="dxa" w:w="100"/>
              <w:bottom w:type="dxa" w:w="60"/>
              <w:right w:type="dxa" w:w="100"/>
            </w:tcMar>
          </w:tcPr>
          <w:p>
            <w:r>
              <w:rPr>
                <w:b w:val="false"/>
                <w:bCs w:val="false"/>
              </w:rPr>
              <w:t xml:space="preserve">F.CIB.MSG.CONFIG</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Per-service processing configuration</w:t>
            </w:r>
          </w:p>
        </w:tc>
      </w:tr>
      <w:tr>
        <w:tc>
          <w:tcPr>
            <w:tcW w:type="dxa" w:w="2818"/>
            <w:tcMar>
              <w:top w:type="dxa" w:w="60"/>
              <w:left w:type="dxa" w:w="100"/>
              <w:bottom w:type="dxa" w:w="60"/>
              <w:right w:type="dxa" w:w="100"/>
            </w:tcMar>
          </w:tcPr>
          <w:p>
            <w:r>
              <w:rPr>
                <w:b w:val="false"/>
                <w:bCs w:val="false"/>
              </w:rPr>
              <w:t xml:space="preserve">F.CIB.API.CONFIG.XML</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Per-service response-shape configuration</w:t>
            </w:r>
          </w:p>
        </w:tc>
      </w:tr>
      <w:tr>
        <w:tc>
          <w:tcPr>
            <w:tcW w:type="dxa" w:w="2818"/>
            <w:tcMar>
              <w:top w:type="dxa" w:w="60"/>
              <w:left w:type="dxa" w:w="100"/>
              <w:bottom w:type="dxa" w:w="60"/>
              <w:right w:type="dxa" w:w="100"/>
            </w:tcMar>
          </w:tcPr>
          <w:p>
            <w:r>
              <w:rPr>
                <w:b w:val="false"/>
                <w:bCs w:val="false"/>
              </w:rPr>
              <w:t xml:space="preserve">F.ACCOUNT</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Debit/charges/credit account currency and customer lookups</w:t>
            </w:r>
          </w:p>
        </w:tc>
      </w:tr>
      <w:tr>
        <w:tc>
          <w:tcPr>
            <w:tcW w:type="dxa" w:w="2818"/>
            <w:tcMar>
              <w:top w:type="dxa" w:w="60"/>
              <w:left w:type="dxa" w:w="100"/>
              <w:bottom w:type="dxa" w:w="60"/>
              <w:right w:type="dxa" w:w="100"/>
            </w:tcMar>
          </w:tcPr>
          <w:p>
            <w:r>
              <w:rPr>
                <w:b w:val="false"/>
                <w:bCs w:val="false"/>
              </w:rPr>
              <w:t xml:space="preserve">F.CIB.API.LOG</w:t>
            </w:r>
          </w:p>
        </w:tc>
        <w:tc>
          <w:tcPr>
            <w:tcW w:type="dxa" w:w="1409"/>
            <w:tcMar>
              <w:top w:type="dxa" w:w="60"/>
              <w:left w:type="dxa" w:w="100"/>
              <w:bottom w:type="dxa" w:w="60"/>
              <w:right w:type="dxa" w:w="100"/>
            </w:tcMar>
          </w:tcPr>
          <w:p>
            <w:r>
              <w:rPr>
                <w:b w:val="false"/>
                <w:bCs w:val="false"/>
              </w:rPr>
              <w:t xml:space="preserve">Read/Write</w:t>
            </w:r>
          </w:p>
        </w:tc>
        <w:tc>
          <w:tcPr>
            <w:tcW w:type="dxa" w:w="5133"/>
            <w:tcMar>
              <w:top w:type="dxa" w:w="60"/>
              <w:left w:type="dxa" w:w="100"/>
              <w:bottom w:type="dxa" w:w="60"/>
              <w:right w:type="dxa" w:w="100"/>
            </w:tcMar>
          </w:tcPr>
          <w:p>
            <w:r>
              <w:rPr>
                <w:b w:val="false"/>
                <w:bCs w:val="false"/>
              </w:rPr>
              <w:t xml:space="preserve">Idempotency &amp; audit store, one record per MSG.ID</w:t>
            </w:r>
          </w:p>
        </w:tc>
      </w:tr>
      <w:tr>
        <w:tc>
          <w:tcPr>
            <w:tcW w:type="dxa" w:w="2818"/>
            <w:tcMar>
              <w:top w:type="dxa" w:w="60"/>
              <w:left w:type="dxa" w:w="100"/>
              <w:bottom w:type="dxa" w:w="60"/>
              <w:right w:type="dxa" w:w="100"/>
            </w:tcMar>
          </w:tcPr>
          <w:p>
            <w:r>
              <w:rPr>
                <w:b w:val="false"/>
                <w:bCs w:val="false"/>
              </w:rPr>
              <w:t xml:space="preserve">F.&lt;APP.NAME&gt; and F.&lt;APP.NAME&gt;$NAU</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Dynamically opened based on config (e.g. FUNDS.TRANSFER) — live and uncommitted (NAU) versions, read for the external-reference integrity check</w:t>
            </w:r>
          </w:p>
        </w:tc>
      </w:tr>
      <w:tr>
        <w:tc>
          <w:tcPr>
            <w:tcW w:type="dxa" w:w="2818"/>
            <w:tcMar>
              <w:top w:type="dxa" w:w="60"/>
              <w:left w:type="dxa" w:w="100"/>
              <w:bottom w:type="dxa" w:w="60"/>
              <w:right w:type="dxa" w:w="100"/>
            </w:tcMar>
          </w:tcPr>
          <w:p>
            <w:r>
              <w:rPr>
                <w:b w:val="false"/>
                <w:bCs w:val="false"/>
              </w:rPr>
              <w:t xml:space="preserve">F.STANDARD.SELECTION</w:t>
            </w:r>
          </w:p>
        </w:tc>
        <w:tc>
          <w:tcPr>
            <w:tcW w:type="dxa" w:w="1409"/>
            <w:tcMar>
              <w:top w:type="dxa" w:w="60"/>
              <w:left w:type="dxa" w:w="100"/>
              <w:bottom w:type="dxa" w:w="60"/>
              <w:right w:type="dxa" w:w="100"/>
            </w:tcMar>
          </w:tcPr>
          <w:p>
            <w:r>
              <w:rPr>
                <w:b w:val="false"/>
                <w:bCs w:val="false"/>
              </w:rPr>
              <w:t xml:space="preserve">Read</w:t>
            </w:r>
          </w:p>
        </w:tc>
        <w:tc>
          <w:tcPr>
            <w:tcW w:type="dxa" w:w="5133"/>
            <w:tcMar>
              <w:top w:type="dxa" w:w="60"/>
              <w:left w:type="dxa" w:w="100"/>
              <w:bottom w:type="dxa" w:w="60"/>
              <w:right w:type="dxa" w:w="100"/>
            </w:tcMar>
          </w:tcPr>
          <w:p>
            <w:r>
              <w:rPr>
                <w:b w:val="false"/>
                <w:bCs w:val="false"/>
              </w:rPr>
              <w:t xml:space="preserve">Local-reference field position lookups for the target application</w:t>
            </w:r>
          </w:p>
        </w:tc>
      </w:tr>
    </w:tbl>
    <w:p>
      <w:pPr>
        <w:pStyle w:val="Heading1"/>
        <w:pBdr>
          <w:bottom w:val="single" w:color="2E5395" w:sz="6" w:space="4"/>
        </w:pBdr>
        <w:spacing w:after="150" w:before="300"/>
      </w:pPr>
      <w:r>
        <w:t xml:space="preserve">8. Recommended TPH/IRIS Migration Checklist for This Service</w:t>
      </w:r>
    </w:p>
    <w:p>
      <w:pPr>
        <w:spacing w:after="80"/>
      </w:pPr>
      <w:r>
        <w:t xml:space="preserve">☐  Export and document the actual FT08 row from CIB.MSG.CONFIG (defaults, remove-tags list, app name, version names) — this data IS part of the functional spec, not just supporting config.</w:t>
      </w:r>
    </w:p>
    <w:p>
      <w:pPr>
        <w:spacing w:after="80"/>
      </w:pPr>
      <w:r>
        <w:t xml:space="preserve">☐  Export and document the actual FT08 row(s) from CIB.API.CONFIG.XML (response tag order, count, reserved-tag mapping) to define the equivalent IRIS response schema.</w:t>
      </w:r>
    </w:p>
    <w:p>
      <w:pPr>
        <w:spacing w:after="80"/>
      </w:pPr>
      <w:r>
        <w:t xml:space="preserve">☐  Reproduce the idempotency behavior exactly, including the distinct 1001 replay code (not the same 0000 code as a fresh success).</w:t>
      </w:r>
    </w:p>
    <w:p>
      <w:pPr>
        <w:spacing w:after="80"/>
      </w:pPr>
      <w:r>
        <w:t xml:space="preserve">☐  Reproduce the external-reference/channel/inputter integrity check against in-flight (unauthorized) records, and resolve the CUR.STATUS-vs-RETURN.CODE inconsistency in that branch (see §9).</w:t>
      </w:r>
    </w:p>
    <w:p>
      <w:pPr>
        <w:spacing w:after="80"/>
      </w:pPr>
      <w:r>
        <w:t xml:space="preserve">☐  Reproduce commission-currency selection (BEN vs OUR/SHA) and the two-hop EGP→USD conversion path, confirming with Product/Treasury whether it's still required.</w:t>
      </w:r>
    </w:p>
    <w:p>
      <w:pPr>
        <w:spacing w:after="80"/>
      </w:pPr>
      <w:r>
        <w:t xml:space="preserve">☐  Reproduce the three-layer commission override stack (standard tariff → channel override for OUTWARDCHG/OUTWARDACH → concession engine) with the exact same precedence order.</w:t>
      </w:r>
    </w:p>
    <w:p>
      <w:pPr>
        <w:spacing w:after="80"/>
      </w:pPr>
      <w:r>
        <w:t xml:space="preserve">☐  Reproduce the zero-amount commission line filtering (drop lines that calculate to zero).</w:t>
      </w:r>
    </w:p>
    <w:p>
      <w:pPr>
        <w:spacing w:after="80"/>
      </w:pPr>
      <w:r>
        <w:t xml:space="preserve">☐  Reproduce the SAME_COMMISSON_RCVD reconciliation flag with identical Y/N/W/blank semantics, including the 3-character-value-means-zero comparison rule.</w:t>
      </w:r>
    </w:p>
    <w:p>
      <w:pPr>
        <w:spacing w:after="80"/>
      </w:pPr>
      <w:r>
        <w:t xml:space="preserve">☐  Confirm which T24 application(s) this generic routine is actually configured against for FT08 today (via APP.NAME in CIB.MSG.CONFIG) — do not assume it's FUNDS.TRANSFER without checking.</w:t>
      </w:r>
    </w:p>
    <w:p>
      <w:pPr>
        <w:spacing w:after="80"/>
      </w:pPr>
      <w:r>
        <w:t xml:space="preserve">☐  Separately audit CIB.CALCULATE.CONCESSION and CALCULATE.CHARGE, since both are black-box dependencies whose internal rules aren't visible in this routine.</w:t>
      </w:r>
    </w:p>
    <w:p>
      <w:pPr>
        <w:spacing w:after="80"/>
      </w:pPr>
      <w:r>
        <w:t xml:space="preserve">☐  Decide whether the generic "pass everything through unless on the remove-list" input model should be replicated as-is in IRIS, or replaced with an explicit, fully-typed request schema (recommended, but requires the config export from item 1 to do safely).</w:t>
      </w:r>
    </w:p>
    <w:p>
      <w:pPr>
        <w:pStyle w:val="Heading1"/>
        <w:pBdr>
          <w:bottom w:val="single" w:color="2E5395" w:sz="6" w:space="4"/>
        </w:pBdr>
        <w:spacing w:after="150" w:before="300"/>
      </w:pPr>
      <w:r>
        <w:t xml:space="preserve">9. Code Evolution / Technical Debt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9"/>
        <w:gridCol w:w="1851"/>
        <w:gridCol w:w="5040"/>
      </w:tblGrid>
      <w:tr>
        <w:trPr>
          <w:tblHeader/>
        </w:trPr>
        <w:tc>
          <w:tcPr>
            <w:tcW w:type="dxa" w:w="2469"/>
            <w:shd w:fill="2E5395" w:val="clear"/>
            <w:tcMar>
              <w:top w:type="dxa" w:w="80"/>
              <w:left w:type="dxa" w:w="100"/>
              <w:bottom w:type="dxa" w:w="80"/>
              <w:right w:type="dxa" w:w="100"/>
            </w:tcMar>
          </w:tcPr>
          <w:p>
            <w:r>
              <w:rPr>
                <w:b/>
                <w:bCs/>
                <w:color w:val="FFFFFF"/>
              </w:rPr>
              <w:t xml:space="preserve">Marker / Author Tag</w:t>
            </w:r>
          </w:p>
        </w:tc>
        <w:tc>
          <w:tcPr>
            <w:tcW w:type="dxa" w:w="1851"/>
            <w:shd w:fill="2E5395" w:val="clear"/>
            <w:tcMar>
              <w:top w:type="dxa" w:w="80"/>
              <w:left w:type="dxa" w:w="100"/>
              <w:bottom w:type="dxa" w:w="80"/>
              <w:right w:type="dxa" w:w="100"/>
            </w:tcMar>
          </w:tcPr>
          <w:p>
            <w:r>
              <w:rPr>
                <w:b/>
                <w:bCs/>
                <w:color w:val="FFFFFF"/>
              </w:rPr>
              <w:t xml:space="preserve">Approx. Date</w:t>
            </w:r>
          </w:p>
        </w:tc>
        <w:tc>
          <w:tcPr>
            <w:tcW w:type="dxa" w:w="5040"/>
            <w:shd w:fill="2E5395" w:val="clear"/>
            <w:tcMar>
              <w:top w:type="dxa" w:w="80"/>
              <w:left w:type="dxa" w:w="100"/>
              <w:bottom w:type="dxa" w:w="80"/>
              <w:right w:type="dxa" w:w="100"/>
            </w:tcMar>
          </w:tcPr>
          <w:p>
            <w:r>
              <w:rPr>
                <w:b/>
                <w:bCs/>
                <w:color w:val="FFFFFF"/>
              </w:rPr>
              <w:t xml:space="preserve">What It Touched (from code)</w:t>
            </w:r>
          </w:p>
        </w:tc>
      </w:tr>
      <w:tr>
        <w:tc>
          <w:tcPr>
            <w:tcW w:type="dxa" w:w="2469"/>
            <w:tcMar>
              <w:top w:type="dxa" w:w="60"/>
              <w:left w:type="dxa" w:w="100"/>
              <w:bottom w:type="dxa" w:w="60"/>
              <w:right w:type="dxa" w:w="100"/>
            </w:tcMar>
          </w:tcPr>
          <w:p>
            <w:r>
              <w:rPr>
                <w:b w:val="false"/>
                <w:bCs w:val="false"/>
              </w:rPr>
              <w:t xml:space="preserve">NGDE</w:t>
            </w:r>
          </w:p>
        </w:tc>
        <w:tc>
          <w:tcPr>
            <w:tcW w:type="dxa" w:w="1851"/>
            <w:tcMar>
              <w:top w:type="dxa" w:w="60"/>
              <w:left w:type="dxa" w:w="100"/>
              <w:bottom w:type="dxa" w:w="60"/>
              <w:right w:type="dxa" w:w="100"/>
            </w:tcMar>
          </w:tcPr>
          <w:p>
            <w:r>
              <w:rPr>
                <w:b w:val="false"/>
                <w:bCs w:val="false"/>
              </w:rPr>
              <w:t xml:space="preserve">30-Aug-2016 (original)</w:t>
            </w:r>
          </w:p>
        </w:tc>
        <w:tc>
          <w:tcPr>
            <w:tcW w:type="dxa" w:w="5040"/>
            <w:tcMar>
              <w:top w:type="dxa" w:w="60"/>
              <w:left w:type="dxa" w:w="100"/>
              <w:bottom w:type="dxa" w:w="60"/>
              <w:right w:type="dxa" w:w="100"/>
            </w:tcMar>
          </w:tcPr>
          <w:p>
            <w:r>
              <w:rPr>
                <w:b w:val="false"/>
                <w:bCs w:val="false"/>
              </w:rPr>
              <w:t xml:space="preserve">Original routine creation</w:t>
            </w:r>
          </w:p>
        </w:tc>
      </w:tr>
      <w:tr>
        <w:tc>
          <w:tcPr>
            <w:tcW w:type="dxa" w:w="2469"/>
            <w:tcMar>
              <w:top w:type="dxa" w:w="60"/>
              <w:left w:type="dxa" w:w="100"/>
              <w:bottom w:type="dxa" w:w="60"/>
              <w:right w:type="dxa" w:w="100"/>
            </w:tcMar>
          </w:tcPr>
          <w:p>
            <w:r>
              <w:rPr>
                <w:b w:val="false"/>
                <w:bCs w:val="false"/>
              </w:rPr>
              <w:t xml:space="preserve">Srikanth.M / MCBCS-20180719</w:t>
            </w:r>
          </w:p>
        </w:tc>
        <w:tc>
          <w:tcPr>
            <w:tcW w:type="dxa" w:w="1851"/>
            <w:tcMar>
              <w:top w:type="dxa" w:w="60"/>
              <w:left w:type="dxa" w:w="100"/>
              <w:bottom w:type="dxa" w:w="60"/>
              <w:right w:type="dxa" w:w="100"/>
            </w:tcMar>
          </w:tcPr>
          <w:p>
            <w:r>
              <w:rPr>
                <w:b w:val="false"/>
                <w:bCs w:val="false"/>
              </w:rPr>
              <w:t xml:space="preserve">19-Jul-2018</w:t>
            </w:r>
          </w:p>
        </w:tc>
        <w:tc>
          <w:tcPr>
            <w:tcW w:type="dxa" w:w="5040"/>
            <w:tcMar>
              <w:top w:type="dxa" w:w="60"/>
              <w:left w:type="dxa" w:w="100"/>
              <w:bottom w:type="dxa" w:w="60"/>
              <w:right w:type="dxa" w:w="100"/>
            </w:tcMar>
          </w:tcPr>
          <w:p>
            <w:r>
              <w:rPr>
                <w:b w:val="false"/>
                <w:bCs w:val="false"/>
              </w:rPr>
              <w:t xml:space="preserve">R18 upgrade retrofit — large-scale replacement of legacy comparison operators and @-notation; local-reference resolution rework via MULTI.GET.LOC.REF</w:t>
            </w:r>
          </w:p>
        </w:tc>
      </w:tr>
      <w:tr>
        <w:tc>
          <w:tcPr>
            <w:tcW w:type="dxa" w:w="2469"/>
            <w:tcMar>
              <w:top w:type="dxa" w:w="60"/>
              <w:left w:type="dxa" w:w="100"/>
              <w:bottom w:type="dxa" w:w="60"/>
              <w:right w:type="dxa" w:w="100"/>
            </w:tcMar>
          </w:tcPr>
          <w:p>
            <w:r>
              <w:rPr>
                <w:b w:val="false"/>
                <w:bCs w:val="false"/>
              </w:rPr>
              <w:t xml:space="preserve">MCBCS-20180716</w:t>
            </w:r>
          </w:p>
        </w:tc>
        <w:tc>
          <w:tcPr>
            <w:tcW w:type="dxa" w:w="1851"/>
            <w:tcMar>
              <w:top w:type="dxa" w:w="60"/>
              <w:left w:type="dxa" w:w="100"/>
              <w:bottom w:type="dxa" w:w="60"/>
              <w:right w:type="dxa" w:w="100"/>
            </w:tcMar>
          </w:tcPr>
          <w:p>
            <w:r>
              <w:rPr>
                <w:b w:val="false"/>
                <w:bCs w:val="false"/>
              </w:rPr>
              <w:t xml:space="preserve">16-Jul-2018</w:t>
            </w:r>
          </w:p>
        </w:tc>
        <w:tc>
          <w:tcPr>
            <w:tcW w:type="dxa" w:w="5040"/>
            <w:tcMar>
              <w:top w:type="dxa" w:w="60"/>
              <w:left w:type="dxa" w:w="100"/>
              <w:bottom w:type="dxa" w:w="60"/>
              <w:right w:type="dxa" w:w="100"/>
            </w:tcMar>
          </w:tcPr>
          <w:p>
            <w:r>
              <w:rPr>
                <w:b w:val="false"/>
                <w:bCs w:val="false"/>
              </w:rPr>
              <w:t xml:space="preserve">Broad EQ/NE/GT-style comparison retrofit across nearly every conditional in the routine</w:t>
            </w:r>
          </w:p>
        </w:tc>
      </w:tr>
      <w:tr>
        <w:tc>
          <w:tcPr>
            <w:tcW w:type="dxa" w:w="2469"/>
            <w:tcMar>
              <w:top w:type="dxa" w:w="60"/>
              <w:left w:type="dxa" w:w="100"/>
              <w:bottom w:type="dxa" w:w="60"/>
              <w:right w:type="dxa" w:w="100"/>
            </w:tcMar>
          </w:tcPr>
          <w:p>
            <w:r>
              <w:rPr>
                <w:b w:val="false"/>
                <w:bCs w:val="false"/>
              </w:rPr>
              <w:t xml:space="preserve">(unattributed) 20180704</w:t>
            </w:r>
          </w:p>
        </w:tc>
        <w:tc>
          <w:tcPr>
            <w:tcW w:type="dxa" w:w="1851"/>
            <w:tcMar>
              <w:top w:type="dxa" w:w="60"/>
              <w:left w:type="dxa" w:w="100"/>
              <w:bottom w:type="dxa" w:w="60"/>
              <w:right w:type="dxa" w:w="100"/>
            </w:tcMar>
          </w:tcPr>
          <w:p>
            <w:r>
              <w:rPr>
                <w:b w:val="false"/>
                <w:bCs w:val="false"/>
              </w:rPr>
              <w:t xml:space="preserve">04-Jul-2018</w:t>
            </w:r>
          </w:p>
        </w:tc>
        <w:tc>
          <w:tcPr>
            <w:tcW w:type="dxa" w:w="5040"/>
            <w:tcMar>
              <w:top w:type="dxa" w:w="60"/>
              <w:left w:type="dxa" w:w="100"/>
              <w:bottom w:type="dxa" w:w="60"/>
              <w:right w:type="dxa" w:w="100"/>
            </w:tcMar>
          </w:tcPr>
          <w:p>
            <w:r>
              <w:rPr>
                <w:b w:val="false"/>
                <w:bCs w:val="false"/>
              </w:rPr>
              <w:t xml:space="preserve">"FIX OVERRIDE AMOUNT" — the OVERRIDE.CUST.COMMISSION substitution logic for OUTWARDCHG lines</w:t>
            </w:r>
          </w:p>
        </w:tc>
      </w:tr>
      <w:tr>
        <w:tc>
          <w:tcPr>
            <w:tcW w:type="dxa" w:w="2469"/>
            <w:tcMar>
              <w:top w:type="dxa" w:w="60"/>
              <w:left w:type="dxa" w:w="100"/>
              <w:bottom w:type="dxa" w:w="60"/>
              <w:right w:type="dxa" w:w="100"/>
            </w:tcMar>
          </w:tcPr>
          <w:p>
            <w:r>
              <w:rPr>
                <w:b w:val="false"/>
                <w:bCs w:val="false"/>
              </w:rPr>
              <w:t xml:space="preserve">MCBCS / QC_422</w:t>
            </w:r>
          </w:p>
        </w:tc>
        <w:tc>
          <w:tcPr>
            <w:tcW w:type="dxa" w:w="1851"/>
            <w:tcMar>
              <w:top w:type="dxa" w:w="60"/>
              <w:left w:type="dxa" w:w="100"/>
              <w:bottom w:type="dxa" w:w="60"/>
              <w:right w:type="dxa" w:w="100"/>
            </w:tcMar>
          </w:tcPr>
          <w:p>
            <w:r>
              <w:rPr>
                <w:b w:val="false"/>
                <w:bCs w:val="false"/>
              </w:rPr>
              <w:t xml:space="preserve">08-Jun-2021</w:t>
            </w:r>
          </w:p>
        </w:tc>
        <w:tc>
          <w:tcPr>
            <w:tcW w:type="dxa" w:w="5040"/>
            <w:tcMar>
              <w:top w:type="dxa" w:w="60"/>
              <w:left w:type="dxa" w:w="100"/>
              <w:bottom w:type="dxa" w:w="60"/>
              <w:right w:type="dxa" w:w="100"/>
            </w:tcMar>
          </w:tcPr>
          <w:p>
            <w:r>
              <w:rPr>
                <w:b w:val="false"/>
                <w:bCs w:val="false"/>
              </w:rPr>
              <w:t xml:space="preserve">Code fix — corrected an OFS array assignment for COMMISSION.CODE auto-default (indexing syntax fix)</w:t>
            </w:r>
          </w:p>
        </w:tc>
      </w:tr>
      <w:tr>
        <w:tc>
          <w:tcPr>
            <w:tcW w:type="dxa" w:w="2469"/>
            <w:tcMar>
              <w:top w:type="dxa" w:w="60"/>
              <w:left w:type="dxa" w:w="100"/>
              <w:bottom w:type="dxa" w:w="60"/>
              <w:right w:type="dxa" w:w="100"/>
            </w:tcMar>
          </w:tcPr>
          <w:p>
            <w:r>
              <w:rPr>
                <w:b w:val="false"/>
                <w:bCs w:val="false"/>
              </w:rPr>
              <w:t xml:space="preserve">HALAFAWY</w:t>
            </w:r>
          </w:p>
        </w:tc>
        <w:tc>
          <w:tcPr>
            <w:tcW w:type="dxa" w:w="1851"/>
            <w:tcMar>
              <w:top w:type="dxa" w:w="60"/>
              <w:left w:type="dxa" w:w="100"/>
              <w:bottom w:type="dxa" w:w="60"/>
              <w:right w:type="dxa" w:w="100"/>
            </w:tcMar>
          </w:tcPr>
          <w:p>
            <w:r>
              <w:rPr>
                <w:b w:val="false"/>
                <w:bCs w:val="false"/>
              </w:rPr>
              <w:t xml:space="preserve">undated (inline)</w:t>
            </w:r>
          </w:p>
        </w:tc>
        <w:tc>
          <w:tcPr>
            <w:tcW w:type="dxa" w:w="5040"/>
            <w:tcMar>
              <w:top w:type="dxa" w:w="60"/>
              <w:left w:type="dxa" w:w="100"/>
              <w:bottom w:type="dxa" w:w="60"/>
              <w:right w:type="dxa" w:w="100"/>
            </w:tcMar>
          </w:tcPr>
          <w:p>
            <w:r>
              <w:rPr>
                <w:b w:val="false"/>
                <w:bCs w:val="false"/>
              </w:rPr>
              <w:t xml:space="preserve">COMMISSION.RATE handling, BEN.OUR.CHARGES-driven commission-currency selection, USD-rate substitution logic in GO.CALC</w:t>
            </w:r>
          </w:p>
        </w:tc>
      </w:tr>
      <w:tr>
        <w:tc>
          <w:tcPr>
            <w:tcW w:type="dxa" w:w="2469"/>
            <w:tcMar>
              <w:top w:type="dxa" w:w="60"/>
              <w:left w:type="dxa" w:w="100"/>
              <w:bottom w:type="dxa" w:w="60"/>
              <w:right w:type="dxa" w:w="100"/>
            </w:tcMar>
          </w:tcPr>
          <w:p>
            <w:r>
              <w:rPr>
                <w:b w:val="false"/>
                <w:bCs w:val="false"/>
              </w:rPr>
              <w:t xml:space="preserve">MCBCS-20180930</w:t>
            </w:r>
          </w:p>
        </w:tc>
        <w:tc>
          <w:tcPr>
            <w:tcW w:type="dxa" w:w="1851"/>
            <w:tcMar>
              <w:top w:type="dxa" w:w="60"/>
              <w:left w:type="dxa" w:w="100"/>
              <w:bottom w:type="dxa" w:w="60"/>
              <w:right w:type="dxa" w:w="100"/>
            </w:tcMar>
          </w:tcPr>
          <w:p>
            <w:r>
              <w:rPr>
                <w:b w:val="false"/>
                <w:bCs w:val="false"/>
              </w:rPr>
              <w:t xml:space="preserve">30-Sep-2018</w:t>
            </w:r>
          </w:p>
        </w:tc>
        <w:tc>
          <w:tcPr>
            <w:tcW w:type="dxa" w:w="5040"/>
            <w:tcMar>
              <w:top w:type="dxa" w:w="60"/>
              <w:left w:type="dxa" w:w="100"/>
              <w:bottom w:type="dxa" w:w="60"/>
              <w:right w:type="dxa" w:w="100"/>
            </w:tcMar>
          </w:tcPr>
          <w:p>
            <w:r>
              <w:rPr>
                <w:b w:val="false"/>
                <w:bCs w:val="false"/>
              </w:rPr>
              <w:t xml:space="preserve">Override-amount fix consolidation for OUTWARDCHG lines</w:t>
            </w:r>
          </w:p>
        </w:tc>
      </w:tr>
      <w:tr>
        <w:tc>
          <w:tcPr>
            <w:tcW w:type="dxa" w:w="2469"/>
            <w:tcMar>
              <w:top w:type="dxa" w:w="60"/>
              <w:left w:type="dxa" w:w="100"/>
              <w:bottom w:type="dxa" w:w="60"/>
              <w:right w:type="dxa" w:w="100"/>
            </w:tcMar>
          </w:tcPr>
          <w:p>
            <w:r>
              <w:rPr>
                <w:b w:val="false"/>
                <w:bCs w:val="false"/>
              </w:rPr>
              <w:t xml:space="preserve">HEND</w:t>
            </w:r>
          </w:p>
        </w:tc>
        <w:tc>
          <w:tcPr>
            <w:tcW w:type="dxa" w:w="1851"/>
            <w:tcMar>
              <w:top w:type="dxa" w:w="60"/>
              <w:left w:type="dxa" w:w="100"/>
              <w:bottom w:type="dxa" w:w="60"/>
              <w:right w:type="dxa" w:w="100"/>
            </w:tcMar>
          </w:tcPr>
          <w:p>
            <w:r>
              <w:rPr>
                <w:b w:val="false"/>
                <w:bCs w:val="false"/>
              </w:rPr>
              <w:t xml:space="preserve">05-Apr-2023</w:t>
            </w:r>
          </w:p>
        </w:tc>
        <w:tc>
          <w:tcPr>
            <w:tcW w:type="dxa" w:w="5040"/>
            <w:tcMar>
              <w:top w:type="dxa" w:w="60"/>
              <w:left w:type="dxa" w:w="100"/>
              <w:bottom w:type="dxa" w:w="60"/>
              <w:right w:type="dxa" w:w="100"/>
            </w:tcMar>
          </w:tcPr>
          <w:p>
            <w:r>
              <w:rPr>
                <w:b w:val="false"/>
                <w:bCs w:val="false"/>
              </w:rPr>
              <w:t xml:space="preserve">Added OUTWARDACH as a second commission type eligible for the OVERRIDE.CUST.COMMISSION / USD-rate-substitution treatment, mirroring the existing OUTWARDCHG logic</w:t>
            </w:r>
          </w:p>
        </w:tc>
      </w:tr>
      <w:tr>
        <w:tc>
          <w:tcPr>
            <w:tcW w:type="dxa" w:w="2469"/>
            <w:tcMar>
              <w:top w:type="dxa" w:w="60"/>
              <w:left w:type="dxa" w:w="100"/>
              <w:bottom w:type="dxa" w:w="60"/>
              <w:right w:type="dxa" w:w="100"/>
            </w:tcMar>
          </w:tcPr>
          <w:p>
            <w:r>
              <w:rPr>
                <w:b w:val="false"/>
                <w:bCs w:val="false"/>
              </w:rPr>
              <w:t xml:space="preserve">TAFJ Conversion</w:t>
            </w:r>
          </w:p>
        </w:tc>
        <w:tc>
          <w:tcPr>
            <w:tcW w:type="dxa" w:w="1851"/>
            <w:tcMar>
              <w:top w:type="dxa" w:w="60"/>
              <w:left w:type="dxa" w:w="100"/>
              <w:bottom w:type="dxa" w:w="60"/>
              <w:right w:type="dxa" w:w="100"/>
            </w:tcMar>
          </w:tcPr>
          <w:p>
            <w:r>
              <w:rPr>
                <w:b w:val="false"/>
                <w:bCs w:val="false"/>
              </w:rPr>
              <w:t xml:space="preserve">01-Apr-2020</w:t>
            </w:r>
          </w:p>
        </w:tc>
        <w:tc>
          <w:tcPr>
            <w:tcW w:type="dxa" w:w="5040"/>
            <w:tcMar>
              <w:top w:type="dxa" w:w="60"/>
              <w:left w:type="dxa" w:w="100"/>
              <w:bottom w:type="dxa" w:w="60"/>
              <w:right w:type="dxa" w:w="100"/>
            </w:tcMar>
          </w:tcPr>
          <w:p>
            <w:r>
              <w:rPr>
                <w:b w:val="false"/>
                <w:bCs w:val="false"/>
              </w:rPr>
              <w:t xml:space="preserve">Platform-conversion-related null/empty string handling fixes around commission amount trimming</w:t>
            </w:r>
          </w:p>
        </w:tc>
      </w:tr>
    </w:tbl>
    <w:p>
      <w:pPr>
        <w:spacing w:after="120"/>
      </w:pPr>
      <w:r>
        <w:rPr>
          <w:i/>
          <w:iCs/>
        </w:rPr>
        <w:t xml:space="preserve">Recommendation: this routine shows a heavier concentration of numeric/financial-logic patches (override amounts, currency substitution, QC-driven bug fixes) than CIB.OT.FT. Each override/substitution rule should be validated against an actual worked example from the business before being reproduced on TPH, since a subtle miscalculation here directly affects what a customer is charged.</w:t>
      </w:r>
    </w:p>
    <w:p>
      <w:pPr>
        <w:pStyle w:val="Heading1"/>
        <w:pBdr>
          <w:bottom w:val="single" w:color="2E5395" w:sz="6" w:space="4"/>
        </w:pBdr>
        <w:spacing w:after="150" w:before="300"/>
      </w:pPr>
      <w:r>
        <w:t xml:space="preserve">10. Open Questions / Assumptions for the Team</w:t>
      </w:r>
    </w:p>
    <w:p>
      <w:pPr>
        <w:pStyle w:val="ListParagraph"/>
        <w:numPr>
          <w:ilvl w:val="0"/>
          <w:numId w:val="1"/>
        </w:numPr>
        <w:spacing w:after="60"/>
      </w:pPr>
      <w:r>
        <w:t xml:space="preserve">What T24 application does FT08's CIB.MSG.CONFIG row actually point APP.NAME at — is it FUNDS.TRANSFER, or something else?</w:t>
      </w:r>
    </w:p>
    <w:p>
      <w:pPr>
        <w:pStyle w:val="ListParagraph"/>
        <w:numPr>
          <w:ilvl w:val="0"/>
          <w:numId w:val="1"/>
        </w:numPr>
        <w:spacing w:after="60"/>
      </w:pPr>
      <w:r>
        <w:t xml:space="preserve">What exactly is in the FT08 row's XML.TAGS.REMOVE list, and why were those specific tags chosen for exclusion?</w:t>
      </w:r>
    </w:p>
    <w:p>
      <w:pPr>
        <w:pStyle w:val="ListParagraph"/>
        <w:numPr>
          <w:ilvl w:val="0"/>
          <w:numId w:val="1"/>
        </w:numPr>
        <w:spacing w:after="60"/>
      </w:pPr>
      <w:r>
        <w:t xml:space="preserve">Is the EGP→USD two-hop commission conversion still a live business requirement, or a legacy path for a currency pair that's no longer used?</w:t>
      </w:r>
    </w:p>
    <w:p>
      <w:pPr>
        <w:pStyle w:val="ListParagraph"/>
        <w:numPr>
          <w:ilvl w:val="0"/>
          <w:numId w:val="1"/>
        </w:numPr>
        <w:spacing w:after="60"/>
      </w:pPr>
      <w:r>
        <w:t xml:space="preserve">For the 'DIFFERENT USERS FROM LAST AMEND' branch in CHECK.EXTRNAL.REF, is the CUR.STATUS-vs-RETURN.CODE mismatch a known/accepted behavior, or an actual bug that's been silently returning the wrong code to channels?</w:t>
      </w:r>
    </w:p>
    <w:p>
      <w:pPr>
        <w:pStyle w:val="ListParagraph"/>
        <w:numPr>
          <w:ilvl w:val="0"/>
          <w:numId w:val="1"/>
        </w:numPr>
        <w:spacing w:after="60"/>
      </w:pPr>
      <w:r>
        <w:t xml:space="preserve">What are the exact internal rules inside CIB.CALCULATE.CONCESSION? Not visible in this routine — needs its own source review.</w:t>
      </w:r>
    </w:p>
    <w:p>
      <w:pPr>
        <w:pStyle w:val="ListParagraph"/>
        <w:numPr>
          <w:ilvl w:val="0"/>
          <w:numId w:val="1"/>
        </w:numPr>
        <w:spacing w:after="60"/>
      </w:pPr>
      <w:r>
        <w:t xml:space="preserve">Is the OUTWARDCHG/OUTWARDACH-only scope of the channel override (OVERRIDE.CUST.COMMISSION) still correct, or should other commission types also be eligible?</w:t>
      </w:r>
    </w:p>
    <w:p>
      <w:pPr>
        <w:pStyle w:val="ListParagraph"/>
        <w:numPr>
          <w:ilvl w:val="0"/>
          <w:numId w:val="1"/>
        </w:numPr>
        <w:spacing w:after="60"/>
      </w:pPr>
      <w:r>
        <w:t xml:space="preserve">Does IRIS's response schema need to preserve the exact SAME_COMMISSON_RCVD three-state (Y/N/W) semantics, or can channels be redesigned to consume a richer/differently-shaped reconciliation signal?</w:t>
      </w:r>
    </w:p>
    <w:p>
      <w:pPr>
        <w:pStyle w:val="Heading1"/>
        <w:pBdr>
          <w:bottom w:val="single" w:color="2E5395" w:sz="6" w:space="4"/>
        </w:pBdr>
        <w:spacing w:after="150" w:before="300"/>
      </w:pPr>
      <w:r>
        <w:t xml:space="preserve">11. Review &amp;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8"/>
        <w:gridCol w:w="2123"/>
        <w:gridCol w:w="1737"/>
        <w:gridCol w:w="2412"/>
      </w:tblGrid>
      <w:tr>
        <w:trPr>
          <w:tblHeader/>
        </w:trPr>
        <w:tc>
          <w:tcPr>
            <w:tcW w:type="dxa" w:w="3088"/>
            <w:shd w:fill="2E5395" w:val="clear"/>
            <w:tcMar>
              <w:top w:type="dxa" w:w="80"/>
              <w:left w:type="dxa" w:w="100"/>
              <w:bottom w:type="dxa" w:w="80"/>
              <w:right w:type="dxa" w:w="100"/>
            </w:tcMar>
          </w:tcPr>
          <w:p>
            <w:r>
              <w:rPr>
                <w:b/>
                <w:bCs/>
                <w:color w:val="FFFFFF"/>
              </w:rPr>
              <w:t xml:space="preserve">Role</w:t>
            </w:r>
          </w:p>
        </w:tc>
        <w:tc>
          <w:tcPr>
            <w:tcW w:type="dxa" w:w="2123"/>
            <w:shd w:fill="2E5395" w:val="clear"/>
            <w:tcMar>
              <w:top w:type="dxa" w:w="80"/>
              <w:left w:type="dxa" w:w="100"/>
              <w:bottom w:type="dxa" w:w="80"/>
              <w:right w:type="dxa" w:w="100"/>
            </w:tcMar>
          </w:tcPr>
          <w:p>
            <w:r>
              <w:rPr>
                <w:b/>
                <w:bCs/>
                <w:color w:val="FFFFFF"/>
              </w:rPr>
              <w:t xml:space="preserve">Name</w:t>
            </w:r>
          </w:p>
        </w:tc>
        <w:tc>
          <w:tcPr>
            <w:tcW w:type="dxa" w:w="1737"/>
            <w:shd w:fill="2E5395" w:val="clear"/>
            <w:tcMar>
              <w:top w:type="dxa" w:w="80"/>
              <w:left w:type="dxa" w:w="100"/>
              <w:bottom w:type="dxa" w:w="80"/>
              <w:right w:type="dxa" w:w="100"/>
            </w:tcMar>
          </w:tcPr>
          <w:p>
            <w:r>
              <w:rPr>
                <w:b/>
                <w:bCs/>
                <w:color w:val="FFFFFF"/>
              </w:rPr>
              <w:t xml:space="preserve">Date</w:t>
            </w:r>
          </w:p>
        </w:tc>
        <w:tc>
          <w:tcPr>
            <w:tcW w:type="dxa" w:w="2412"/>
            <w:shd w:fill="2E5395" w:val="clear"/>
            <w:tcMar>
              <w:top w:type="dxa" w:w="80"/>
              <w:left w:type="dxa" w:w="100"/>
              <w:bottom w:type="dxa" w:w="80"/>
              <w:right w:type="dxa" w:w="100"/>
            </w:tcMar>
          </w:tcPr>
          <w:p>
            <w:r>
              <w:rPr>
                <w:b/>
                <w:bCs/>
                <w:color w:val="FFFFFF"/>
              </w:rPr>
              <w:t xml:space="preserve">Comments</w:t>
            </w:r>
          </w:p>
        </w:tc>
      </w:tr>
      <w:tr>
        <w:tc>
          <w:tcPr>
            <w:tcW w:type="dxa" w:w="3088"/>
            <w:tcMar>
              <w:top w:type="dxa" w:w="60"/>
              <w:left w:type="dxa" w:w="100"/>
              <w:bottom w:type="dxa" w:w="60"/>
              <w:right w:type="dxa" w:w="100"/>
            </w:tcMar>
          </w:tcPr>
          <w:p>
            <w:r>
              <w:rPr>
                <w:b w:val="false"/>
                <w:bCs w:val="false"/>
              </w:rPr>
              <w:t xml:space="preserve">Prepared by</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T24 Technical Reviewer</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TPH/IRIS Solution Architect</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Business/Product Owner (Fees &amp; Charges)</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r>
        <w:tc>
          <w:tcPr>
            <w:tcW w:type="dxa" w:w="3088"/>
            <w:tcMar>
              <w:top w:type="dxa" w:w="60"/>
              <w:left w:type="dxa" w:w="100"/>
              <w:bottom w:type="dxa" w:w="60"/>
              <w:right w:type="dxa" w:w="100"/>
            </w:tcMar>
          </w:tcPr>
          <w:p>
            <w:r>
              <w:rPr>
                <w:b w:val="false"/>
                <w:bCs w:val="false"/>
              </w:rPr>
              <w:t xml:space="preserve">Compliance/Controls (for reconciliation flag &amp; override logic)</w:t>
            </w:r>
          </w:p>
        </w:tc>
        <w:tc>
          <w:tcPr>
            <w:tcW w:type="dxa" w:w="2123"/>
            <w:tcMar>
              <w:top w:type="dxa" w:w="60"/>
              <w:left w:type="dxa" w:w="100"/>
              <w:bottom w:type="dxa" w:w="60"/>
              <w:right w:type="dxa" w:w="100"/>
            </w:tcMar>
          </w:tcPr>
          <w:p>
            <w:r>
              <w:rPr>
                <w:b w:val="false"/>
                <w:bCs w:val="false"/>
              </w:rPr>
              <w:t xml:space="preserve"/>
            </w:r>
          </w:p>
        </w:tc>
        <w:tc>
          <w:tcPr>
            <w:tcW w:type="dxa" w:w="1737"/>
            <w:tcMar>
              <w:top w:type="dxa" w:w="60"/>
              <w:left w:type="dxa" w:w="100"/>
              <w:bottom w:type="dxa" w:w="60"/>
              <w:right w:type="dxa" w:w="100"/>
            </w:tcMar>
          </w:tcPr>
          <w:p>
            <w:r>
              <w:rPr>
                <w:b w:val="false"/>
                <w:bCs w:val="false"/>
              </w:rPr>
              <w:t xml:space="preserve"/>
            </w:r>
          </w:p>
        </w:tc>
        <w:tc>
          <w:tcPr>
            <w:tcW w:type="dxa" w:w="2412"/>
            <w:tcMar>
              <w:top w:type="dxa" w:w="60"/>
              <w:left w:type="dxa" w:w="100"/>
              <w:bottom w:type="dxa" w:w="60"/>
              <w:right w:type="dxa" w:w="100"/>
            </w:tcMar>
          </w:tcPr>
          <w:p>
            <w:r>
              <w:rPr>
                <w:b w:val="false"/>
                <w:bCs w:val="false"/>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88888"/>
        <w:sz w:val="16"/>
        <w:szCs w:val="16"/>
      </w:rPr>
      <w:t xml:space="preserve">Service Analysis — Simulate Fees &amp; Calculate Commission (FT08)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2026-08-24T23:16:25.674Z</dcterms:created>
  <dcterms:modified xsi:type="dcterms:W3CDTF">2026-08-24T23:16:25.688Z</dcterms:modified>
</cp:coreProperties>
</file>

<file path=docProps/custom.xml><?xml version="1.0" encoding="utf-8"?>
<Properties xmlns="http://schemas.openxmlformats.org/officeDocument/2006/custom-properties" xmlns:vt="http://schemas.openxmlformats.org/officeDocument/2006/docPropsVTypes"/>
</file>