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color w:val="1F3864"/>
          <w:sz w:val="34"/>
          <w:szCs w:val="34"/>
        </w:rPr>
        <w:t xml:space="preserve">Service Analysis: DXP Execute Payment (DXPFT)</w:t>
      </w:r>
    </w:p>
    <w:p>
      <w:pPr>
        <w:spacing w:after="300"/>
      </w:pPr>
      <w:r>
        <w:rPr>
          <w:i/>
          <w:iCs/>
          <w:color w:val="555555"/>
          <w:sz w:val="22"/>
          <w:szCs w:val="22"/>
        </w:rPr>
        <w:t xml:space="preserve">T24 R20/FT → TPH R25/IRIS API Migration Audit</w:t>
      </w:r>
    </w:p>
    <w:p>
      <w:pPr>
        <w:spacing w:after="60"/>
      </w:pPr>
      <w:r>
        <w:rPr>
          <w:b/>
          <w:bCs/>
        </w:rPr>
        <w:t xml:space="preserve">Source Routine: </w:t>
      </w:r>
      <w:r>
        <w:t xml:space="preserve">CIB.DXP.FT</w:t>
      </w:r>
    </w:p>
    <w:p>
      <w:pPr>
        <w:spacing w:after="60"/>
      </w:pPr>
      <w:r>
        <w:rPr>
          <w:b/>
          <w:bCs/>
        </w:rPr>
        <w:t xml:space="preserve">Type: </w:t>
      </w:r>
      <w:r>
        <w:t xml:space="preserve">CR2-Mediated Multi-Purpose Payment Dispatcher (Custom Call Routine)</w:t>
      </w:r>
    </w:p>
    <w:p>
      <w:pPr>
        <w:spacing w:after="60"/>
      </w:pPr>
      <w:r>
        <w:rPr>
          <w:b/>
          <w:bCs/>
        </w:rPr>
        <w:t xml:space="preserve">Current Version: </w:t>
      </w:r>
      <w:r>
        <w:t xml:space="preserve">T24 R20 / FT (OFS), integrated with CR2 digital banking middleware</w:t>
      </w:r>
    </w:p>
    <w:p>
      <w:pPr>
        <w:spacing w:after="60"/>
      </w:pPr>
      <w:r>
        <w:rPr>
          <w:b/>
          <w:bCs/>
        </w:rPr>
        <w:t xml:space="preserve">Target: </w:t>
      </w:r>
      <w:r>
        <w:t xml:space="preserve">TPH R25 / IRIS API</w:t>
      </w:r>
    </w:p>
    <w:p>
      <w:pPr>
        <w:spacing w:after="60"/>
      </w:pPr>
      <w:r>
        <w:rPr>
          <w:b/>
          <w:bCs/>
        </w:rPr>
        <w:t xml:space="preserve">Service ID (SRVC.ID): </w:t>
      </w:r>
      <w:r>
        <w:t xml:space="preserve">DXPFT</w:t>
      </w:r>
    </w:p>
    <w:p>
      <w:pPr>
        <w:spacing w:after="60"/>
      </w:pPr>
      <w:r>
        <w:rPr>
          <w:b/>
          <w:bCs/>
        </w:rPr>
        <w:t xml:space="preserve">Channel: </w:t>
      </w:r>
      <w:r>
        <w:t xml:space="preserve">DDCM — Internet and Mobile Banking (Digital Experience Platform)</w:t>
      </w:r>
    </w:p>
    <w:p>
      <w:pPr>
        <w:spacing w:after="60"/>
      </w:pPr>
      <w:r>
        <w:rPr>
          <w:b/>
          <w:bCs/>
        </w:rPr>
        <w:t xml:space="preserve">Used By: </w:t>
      </w:r>
      <w:r>
        <w:t xml:space="preserve">The bank's own internet/mobile banking app for own-account transfers, card settlements, outward transfers, instant payments, and charity donations — a single multi-purpose payment entry point</w:t>
      </w:r>
    </w:p>
    <w:p>
      <w:pPr>
        <w:spacing w:after="60"/>
      </w:pPr>
      <w:r>
        <w:rPr>
          <w:b/>
          <w:bCs/>
        </w:rPr>
        <w:t xml:space="preserve">Sibling Documents: </w:t>
      </w:r>
      <w:r>
        <w:t xml:space="preserve">01 - Create Outward Transfer; 02 - Simulate Fees &amp; Calculate Commission (FT08); 03 - Amend Outward Transfer (1012); 04 - Authorise FT (SC02); 05 - Create Nostro Transfer (NA02); 06 - Get FT Details (1026)</w:t>
      </w:r>
    </w:p>
    <w:p>
      <w:pPr>
        <w:spacing w:after="120"/>
      </w:pPr>
      <w:r>
        <w:rPr>
          <w:i/>
          <w:iCs/>
          <w:color w:val="555555"/>
        </w:rPr>
        <w:t xml:space="preserve">Note: this is by far the largest and most complex routine reviewed in this programme — larger than several of the other six combined. It is a genuine multi-purpose transaction dispatcher, not a single-purpose 'create a transfer' service like Document 01. This document focuses on the dispatch logic, the distinctive business rules, and the findings that matter most for migration, rather than an exhaustive field-by-field OFS map (which would differ per transaction-type branch and add limited value at this level of detail).</w:t>
      </w:r>
    </w:p>
    <w:p>
      <w:pPr>
        <w:pStyle w:val="Heading1"/>
        <w:pBdr>
          <w:bottom w:val="single" w:color="2E5395" w:sz="6" w:space="4"/>
        </w:pBdr>
        <w:spacing w:after="150" w:before="30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95"/>
        <w:gridCol w:w="6465"/>
      </w:tblGrid>
      <w:tr>
        <w:trPr>
          <w:tblHeader/>
        </w:trPr>
        <w:tc>
          <w:tcPr>
            <w:tcW w:type="dxa" w:w="2895"/>
            <w:shd w:fill="2E5395" w:val="clear"/>
            <w:tcMar>
              <w:top w:type="dxa" w:w="80"/>
              <w:left w:type="dxa" w:w="100"/>
              <w:bottom w:type="dxa" w:w="80"/>
              <w:right w:type="dxa" w:w="100"/>
            </w:tcMar>
          </w:tcPr>
          <w:p>
            <w:r>
              <w:rPr>
                <w:b/>
                <w:bCs/>
                <w:color w:val="FFFFFF"/>
              </w:rPr>
              <w:t xml:space="preserve">Field</w:t>
            </w:r>
          </w:p>
        </w:tc>
        <w:tc>
          <w:tcPr>
            <w:tcW w:type="dxa" w:w="6465"/>
            <w:shd w:fill="2E5395" w:val="clear"/>
            <w:tcMar>
              <w:top w:type="dxa" w:w="80"/>
              <w:left w:type="dxa" w:w="100"/>
              <w:bottom w:type="dxa" w:w="80"/>
              <w:right w:type="dxa" w:w="100"/>
            </w:tcMar>
          </w:tcPr>
          <w:p>
            <w:r>
              <w:rPr>
                <w:b/>
                <w:bCs/>
                <w:color w:val="FFFFFF"/>
              </w:rPr>
              <w:t xml:space="preserve">Value</w:t>
            </w:r>
          </w:p>
        </w:tc>
      </w:tr>
      <w:tr>
        <w:tc>
          <w:tcPr>
            <w:tcW w:type="dxa" w:w="2895"/>
            <w:tcMar>
              <w:top w:type="dxa" w:w="60"/>
              <w:left w:type="dxa" w:w="100"/>
              <w:bottom w:type="dxa" w:w="60"/>
              <w:right w:type="dxa" w:w="100"/>
            </w:tcMar>
          </w:tcPr>
          <w:p>
            <w:r>
              <w:rPr>
                <w:b w:val="false"/>
                <w:bCs w:val="false"/>
              </w:rPr>
              <w:t xml:space="preserve">Document Title</w:t>
            </w:r>
          </w:p>
        </w:tc>
        <w:tc>
          <w:tcPr>
            <w:tcW w:type="dxa" w:w="6465"/>
            <w:tcMar>
              <w:top w:type="dxa" w:w="60"/>
              <w:left w:type="dxa" w:w="100"/>
              <w:bottom w:type="dxa" w:w="60"/>
              <w:right w:type="dxa" w:w="100"/>
            </w:tcMar>
          </w:tcPr>
          <w:p>
            <w:r>
              <w:rPr>
                <w:b w:val="false"/>
                <w:bCs w:val="false"/>
              </w:rPr>
              <w:t xml:space="preserve">Service Analysis — DXP Execute Payment (CIB.DXP.FT / DXPFT)</w:t>
            </w:r>
          </w:p>
        </w:tc>
      </w:tr>
      <w:tr>
        <w:tc>
          <w:tcPr>
            <w:tcW w:type="dxa" w:w="2895"/>
            <w:tcMar>
              <w:top w:type="dxa" w:w="60"/>
              <w:left w:type="dxa" w:w="100"/>
              <w:bottom w:type="dxa" w:w="60"/>
              <w:right w:type="dxa" w:w="100"/>
            </w:tcMar>
          </w:tcPr>
          <w:p>
            <w:r>
              <w:rPr>
                <w:b w:val="false"/>
                <w:bCs w:val="false"/>
              </w:rPr>
              <w:t xml:space="preserve">Version</w:t>
            </w:r>
          </w:p>
        </w:tc>
        <w:tc>
          <w:tcPr>
            <w:tcW w:type="dxa" w:w="6465"/>
            <w:tcMar>
              <w:top w:type="dxa" w:w="60"/>
              <w:left w:type="dxa" w:w="100"/>
              <w:bottom w:type="dxa" w:w="60"/>
              <w:right w:type="dxa" w:w="100"/>
            </w:tcMar>
          </w:tcPr>
          <w:p>
            <w:r>
              <w:rPr>
                <w:b w:val="false"/>
                <w:bCs w:val="false"/>
              </w:rPr>
              <w:t xml:space="preserve">1.0 — Draft, pending peer review</w:t>
            </w:r>
          </w:p>
        </w:tc>
      </w:tr>
      <w:tr>
        <w:tc>
          <w:tcPr>
            <w:tcW w:type="dxa" w:w="2895"/>
            <w:tcMar>
              <w:top w:type="dxa" w:w="60"/>
              <w:left w:type="dxa" w:w="100"/>
              <w:bottom w:type="dxa" w:w="60"/>
              <w:right w:type="dxa" w:w="100"/>
            </w:tcMar>
          </w:tcPr>
          <w:p>
            <w:r>
              <w:rPr>
                <w:b w:val="false"/>
                <w:bCs w:val="false"/>
              </w:rPr>
              <w:t xml:space="preserve">Prepared For</w:t>
            </w:r>
          </w:p>
        </w:tc>
        <w:tc>
          <w:tcPr>
            <w:tcW w:type="dxa" w:w="6465"/>
            <w:tcMar>
              <w:top w:type="dxa" w:w="60"/>
              <w:left w:type="dxa" w:w="100"/>
              <w:bottom w:type="dxa" w:w="60"/>
              <w:right w:type="dxa" w:w="100"/>
            </w:tcMar>
          </w:tcPr>
          <w:p>
            <w:r>
              <w:rPr>
                <w:b w:val="false"/>
                <w:bCs w:val="false"/>
              </w:rPr>
              <w:t xml:space="preserve">T24 R20→R25 / FT→TPH Migration Programme</w:t>
            </w:r>
          </w:p>
        </w:tc>
      </w:tr>
      <w:tr>
        <w:tc>
          <w:tcPr>
            <w:tcW w:type="dxa" w:w="2895"/>
            <w:tcMar>
              <w:top w:type="dxa" w:w="60"/>
              <w:left w:type="dxa" w:w="100"/>
              <w:bottom w:type="dxa" w:w="60"/>
              <w:right w:type="dxa" w:w="100"/>
            </w:tcMar>
          </w:tcPr>
          <w:p>
            <w:r>
              <w:rPr>
                <w:b w:val="false"/>
                <w:bCs w:val="false"/>
              </w:rPr>
              <w:t xml:space="preserve">Prepared Basis</w:t>
            </w:r>
          </w:p>
        </w:tc>
        <w:tc>
          <w:tcPr>
            <w:tcW w:type="dxa" w:w="6465"/>
            <w:tcMar>
              <w:top w:type="dxa" w:w="60"/>
              <w:left w:type="dxa" w:w="100"/>
              <w:bottom w:type="dxa" w:w="60"/>
              <w:right w:type="dxa" w:w="100"/>
            </w:tcMar>
          </w:tcPr>
          <w:p>
            <w:r>
              <w:rPr>
                <w:b w:val="false"/>
                <w:bCs w:val="false"/>
              </w:rPr>
              <w:t xml:space="preserve">Static code review of CIB.DXP.FT, cross-checked against one real captured sample (account-transfer / ACTR case only)</w:t>
            </w:r>
          </w:p>
        </w:tc>
      </w:tr>
      <w:tr>
        <w:tc>
          <w:tcPr>
            <w:tcW w:type="dxa" w:w="2895"/>
            <w:tcMar>
              <w:top w:type="dxa" w:w="60"/>
              <w:left w:type="dxa" w:w="100"/>
              <w:bottom w:type="dxa" w:w="60"/>
              <w:right w:type="dxa" w:w="100"/>
            </w:tcMar>
          </w:tcPr>
          <w:p>
            <w:r>
              <w:rPr>
                <w:b w:val="false"/>
                <w:bCs w:val="false"/>
              </w:rPr>
              <w:t xml:space="preserve">Last Updated</w:t>
            </w:r>
          </w:p>
        </w:tc>
        <w:tc>
          <w:tcPr>
            <w:tcW w:type="dxa" w:w="6465"/>
            <w:tcMar>
              <w:top w:type="dxa" w:w="60"/>
              <w:left w:type="dxa" w:w="100"/>
              <w:bottom w:type="dxa" w:w="60"/>
              <w:right w:type="dxa" w:w="100"/>
            </w:tcMar>
          </w:tcPr>
          <w:p>
            <w:r>
              <w:rPr>
                <w:b w:val="false"/>
                <w:bCs w:val="false"/>
              </w:rPr>
              <w:t xml:space="preserve">02-Sep-2026</w:t>
            </w:r>
          </w:p>
        </w:tc>
      </w:tr>
      <w:tr>
        <w:tc>
          <w:tcPr>
            <w:tcW w:type="dxa" w:w="2895"/>
            <w:tcMar>
              <w:top w:type="dxa" w:w="60"/>
              <w:left w:type="dxa" w:w="100"/>
              <w:bottom w:type="dxa" w:w="60"/>
              <w:right w:type="dxa" w:w="100"/>
            </w:tcMar>
          </w:tcPr>
          <w:p>
            <w:r>
              <w:rPr>
                <w:b w:val="false"/>
                <w:bCs w:val="false"/>
              </w:rPr>
              <w:t xml:space="preserve">Related Documents</w:t>
            </w:r>
          </w:p>
        </w:tc>
        <w:tc>
          <w:tcPr>
            <w:tcW w:type="dxa" w:w="6465"/>
            <w:tcMar>
              <w:top w:type="dxa" w:w="60"/>
              <w:left w:type="dxa" w:w="100"/>
              <w:bottom w:type="dxa" w:w="60"/>
              <w:right w:type="dxa" w:w="100"/>
            </w:tcMar>
          </w:tcPr>
          <w:p>
            <w:r>
              <w:rPr>
                <w:b w:val="false"/>
                <w:bCs w:val="false"/>
              </w:rPr>
              <w:t xml:space="preserve">01 - Create Outward Transfer; 02 - Simulate Fees &amp; Calculate Commission (FT08); 03 - Amend Outward Transfer (1012); 04 - Authorise FT (SC02); 05 - Create Nostro Transfer (NA02); 06 - Get FT Details (1026)</w:t>
            </w:r>
          </w:p>
        </w:tc>
      </w:tr>
    </w:tbl>
    <w:p>
      <w:pPr>
        <w:pStyle w:val="Heading1"/>
        <w:pBdr>
          <w:bottom w:val="single" w:color="2E5395" w:sz="6" w:space="4"/>
        </w:pBdr>
        <w:spacing w:after="150" w:before="300"/>
      </w:pPr>
      <w:r>
        <w:t xml:space="preserve">Executive Summary</w:t>
      </w:r>
    </w:p>
    <w:p>
      <w:pPr>
        <w:spacing w:after="120"/>
      </w:pPr>
      <w:r>
        <w:t xml:space="preserve">CIB.DXP.FT is the payment engine behind the bank's internet and mobile banking app — and it is a fundamentally different kind of routine from everything else in this programme. Rather than a single-purpose service, it is a dispatcher that decides, based on the transaction type and beneficiary details supplied, whether to create an internal own-bank transfer, settle a credit card, post a full outward SWIFT transfer, redirect the payment into Egypt's instant payment network (IPN), or process a charity donation — each following materially different logic, validation rules, and even different OFS posting mechanisms. It maintains its own dedicated audit/idempotency system (CR2.FT.REPORT) in addition to participating in the shared CIB.API.FT table used elsewhere in this programme, and contains three separate, independently-evolved override-classification mechanisms. One clear dead-code finding was identified (an elaborate response-format construction that is unconditionally discarded), and one distinctive business rule stands out for its customer impact: outward (OT03) transfers via this channel are reported back to the app as an 'invalid IBAN' error unless the beneficiary account specifically validates as IBAN-format — even when the underlying T24 posting succeeded. Given its size and centrality, this service should be treated as its own dedicated migration workstream rather than folded into the Outward Transfer or Nostro Transfer efforts.</w:t>
      </w:r>
    </w:p>
    <w:p>
      <w:pPr>
        <w:pStyle w:val="Heading2"/>
        <w:spacing w:after="120" w:before="260"/>
      </w:pPr>
      <w:r>
        <w:t xml:space="preserve">Risk &amp; Priority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9"/>
        <w:gridCol w:w="1544"/>
        <w:gridCol w:w="5307"/>
      </w:tblGrid>
      <w:tr>
        <w:trPr>
          <w:tblHeader/>
        </w:trPr>
        <w:tc>
          <w:tcPr>
            <w:tcW w:type="dxa" w:w="2509"/>
            <w:shd w:fill="2E5395" w:val="clear"/>
            <w:tcMar>
              <w:top w:type="dxa" w:w="80"/>
              <w:left w:type="dxa" w:w="100"/>
              <w:bottom w:type="dxa" w:w="80"/>
              <w:right w:type="dxa" w:w="100"/>
            </w:tcMar>
          </w:tcPr>
          <w:p>
            <w:r>
              <w:rPr>
                <w:b/>
                <w:bCs/>
                <w:color w:val="FFFFFF"/>
              </w:rPr>
              <w:t xml:space="preserve">Dimension</w:t>
            </w:r>
          </w:p>
        </w:tc>
        <w:tc>
          <w:tcPr>
            <w:tcW w:type="dxa" w:w="1544"/>
            <w:shd w:fill="2E5395" w:val="clear"/>
            <w:tcMar>
              <w:top w:type="dxa" w:w="80"/>
              <w:left w:type="dxa" w:w="100"/>
              <w:bottom w:type="dxa" w:w="80"/>
              <w:right w:type="dxa" w:w="100"/>
            </w:tcMar>
          </w:tcPr>
          <w:p>
            <w:r>
              <w:rPr>
                <w:b/>
                <w:bCs/>
                <w:color w:val="FFFFFF"/>
              </w:rPr>
              <w:t xml:space="preserve">Rating</w:t>
            </w:r>
          </w:p>
        </w:tc>
        <w:tc>
          <w:tcPr>
            <w:tcW w:type="dxa" w:w="5307"/>
            <w:shd w:fill="2E5395" w:val="clear"/>
            <w:tcMar>
              <w:top w:type="dxa" w:w="80"/>
              <w:left w:type="dxa" w:w="100"/>
              <w:bottom w:type="dxa" w:w="80"/>
              <w:right w:type="dxa" w:w="100"/>
            </w:tcMar>
          </w:tcPr>
          <w:p>
            <w:r>
              <w:rPr>
                <w:b/>
                <w:bCs/>
                <w:color w:val="FFFFFF"/>
              </w:rPr>
              <w:t xml:space="preserve">Rationale</w:t>
            </w:r>
          </w:p>
        </w:tc>
      </w:tr>
      <w:tr>
        <w:tc>
          <w:tcPr>
            <w:tcW w:type="dxa" w:w="2509"/>
            <w:tcMar>
              <w:top w:type="dxa" w:w="60"/>
              <w:left w:type="dxa" w:w="100"/>
              <w:bottom w:type="dxa" w:w="60"/>
              <w:right w:type="dxa" w:w="100"/>
            </w:tcMar>
          </w:tcPr>
          <w:p>
            <w:r>
              <w:rPr>
                <w:b w:val="false"/>
                <w:bCs w:val="false"/>
              </w:rPr>
              <w:t xml:space="preserve">Business Criticality</w:t>
            </w:r>
          </w:p>
        </w:tc>
        <w:tc>
          <w:tcPr>
            <w:tcW w:type="dxa" w:w="1544"/>
            <w:tcMar>
              <w:top w:type="dxa" w:w="60"/>
              <w:left w:type="dxa" w:w="100"/>
              <w:bottom w:type="dxa" w:w="60"/>
              <w:right w:type="dxa" w:w="100"/>
            </w:tcMar>
          </w:tcPr>
          <w:p>
            <w:r>
              <w:rPr>
                <w:b w:val="false"/>
                <w:bCs w:val="false"/>
              </w:rPr>
              <w:t xml:space="preserve">Very High</w:t>
            </w:r>
          </w:p>
        </w:tc>
        <w:tc>
          <w:tcPr>
            <w:tcW w:type="dxa" w:w="5307"/>
            <w:tcMar>
              <w:top w:type="dxa" w:w="60"/>
              <w:left w:type="dxa" w:w="100"/>
              <w:bottom w:type="dxa" w:w="60"/>
              <w:right w:type="dxa" w:w="100"/>
            </w:tcMar>
          </w:tcPr>
          <w:p>
            <w:r>
              <w:rPr>
                <w:b w:val="false"/>
                <w:bCs w:val="false"/>
              </w:rPr>
              <w:t xml:space="preserve">This is the payment engine for the bank's primary digital channel (internet/mobile banking) — the highest-traffic entry point of any service reviewed in this programme</w:t>
            </w:r>
          </w:p>
        </w:tc>
      </w:tr>
      <w:tr>
        <w:tc>
          <w:tcPr>
            <w:tcW w:type="dxa" w:w="2509"/>
            <w:tcMar>
              <w:top w:type="dxa" w:w="60"/>
              <w:left w:type="dxa" w:w="100"/>
              <w:bottom w:type="dxa" w:w="60"/>
              <w:right w:type="dxa" w:w="100"/>
            </w:tcMar>
          </w:tcPr>
          <w:p>
            <w:r>
              <w:rPr>
                <w:b w:val="false"/>
                <w:bCs w:val="false"/>
              </w:rPr>
              <w:t xml:space="preserve">Migration Complexity</w:t>
            </w:r>
          </w:p>
        </w:tc>
        <w:tc>
          <w:tcPr>
            <w:tcW w:type="dxa" w:w="1544"/>
            <w:tcMar>
              <w:top w:type="dxa" w:w="60"/>
              <w:left w:type="dxa" w:w="100"/>
              <w:bottom w:type="dxa" w:w="60"/>
              <w:right w:type="dxa" w:w="100"/>
            </w:tcMar>
          </w:tcPr>
          <w:p>
            <w:r>
              <w:rPr>
                <w:b w:val="false"/>
                <w:bCs w:val="false"/>
              </w:rPr>
              <w:t xml:space="preserve">Very High — highest of all seven services reviewed</w:t>
            </w:r>
          </w:p>
        </w:tc>
        <w:tc>
          <w:tcPr>
            <w:tcW w:type="dxa" w:w="5307"/>
            <w:tcMar>
              <w:top w:type="dxa" w:w="60"/>
              <w:left w:type="dxa" w:w="100"/>
              <w:bottom w:type="dxa" w:w="60"/>
              <w:right w:type="dxa" w:w="100"/>
            </w:tcMar>
          </w:tcPr>
          <w:p>
            <w:r>
              <w:rPr>
                <w:b w:val="false"/>
                <w:bCs w:val="false"/>
              </w:rPr>
              <w:t xml:space="preserve">A single routine spanning at least five distinct transaction-processing paths (internal transfer, card settlement, outward transfer, IPN redirect, charity), each with its own validation, OFS construction, and auto-authorization logic</w:t>
            </w:r>
          </w:p>
        </w:tc>
      </w:tr>
      <w:tr>
        <w:tc>
          <w:tcPr>
            <w:tcW w:type="dxa" w:w="2509"/>
            <w:tcMar>
              <w:top w:type="dxa" w:w="60"/>
              <w:left w:type="dxa" w:w="100"/>
              <w:bottom w:type="dxa" w:w="60"/>
              <w:right w:type="dxa" w:w="100"/>
            </w:tcMar>
          </w:tcPr>
          <w:p>
            <w:r>
              <w:rPr>
                <w:b w:val="false"/>
                <w:bCs w:val="false"/>
              </w:rPr>
              <w:t xml:space="preserve">Code Integrity Risk</w:t>
            </w:r>
          </w:p>
        </w:tc>
        <w:tc>
          <w:tcPr>
            <w:tcW w:type="dxa" w:w="1544"/>
            <w:tcMar>
              <w:top w:type="dxa" w:w="60"/>
              <w:left w:type="dxa" w:w="100"/>
              <w:bottom w:type="dxa" w:w="60"/>
              <w:right w:type="dxa" w:w="100"/>
            </w:tcMar>
          </w:tcPr>
          <w:p>
            <w:r>
              <w:rPr>
                <w:b w:val="false"/>
                <w:bCs w:val="false"/>
              </w:rPr>
              <w:t xml:space="preserve">Medium</w:t>
            </w:r>
          </w:p>
        </w:tc>
        <w:tc>
          <w:tcPr>
            <w:tcW w:type="dxa" w:w="5307"/>
            <w:tcMar>
              <w:top w:type="dxa" w:w="60"/>
              <w:left w:type="dxa" w:w="100"/>
              <w:bottom w:type="dxa" w:w="60"/>
              <w:right w:type="dxa" w:w="100"/>
            </w:tcMar>
          </w:tcPr>
          <w:p>
            <w:r>
              <w:rPr>
                <w:b w:val="false"/>
                <w:bCs w:val="false"/>
              </w:rPr>
              <w:t xml:space="preserve">One clear dead-code finding (§3) and three parallel, potentially-inconsistent override-handling mechanisms (§4.7) — not on the scale of Documents 03/05's critical defects, but still needing careful handling</w:t>
            </w:r>
          </w:p>
        </w:tc>
      </w:tr>
      <w:tr>
        <w:tc>
          <w:tcPr>
            <w:tcW w:type="dxa" w:w="2509"/>
            <w:tcMar>
              <w:top w:type="dxa" w:w="60"/>
              <w:left w:type="dxa" w:w="100"/>
              <w:bottom w:type="dxa" w:w="60"/>
              <w:right w:type="dxa" w:w="100"/>
            </w:tcMar>
          </w:tcPr>
          <w:p>
            <w:r>
              <w:rPr>
                <w:b w:val="false"/>
                <w:bCs w:val="false"/>
              </w:rPr>
              <w:t xml:space="preserve">Testing Priority</w:t>
            </w:r>
          </w:p>
        </w:tc>
        <w:tc>
          <w:tcPr>
            <w:tcW w:type="dxa" w:w="1544"/>
            <w:tcMar>
              <w:top w:type="dxa" w:w="60"/>
              <w:left w:type="dxa" w:w="100"/>
              <w:bottom w:type="dxa" w:w="60"/>
              <w:right w:type="dxa" w:w="100"/>
            </w:tcMar>
          </w:tcPr>
          <w:p>
            <w:r>
              <w:rPr>
                <w:b w:val="false"/>
                <w:bCs w:val="false"/>
              </w:rPr>
              <w:t xml:space="preserve">P0 — the largest, highest-traffic service in the programme</w:t>
            </w:r>
          </w:p>
        </w:tc>
        <w:tc>
          <w:tcPr>
            <w:tcW w:type="dxa" w:w="5307"/>
            <w:tcMar>
              <w:top w:type="dxa" w:w="60"/>
              <w:left w:type="dxa" w:w="100"/>
              <w:bottom w:type="dxa" w:w="60"/>
              <w:right w:type="dxa" w:w="100"/>
            </w:tcMar>
          </w:tcPr>
          <w:p>
            <w:r>
              <w:rPr>
                <w:b w:val="false"/>
                <w:bCs w:val="false"/>
              </w:rPr>
              <w:t xml:space="preserve">Every distinct transaction-type branch (OT03, AC/ACS2/ACIO card settlement, ACXR/ACYR internal transfer, IPN card/wallet/account redirect, CHAR) needs its own dedicated test coverage; this cannot be treated as a single test case</w:t>
            </w:r>
          </w:p>
        </w:tc>
      </w:tr>
    </w:tbl>
    <w:p>
      <w:pPr>
        <w:pStyle w:val="Heading1"/>
        <w:pBdr>
          <w:bottom w:val="single" w:color="2E5395" w:sz="6" w:space="4"/>
        </w:pBdr>
        <w:spacing w:after="150" w:before="300"/>
      </w:pPr>
      <w:r>
        <w:t xml:space="preserve">Service Description (Business View)</w:t>
      </w:r>
    </w:p>
    <w:p>
      <w:pPr>
        <w:spacing w:after="120"/>
      </w:pPr>
      <w:r>
        <w:t xml:space="preserve">This is the payment engine behind the bank's internet and mobile banking app. A customer initiating any kind of payment in the app — moving money between their own accounts, paying off a credit card, sending money to another bank, making an instant domestic payment to a mobile wallet or card, or donating to a registered charity — ultimately goes through this one service, which figures out from the details supplied exactly what kind of transaction this really is and processes it accordingly.</w:t>
      </w:r>
    </w:p>
    <w:p>
      <w:pPr>
        <w:spacing w:after="120"/>
      </w:pPr>
      <w:r>
        <w:t xml:space="preserve">In plain terms, depending on what's being requested, this service will:</w:t>
      </w:r>
    </w:p>
    <w:p>
      <w:pPr>
        <w:pStyle w:val="ListParagraph"/>
        <w:numPr>
          <w:ilvl w:val="0"/>
          <w:numId w:val="1"/>
        </w:numPr>
        <w:spacing w:after="60"/>
      </w:pPr>
      <w:r>
        <w:t xml:space="preserve">Recognize a transfer between the customer's own accounts, or to another CIB customer, and post it as a simple internal transfer.</w:t>
      </w:r>
    </w:p>
    <w:p>
      <w:pPr>
        <w:pStyle w:val="ListParagraph"/>
        <w:numPr>
          <w:ilvl w:val="0"/>
          <w:numId w:val="1"/>
        </w:numPr>
        <w:spacing w:after="60"/>
      </w:pPr>
      <w:r>
        <w:t xml:space="preserve">Recognize a credit card payment (by the target account number's format) and redirect it to the correct settlement account for that card scheme.</w:t>
      </w:r>
    </w:p>
    <w:p>
      <w:pPr>
        <w:pStyle w:val="ListParagraph"/>
        <w:numPr>
          <w:ilvl w:val="0"/>
          <w:numId w:val="1"/>
        </w:numPr>
        <w:spacing w:after="60"/>
      </w:pPr>
      <w:r>
        <w:t xml:space="preserve">Recognize a full outward transfer request (the same underlying transaction type as Create Outward Transfer, Document 01) and build a proper SWIFT-style payment with beneficiary bank details.</w:t>
      </w:r>
    </w:p>
    <w:p>
      <w:pPr>
        <w:pStyle w:val="ListParagraph"/>
        <w:numPr>
          <w:ilvl w:val="0"/>
          <w:numId w:val="1"/>
        </w:numPr>
        <w:spacing w:after="60"/>
      </w:pPr>
      <w:r>
        <w:t xml:space="preserve">For domestic EGP payments to a bank, mobile wallet, or card that supports Egypt's instant payment network, automatically redirect the payment onto those faster, cheaper rails instead of a traditional interbank transfer — as long as the amount is under that payment method's specific limit.</w:t>
      </w:r>
    </w:p>
    <w:p>
      <w:pPr>
        <w:pStyle w:val="ListParagraph"/>
        <w:numPr>
          <w:ilvl w:val="0"/>
          <w:numId w:val="1"/>
        </w:numPr>
        <w:spacing w:after="60"/>
      </w:pPr>
      <w:r>
        <w:t xml:space="preserve">Recognize a donation to a registered charity and validate the target account is genuinely a registered charity before proceeding.</w:t>
      </w:r>
    </w:p>
    <w:p>
      <w:pPr>
        <w:pStyle w:val="ListParagraph"/>
        <w:numPr>
          <w:ilvl w:val="0"/>
          <w:numId w:val="1"/>
        </w:numPr>
        <w:spacing w:after="60"/>
      </w:pPr>
      <w:r>
        <w:t xml:space="preserve">Decide, for eligible domestic transfers, whether the payment can be automatically authorized and completed immediately, or needs to be held for manual review — based on the amount, the beneficiary bank, whether the customer is bank staff, and whether the beneficiary's country can be confirmed as Egypt.</w:t>
      </w:r>
    </w:p>
    <w:p>
      <w:pPr>
        <w:pStyle w:val="ListParagraph"/>
        <w:numPr>
          <w:ilvl w:val="0"/>
          <w:numId w:val="1"/>
        </w:numPr>
        <w:spacing w:after="60"/>
      </w:pPr>
      <w:r>
        <w:t xml:space="preserve">Check whether the customer's own KYC (know-your-customer) information has expired, and block the payment if so.</w:t>
      </w:r>
    </w:p>
    <w:p>
      <w:pPr>
        <w:spacing w:after="120"/>
      </w:pPr>
      <w:r>
        <w:rPr>
          <w:i/>
          <w:iCs/>
        </w:rPr>
        <w:t xml:space="preserve">Who uses it: the bank's own internet and mobile banking application, for essentially every payment type a retail customer can initiate digitally.</w:t>
      </w:r>
    </w:p>
    <w:p>
      <w:pPr>
        <w:pStyle w:val="Heading1"/>
        <w:pBdr>
          <w:bottom w:val="single" w:color="2E5395" w:sz="6" w:space="4"/>
        </w:pBdr>
        <w:spacing w:after="150" w:before="300"/>
      </w:pPr>
      <w:r>
        <w:t xml:space="preserve">1. Purpose</w:t>
      </w:r>
    </w:p>
    <w:p>
      <w:pPr>
        <w:spacing w:after="120"/>
      </w:pPr>
      <w:r>
        <w:t xml:space="preserve">CIB.DXP.FT takes a 30-field pipe-delimited input, classifies the requested transaction into one of several processing paths based on TXN_TYPE and the beneficiary/target details supplied, applies path-specific validation and OFS construction, posts the transaction (via one of two different OFS posting mechanisms depending on the step), classifies any resulting overrides through one of three parallel classification systems, and — for eligible cases — performs its own inline authorization before returning a compact status/reference response.</w:t>
      </w:r>
    </w:p>
    <w:p>
      <w:pPr>
        <w:pStyle w:val="Heading1"/>
        <w:pBdr>
          <w:bottom w:val="single" w:color="2E5395" w:sz="6" w:space="4"/>
        </w:pBdr>
        <w:spacing w:after="150" w:before="300"/>
      </w:pPr>
      <w:r>
        <w:t xml:space="preserve">2. Transaction-Type Dispatch — The Core Branching Logic</w:t>
      </w:r>
    </w:p>
    <w:p>
      <w:pPr>
        <w:spacing w:after="120"/>
      </w:pPr>
      <w:r>
        <w:rPr>
          <w:i/>
          <w:iCs/>
        </w:rPr>
        <w:t xml:space="preserve">The single most important thing to understand about this routine is that TXN_TYPE (and, for some paths, other field values) determines which of several fundamentally different processing paths is taken:</w:t>
      </w:r>
    </w:p>
    <w:p>
      <w:pPr>
        <w:pStyle w:val="ListParagraph"/>
        <w:numPr>
          <w:ilvl w:val="0"/>
          <w:numId w:val="1"/>
        </w:numPr>
        <w:spacing w:after="60"/>
      </w:pPr>
      <w:r>
        <w:t xml:space="preserve">TXN_TYPE = 'OT03' → treated as a full outward transfer, using the SAME OFS version template family ('FUNDS.TRANSFER,TAM.OT103...') as Create Outward Transfer (Document 01). Before reaching this branch, SET.NEW.VALUES may silently redirect the transaction into the IPN path instead (see §4.1) if the beneficiary and amount qualify.</w:t>
      </w:r>
    </w:p>
    <w:p>
      <w:pPr>
        <w:pStyle w:val="ListParagraph"/>
        <w:numPr>
          <w:ilvl w:val="0"/>
          <w:numId w:val="1"/>
        </w:numPr>
        <w:spacing w:after="60"/>
      </w:pPr>
      <w:r>
        <w:t xml:space="preserve">TXN_TYPE = 'AC', 'ACS2', or 'ACIO' → credit card settlement. If the target account starts with '4' or '5' (Visa/Mastercard BIN prefixes), the target account is SILENTLY REPLACED with a fixed general-ledger settlement account, and TXN_TYPE becomes 'ACYR' (or 'ACIO' if this is an IPN-originated card payment).</w:t>
      </w:r>
    </w:p>
    <w:p>
      <w:pPr>
        <w:pStyle w:val="ListParagraph"/>
        <w:numPr>
          <w:ilvl w:val="0"/>
          <w:numId w:val="1"/>
        </w:numPr>
        <w:spacing w:after="60"/>
      </w:pPr>
      <w:r>
        <w:t xml:space="preserve">Neither of the above → 'internal transfer for same customer' path. The debit and credit accounts' customer numbers are compared: if they match, TXN_TYPE becomes 'ACXR' (confirmed by the real sample — see §8); if they differ, it becomes 'ACYR', and a pending KYC restriction on the debit side can additionally flag the transaction for extra handling.</w:t>
      </w:r>
    </w:p>
    <w:p>
      <w:pPr>
        <w:pStyle w:val="ListParagraph"/>
        <w:numPr>
          <w:ilvl w:val="0"/>
          <w:numId w:val="1"/>
        </w:numPr>
        <w:spacing w:after="60"/>
      </w:pPr>
      <w:r>
        <w:t xml:space="preserve">If UTIL_COMPANY = 'CHARITY', or the target narrative is literally 'Charity Payment' → TXN_TYPE is overridden to 'CHAR', and the target account is validated against the registered-charity list before anything else proceeds.</w:t>
      </w:r>
    </w:p>
    <w:p>
      <w:pPr>
        <w:pStyle w:val="Heading1"/>
        <w:pBdr>
          <w:bottom w:val="single" w:color="2E5395" w:sz="6" w:space="4"/>
        </w:pBdr>
        <w:spacing w:after="150" w:before="300"/>
      </w:pPr>
      <w:r>
        <w:t xml:space="preserve">3. Critical Finding — Dead Response-Format Construction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4"/>
              <w:bottom w:val="single" w:color="C00000" w:sz="4"/>
              <w:right w:val="single" w:color="C00000" w:sz="4"/>
            </w:tcBorders>
            <w:shd w:fill="FDEAEA" w:val="clear"/>
            <w:tcMar>
              <w:top w:type="dxa" w:w="150"/>
              <w:left w:type="dxa" w:w="180"/>
              <w:bottom w:type="dxa" w:w="150"/>
              <w:right w:type="dxa" w:w="180"/>
            </w:tcMar>
          </w:tcPr>
          <w:p>
            <w:pPr>
              <w:spacing w:after="100"/>
            </w:pPr>
            <w:r>
              <w:rPr>
                <w:b/>
                <w:bCs/>
                <w:color w:val="C00000"/>
                <w:sz w:val="24"/>
                <w:szCs w:val="24"/>
              </w:rPr>
              <w:t xml:space="preserve">CRITICAL FINDING — SUB.REDIRECT's Response-Format Logic Is Never Actually Used</w:t>
            </w:r>
          </w:p>
          <w:p>
            <w:pPr>
              <w:spacing w:after="80"/>
            </w:pPr>
            <w:r>
              <w:rPr>
                <w:color w:val="444444"/>
              </w:rPr>
              <w:t xml:space="preserve">At the very end of SUB.REDIRECT, the routine builds an elaborate response value: it computes the length of OUT.REF, prefixes it with zero-padding, and substitutes a literal '$$$$' placeholder with the actual REPLY.CODE — a pattern consistent with an older, length-prefixed raw message format (plausibly a legacy direct-socket integration with CR2, predating the OFS/adapter-based invocation this routine is called through today).</w:t>
            </w:r>
          </w:p>
          <w:p>
            <w:pPr>
              <w:spacing w:after="80"/>
            </w:pPr>
            <w:r>
              <w:rPr>
                <w:color w:val="444444"/>
              </w:rPr>
              <w:t xml:space="preserve">However, immediately after SUB.REDIRECT returns to the main entry point, the routine unconditionally executes: OUT.REF = HEADER.ID:'|':REPLY.CODE:'|':FT.ID:'|':BOOK_BAL:'|':CLR_BAL:'|':OFS.RESP — completely overwriting whatever SUB.REDIRECT just built.</w:t>
            </w:r>
          </w:p>
          <w:p>
            <w:pPr>
              <w:spacing w:after="80"/>
            </w:pPr>
            <w:r>
              <w:rPr>
                <w:color w:val="444444"/>
              </w:rPr>
              <w:t xml:space="preserve">This means the length-prefix-and-placeholder-substitution logic in SUB.REDIRECT has NO effect whatsoever on the routine's actual output. It is confirmed dead code — not a subtle risk like the variable-naming bugs found in Documents 03 and 05, but definite, unconditionally-overwritten logic. It should not be carried into the TPH/IRIS design.</w:t>
            </w:r>
          </w:p>
          <w:p>
            <w:pPr>
              <w:spacing w:after="80"/>
            </w:pPr>
            <w:r>
              <w:rPr>
                <w:color w:val="444444"/>
              </w:rPr>
              <w:t xml:space="preserve">The response format that IS actually used (and that the real sample's XML response fields map onto — see §8) is the simple pipe-delimited HEADER.ID|REPLY.CODE|FT.ID|BOOK_BAL|CLR_BAL|OFS.RESP.</w:t>
            </w:r>
          </w:p>
        </w:tc>
      </w:tr>
    </w:tbl>
    <w:p>
      <w:pPr>
        <w:pStyle w:val="Heading1"/>
        <w:pBdr>
          <w:bottom w:val="single" w:color="2E5395" w:sz="6" w:space="4"/>
        </w:pBdr>
        <w:spacing w:after="150" w:before="300"/>
      </w:pPr>
      <w:r>
        <w:t xml:space="preserve">4. Distinctive Business Rules</w:t>
      </w:r>
    </w:p>
    <w:p>
      <w:pPr>
        <w:pStyle w:val="Heading2"/>
        <w:spacing w:after="120" w:before="260"/>
      </w:pPr>
      <w:r>
        <w:t xml:space="preserve">4.1 Instant Payment Network (IPN) Redirect — Domestic Fast-Rail Routing</w:t>
      </w:r>
    </w:p>
    <w:p>
      <w:pPr>
        <w:pStyle w:val="ListParagraph"/>
        <w:numPr>
          <w:ilvl w:val="0"/>
          <w:numId w:val="1"/>
        </w:numPr>
        <w:spacing w:after="60"/>
      </w:pPr>
      <w:r>
        <w:t xml:space="preserve">Triggered specifically when the debit currency is EGP, the beneficiary bank's SWIFT code is flagged IPN-enabled (via F.CIB.BANK.SWIFT), and the beneficiary account matches one of three patterns: a 16-character account starting with '4' or '5' (card), an 11-character account starting with 010/011/012/015 (Egyptian mobile wallet prefixes), or a generic domestic account.</w:t>
      </w:r>
    </w:p>
    <w:p>
      <w:pPr>
        <w:pStyle w:val="ListParagraph"/>
        <w:numPr>
          <w:ilvl w:val="0"/>
          <w:numId w:val="1"/>
        </w:numPr>
        <w:spacing w:after="60"/>
      </w:pPr>
      <w:r>
        <w:t xml:space="preserve">Each pattern resolves a different parameter set (IPN.CARD / IPN.MEZZA / IPN.ACC) via F.CIB.MCP.PARAMS, each with its own maximum-amount threshold. If the transaction amount exceeds that specific threshold, the routine falls back to the original (non-IPN) parameter context instead.</w:t>
      </w:r>
    </w:p>
    <w:p>
      <w:pPr>
        <w:pStyle w:val="ListParagraph"/>
        <w:numPr>
          <w:ilvl w:val="0"/>
          <w:numId w:val="1"/>
        </w:numPr>
        <w:spacing w:after="60"/>
      </w:pPr>
      <w:r>
        <w:t xml:space="preserve">A beneficiary bank SWIFT code of 'MDIGEGCX' is hardcoded to force a specific 'CR2.MEZA' parameter context (Meeza, Egypt's national card/payment scheme) regardless of the pattern-matching above.</w:t>
      </w:r>
    </w:p>
    <w:p>
      <w:pPr>
        <w:spacing w:after="120"/>
      </w:pPr>
      <w:r>
        <w:rPr>
          <w:i/>
          <w:iCs/>
          <w:color w:val="C00000"/>
        </w:rPr>
        <w:t xml:space="preserve">This is effectively an embedded payment-routing decision engine, redirecting what looks like a standard outward transfer request onto Egypt's national instant-payment rails when the beneficiary and amount qualify. This logic is business-critical and should be captured as its own well-documented rule set for the TPH/IRIS design, not treated as an incidental detail of the transfer flow.</w:t>
      </w:r>
    </w:p>
    <w:p>
      <w:pPr>
        <w:pStyle w:val="Heading2"/>
        <w:spacing w:after="120" w:before="260"/>
      </w:pPr>
      <w:r>
        <w:t xml:space="preserve">4.2 Auto-Authorization Eligibility — Amount, Bank-Code Format, Staff Status, and Country</w:t>
      </w:r>
    </w:p>
    <w:p>
      <w:pPr>
        <w:pStyle w:val="ListParagraph"/>
        <w:numPr>
          <w:ilvl w:val="0"/>
          <w:numId w:val="1"/>
        </w:numPr>
        <w:spacing w:after="60"/>
      </w:pPr>
      <w:r>
        <w:t xml:space="preserve">A domestic (EGP) transfer is eligible for immediate auto-authorization (no manual review) only if: the amount is within the applicable maximum, the beneficiary bank code is exactly 14 characters after the 'SW-' prefix is added, and the customer is NOT flagged as bank staff (staff transfers always require manual authorization).</w:t>
      </w:r>
    </w:p>
    <w:p>
      <w:pPr>
        <w:pStyle w:val="ListParagraph"/>
        <w:numPr>
          <w:ilvl w:val="0"/>
          <w:numId w:val="1"/>
        </w:numPr>
        <w:spacing w:after="60"/>
      </w:pPr>
      <w:r>
        <w:t xml:space="preserve">Even if the above conditions are met, a SECOND gate applies: the beneficiary bank code is looked up in F.DE.BIC. If no match is found, auto-authorization is cancelled (falls back to manual). If a match IS found but its country code is not 'EG', the transaction is rejected outright with code 0023 ('You cannot transfer EGP outside Egypt') — a regulatory/currency-control guard specific to domestic-currency transfers leaving the country.</w:t>
      </w:r>
    </w:p>
    <w:p>
      <w:pPr>
        <w:pStyle w:val="Heading2"/>
        <w:spacing w:after="120" w:before="260"/>
      </w:pPr>
      <w:r>
        <w:t xml:space="preserve">4.3 Outward Transfers (OT03) Report 'Invalid IBAN' Unless the Beneficiary Validates as IBAN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4"/>
              <w:bottom w:val="single" w:color="C00000" w:sz="4"/>
              <w:right w:val="single" w:color="C00000" w:sz="4"/>
            </w:tcBorders>
            <w:shd w:fill="FDEAEA" w:val="clear"/>
            <w:tcMar>
              <w:top w:type="dxa" w:w="150"/>
              <w:left w:type="dxa" w:w="180"/>
              <w:bottom w:type="dxa" w:w="150"/>
              <w:right w:type="dxa" w:w="180"/>
            </w:tcMar>
          </w:tcPr>
          <w:p>
            <w:pPr>
              <w:spacing w:after="100"/>
            </w:pPr>
            <w:r>
              <w:rPr>
                <w:b/>
                <w:bCs/>
                <w:color w:val="C00000"/>
                <w:sz w:val="24"/>
                <w:szCs w:val="24"/>
              </w:rPr>
              <w:t xml:space="preserve">FINDING — OT03 Transfers Default to "Invalid IBAN" Even on Success, Unless the Beneficiary Is IBAN-Format</w:t>
            </w:r>
          </w:p>
          <w:p>
            <w:pPr>
              <w:spacing w:after="80"/>
            </w:pPr>
            <w:r>
              <w:rPr>
                <w:color w:val="444444"/>
              </w:rPr>
              <w:t xml:space="preserve">For TXN_TYPE = 'OT03' specifically, REPLY.CODE is set to '0024' (commented in the code as 'invalid IBAN') by default on the success path — even though the underlying T24 posting genuinely succeeded — UNLESS the beneficiary account was independently validated as a proper 29-character IBAN (VALID.IBAN = '1'), in which case it's corrected back to '0000'.</w:t>
            </w:r>
          </w:p>
          <w:p>
            <w:pPr>
              <w:spacing w:after="80"/>
            </w:pPr>
            <w:r>
              <w:rPr>
                <w:color w:val="444444"/>
              </w:rPr>
              <w:t xml:space="preserve">In practice, this means: any OT03 transfer via the DXP channel where the beneficiary account isn't in IBAN format will be reported to the mobile/internet banking app as an IBAN error, regardless of whether the transfer itself actually completed successfully in T24. This is a real, customer-visible behavior — worth explicit confirmation with the business and channel teams on whether this is intentional (e.g. IBAN is a hard requirement for this specific channel's outward transfers) or an overly broad default that happens to be masking successful non-IBAN transfers as failures.</w:t>
            </w:r>
          </w:p>
        </w:tc>
      </w:tr>
    </w:tbl>
    <w:p>
      <w:pPr>
        <w:pStyle w:val="Heading2"/>
        <w:spacing w:after="120" w:before="260"/>
      </w:pPr>
      <w:r>
        <w:t xml:space="preserve">4.4 KYC Restriction Check</w:t>
      </w:r>
    </w:p>
    <w:p>
      <w:pPr>
        <w:pStyle w:val="ListParagraph"/>
        <w:numPr>
          <w:ilvl w:val="0"/>
          <w:numId w:val="1"/>
        </w:numPr>
        <w:spacing w:after="60"/>
      </w:pPr>
      <w:r>
        <w:t xml:space="preserve">If the debit account or its customer carries posting-restriction code '35' (checked across both the account's own restriction list and the customer's), the transaction is blocked with code 0035 ('KYC Need to be updated') — UNLESS the target account is itself a card (starts with '4' or '5') or the transaction type is ACTR, in which case the restriction is bypassed for this specific combination.</w:t>
      </w:r>
    </w:p>
    <w:p>
      <w:pPr>
        <w:pStyle w:val="ListParagraph"/>
        <w:numPr>
          <w:ilvl w:val="0"/>
          <w:numId w:val="1"/>
        </w:numPr>
        <w:spacing w:after="60"/>
      </w:pPr>
      <w:r>
        <w:t xml:space="preserve">Separately, a dedicated KYC.HANDLE.VALIDATE path looks specifically for an override message containing the text 'Refer debit expired KYC' after posting, and treats it as an acceptable, expected override (rather than a hard failure) if it's the only override present — a distinct, hardcoded exception path parallel to the routine's other two override-classification mechanisms (§4.7).</w:t>
      </w:r>
    </w:p>
    <w:p>
      <w:pPr>
        <w:pStyle w:val="Heading2"/>
        <w:spacing w:after="120" w:before="260"/>
      </w:pPr>
      <w:r>
        <w:t xml:space="preserve">4.5 Commission / Charges Normalization</w:t>
      </w:r>
    </w:p>
    <w:p>
      <w:pPr>
        <w:pStyle w:val="ListParagraph"/>
        <w:numPr>
          <w:ilvl w:val="0"/>
          <w:numId w:val="1"/>
        </w:numPr>
        <w:spacing w:after="60"/>
      </w:pPr>
      <w:r>
        <w:t xml:space="preserve">CHARGE_IND feeds BEN_OUR_CHARGES (defaulting to 'SHA' if blank). The OUR case is unusually normalized: BEN_OUR_CHARGES is reset to 'SHA' even though the caller specified 'OUR', while COMMISSION.CODE is still set to 'DEBIT PLUS CHARGES' — the commission-code outcome matches what a standard OUR/BEN/SHA scheme would produce, but the intermediate variable's value diverges from the caller's original input, which could confuse anyone tracing this logic without close attention.</w:t>
      </w:r>
    </w:p>
    <w:p>
      <w:pPr>
        <w:pStyle w:val="ListParagraph"/>
        <w:numPr>
          <w:ilvl w:val="0"/>
          <w:numId w:val="1"/>
        </w:numPr>
        <w:spacing w:after="60"/>
      </w:pPr>
      <w:r>
        <w:t xml:space="preserve">CALCULATE.CHARGE (the same T24 tariff engine used in Document 02) computes the actual charge amount, which is then added to the debit amount for the balance-sufficiency check — meaning a transfer can fail with 'insufficient balance' purely because of the commission, even if the base transfer amount alone would have been covered.</w:t>
      </w:r>
    </w:p>
    <w:p>
      <w:pPr>
        <w:pStyle w:val="Heading2"/>
        <w:spacing w:after="120" w:before="260"/>
      </w:pPr>
      <w:r>
        <w:t xml:space="preserve">4.6 Arabic-Text / Multi-Byte Narrative Handling</w:t>
      </w:r>
    </w:p>
    <w:p>
      <w:pPr>
        <w:pStyle w:val="ListParagraph"/>
        <w:numPr>
          <w:ilvl w:val="0"/>
          <w:numId w:val="1"/>
        </w:numPr>
        <w:spacing w:after="60"/>
      </w:pPr>
      <w:r>
        <w:t xml:space="preserve">BEN_NARRATIVE and the truncated beneficiary name are both checked for a count of embedded '?' characters greater than 1 — if found, NEW.AUTH.FLAG is forced to '1' (manual authorization required). This is a strong signal that '?' characters are a marker for encoding/transliteration issues (e.g. Arabic text that didn't survive a character-set conversion cleanly), and the routine treats a narrative containing multiple such markers as high-risk enough to require manual review rather than auto-processing.</w:t>
      </w:r>
    </w:p>
    <w:p>
      <w:pPr>
        <w:pStyle w:val="Heading2"/>
        <w:spacing w:after="120" w:before="260"/>
      </w:pPr>
      <w:r>
        <w:t xml:space="preserve">4.7 Three Parallel, Independently-Evolved Override-Classification Mechanisms</w:t>
      </w:r>
    </w:p>
    <w:p>
      <w:pPr>
        <w:pStyle w:val="ListParagraph"/>
        <w:numPr>
          <w:ilvl w:val="0"/>
          <w:numId w:val="1"/>
        </w:numPr>
        <w:spacing w:after="60"/>
      </w:pPr>
      <w:r>
        <w:t xml:space="preserve">Mechanism 1 (general): every override message returned by the main OFS post is checked against FBNK.CR2.OVERRIDE, a table mapping specific override text to either 'acceptable' or a hard reply code.</w:t>
      </w:r>
    </w:p>
    <w:p>
      <w:pPr>
        <w:pStyle w:val="ListParagraph"/>
        <w:numPr>
          <w:ilvl w:val="0"/>
          <w:numId w:val="1"/>
        </w:numPr>
        <w:spacing w:after="60"/>
      </w:pPr>
      <w:r>
        <w:t xml:space="preserve">Mechanism 2 (OT03-specific): separately, for the auto-authorization decision on OT03 transfers, override messages are checked against a DIFFERENT list — F.CIB.API.OVERRIDE keyed 'CR2.SYS' — and anything NOT on that specific whitelist retroactively cancels an otherwise-eligible auto-authorization.</w:t>
      </w:r>
    </w:p>
    <w:p>
      <w:pPr>
        <w:pStyle w:val="ListParagraph"/>
        <w:numPr>
          <w:ilvl w:val="0"/>
          <w:numId w:val="1"/>
        </w:numPr>
        <w:spacing w:after="60"/>
      </w:pPr>
      <w:r>
        <w:t xml:space="preserve">Mechanism 3 (KYC-specific): a hardcoded, text-matching check purely for the phrase 'Refer debit expired KYC', independent of both tables above.</w:t>
      </w:r>
    </w:p>
    <w:p>
      <w:pPr>
        <w:pStyle w:val="ListParagraph"/>
        <w:numPr>
          <w:ilvl w:val="0"/>
          <w:numId w:val="1"/>
        </w:numPr>
        <w:spacing w:after="60"/>
      </w:pPr>
      <w:r>
        <w:t xml:space="preserve">On top of all three, one further hardcoded exception exists outside any table: any override containing 'Balance will fall below Locked' is always treated as acceptable.</w:t>
      </w:r>
    </w:p>
    <w:p>
      <w:pPr>
        <w:spacing w:after="120"/>
      </w:pPr>
      <w:r>
        <w:rPr>
          <w:color w:val="C00000"/>
        </w:rPr>
        <w:t xml:space="preserve">Having three separately-maintained classification mechanisms (plus a hardcoded exception) for what is conceptually the same kind of decision — 'is this override safe to proceed past?' — is a real consolidation opportunity for the TPH/IRIS design, and a risk area for inconsistent behavior today if the three lists ever drift out of sync with each other.</w:t>
      </w:r>
    </w:p>
    <w:p>
      <w:pPr>
        <w:pStyle w:val="Heading1"/>
        <w:pBdr>
          <w:bottom w:val="single" w:color="2E5395" w:sz="6" w:space="4"/>
        </w:pBdr>
        <w:spacing w:after="150" w:before="300"/>
      </w:pPr>
      <w:r>
        <w:t xml:space="preserve">5. Dual Audit/Idempotency Systems</w:t>
      </w:r>
    </w:p>
    <w:p>
      <w:pPr>
        <w:pStyle w:val="ListParagraph"/>
        <w:numPr>
          <w:ilvl w:val="0"/>
          <w:numId w:val="1"/>
        </w:numPr>
        <w:spacing w:after="60"/>
      </w:pPr>
      <w:r>
        <w:t xml:space="preserve">This routine's OWN idempotency check is keyed differently from every other service reviewed: a composite reference of today's date, the original transaction type, and BW_TXN_ID (the transaction ID), checked against its own FBNK.CR2.FT.REPORT table — not the MSG.ID-based CIB.API.FT check used in Documents 01, 05, and (in spirit) 04.</w:t>
      </w:r>
    </w:p>
    <w:p>
      <w:pPr>
        <w:pStyle w:val="ListParagraph"/>
        <w:numPr>
          <w:ilvl w:val="0"/>
          <w:numId w:val="1"/>
        </w:numPr>
        <w:spacing w:after="60"/>
      </w:pPr>
      <w:r>
        <w:t xml:space="preserve">Despite having its own richer audit table, this routine ALSO writes a (sparser) record into the shared FBNK.CIB.API.FT table, keyed by BW_TXN_ID — meaning a transfer created here IS resolvable later through Authorise FT's (Document 04) MSG.ID lookup mechanism, just like transfers from Documents 01 and 05.</w:t>
      </w:r>
    </w:p>
    <w:p>
      <w:pPr>
        <w:spacing w:after="120"/>
      </w:pPr>
      <w:r>
        <w:rPr>
          <w:i/>
          <w:iCs/>
        </w:rPr>
        <w:t xml:space="preserve">For the TPH/IRIS design, this argues for consolidating onto a single shared idempotency/audit mechanism across the whole service family — this routine's dual-table approach (its own rich CR2.FT.REPORT plus a sparse shared CIB.API.FT write) is more complex than necessary if a single well-designed shared component covered both needs.</w:t>
      </w:r>
    </w:p>
    <w:p>
      <w:pPr>
        <w:pStyle w:val="Heading1"/>
        <w:pBdr>
          <w:bottom w:val="single" w:color="2E5395" w:sz="6" w:space="4"/>
        </w:pBdr>
        <w:spacing w:after="150" w:before="300"/>
      </w:pPr>
      <w:r>
        <w:t xml:space="preserve">6. Two Different OFS Posting Mechanisms in One Routine</w:t>
      </w:r>
    </w:p>
    <w:p>
      <w:pPr>
        <w:pStyle w:val="ListParagraph"/>
        <w:numPr>
          <w:ilvl w:val="0"/>
          <w:numId w:val="1"/>
        </w:numPr>
        <w:spacing w:after="60"/>
      </w:pPr>
      <w:r>
        <w:t xml:space="preserve">The main transaction post uses OFS.BULK.MANAGER — the same mechanism used by every other routine in this programme.</w:t>
      </w:r>
    </w:p>
    <w:p>
      <w:pPr>
        <w:pStyle w:val="ListParagraph"/>
        <w:numPr>
          <w:ilvl w:val="0"/>
          <w:numId w:val="1"/>
        </w:numPr>
        <w:spacing w:after="60"/>
      </w:pPr>
      <w:r>
        <w:t xml:space="preserve">The INLINE auto-authorization step (when NEW.AUTH.FLAG resolves to 0) instead uses OFS.POST.MESSAGE — a different call, not seen anywhere else in the seven services reviewed. It also hardcodes the same 'OFS.SERVICE2' user-context identifier seen in Authorise FT (Document 04)'s own authorization logic, suggesting a shared T24 OFS-source configuration between this routine's inline auto-auth and Document 04's dedicated authorize service, even though they are separate, independently-coded routines.</w:t>
      </w:r>
    </w:p>
    <w:p>
      <w:pPr>
        <w:pStyle w:val="Heading1"/>
        <w:pBdr>
          <w:bottom w:val="single" w:color="2E5395" w:sz="6" w:space="4"/>
        </w:pBdr>
        <w:spacing w:after="150" w:before="300"/>
      </w:pPr>
      <w:r>
        <w:t xml:space="preserve">7. Response Codes</w:t>
      </w:r>
    </w:p>
    <w:p>
      <w:pPr>
        <w:spacing w:after="120"/>
      </w:pPr>
      <w:r>
        <w:t xml:space="preserve">Format: HEADER.ID|REPLY.CODE|FT.ID|BOOK_BAL|CLR_BAL|OFS.RESP — the confirmed, actually-used format (§3). This is a rich, 17-value reply-code vocabulary — the largest of any service reviewed — and several numeric codes are reused with different meanings than in other services (e.g. 0020 here relates to auto-auth/record-status, not the NAU-ownership check meaning it carries in Document 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rPr>
          <w:tblHeader/>
        </w:trPr>
        <w:tc>
          <w:tcPr>
            <w:tcW w:type="dxa" w:w="1685"/>
            <w:shd w:fill="2E5395" w:val="clear"/>
            <w:tcMar>
              <w:top w:type="dxa" w:w="80"/>
              <w:left w:type="dxa" w:w="100"/>
              <w:bottom w:type="dxa" w:w="80"/>
              <w:right w:type="dxa" w:w="100"/>
            </w:tcMar>
          </w:tcPr>
          <w:p>
            <w:r>
              <w:rPr>
                <w:b/>
                <w:bCs/>
                <w:color w:val="FFFFFF"/>
              </w:rPr>
              <w:t xml:space="preserve">Code</w:t>
            </w:r>
          </w:p>
        </w:tc>
        <w:tc>
          <w:tcPr>
            <w:tcW w:type="dxa" w:w="7675"/>
            <w:shd w:fill="2E5395" w:val="clear"/>
            <w:tcMar>
              <w:top w:type="dxa" w:w="80"/>
              <w:left w:type="dxa" w:w="100"/>
              <w:bottom w:type="dxa" w:w="80"/>
              <w:right w:type="dxa" w:w="100"/>
            </w:tcMar>
          </w:tcPr>
          <w:p>
            <w:r>
              <w:rPr>
                <w:b/>
                <w:bCs/>
                <w:color w:val="FFFFFF"/>
              </w:rPr>
              <w:t xml:space="preserve">Meaning</w:t>
            </w:r>
          </w:p>
        </w:tc>
      </w:tr>
      <w:tr>
        <w:tc>
          <w:tcPr>
            <w:tcW w:type="dxa" w:w="1685"/>
            <w:tcMar>
              <w:top w:type="dxa" w:w="60"/>
              <w:left w:type="dxa" w:w="100"/>
              <w:bottom w:type="dxa" w:w="60"/>
              <w:right w:type="dxa" w:w="100"/>
            </w:tcMar>
          </w:tcPr>
          <w:p>
            <w:r>
              <w:rPr>
                <w:b w:val="false"/>
                <w:bCs w:val="false"/>
              </w:rPr>
              <w:t xml:space="preserve">0000</w:t>
            </w:r>
          </w:p>
        </w:tc>
        <w:tc>
          <w:tcPr>
            <w:tcW w:type="dxa" w:w="7675"/>
            <w:tcMar>
              <w:top w:type="dxa" w:w="60"/>
              <w:left w:type="dxa" w:w="100"/>
              <w:bottom w:type="dxa" w:w="60"/>
              <w:right w:type="dxa" w:w="100"/>
            </w:tcMar>
          </w:tcPr>
          <w:p>
            <w:r>
              <w:rPr>
                <w:b w:val="false"/>
                <w:bCs w:val="false"/>
              </w:rPr>
              <w:t xml:space="preserve">Success</w:t>
            </w:r>
          </w:p>
        </w:tc>
      </w:tr>
      <w:tr>
        <w:tc>
          <w:tcPr>
            <w:tcW w:type="dxa" w:w="1685"/>
            <w:tcMar>
              <w:top w:type="dxa" w:w="60"/>
              <w:left w:type="dxa" w:w="100"/>
              <w:bottom w:type="dxa" w:w="60"/>
              <w:right w:type="dxa" w:w="100"/>
            </w:tcMar>
          </w:tcPr>
          <w:p>
            <w:r>
              <w:rPr>
                <w:b w:val="false"/>
                <w:bCs w:val="false"/>
              </w:rPr>
              <w:t xml:space="preserve">0001</w:t>
            </w:r>
          </w:p>
        </w:tc>
        <w:tc>
          <w:tcPr>
            <w:tcW w:type="dxa" w:w="7675"/>
            <w:tcMar>
              <w:top w:type="dxa" w:w="60"/>
              <w:left w:type="dxa" w:w="100"/>
              <w:bottom w:type="dxa" w:w="60"/>
              <w:right w:type="dxa" w:w="100"/>
            </w:tcMar>
          </w:tcPr>
          <w:p>
            <w:r>
              <w:rPr>
                <w:b w:val="false"/>
                <w:bCs w:val="false"/>
              </w:rPr>
              <w:t xml:space="preserve">Debit (source) account not found</w:t>
            </w:r>
          </w:p>
        </w:tc>
      </w:tr>
      <w:tr>
        <w:tc>
          <w:tcPr>
            <w:tcW w:type="dxa" w:w="1685"/>
            <w:tcMar>
              <w:top w:type="dxa" w:w="60"/>
              <w:left w:type="dxa" w:w="100"/>
              <w:bottom w:type="dxa" w:w="60"/>
              <w:right w:type="dxa" w:w="100"/>
            </w:tcMar>
          </w:tcPr>
          <w:p>
            <w:r>
              <w:rPr>
                <w:b w:val="false"/>
                <w:bCs w:val="false"/>
              </w:rPr>
              <w:t xml:space="preserve">0005</w:t>
            </w:r>
          </w:p>
        </w:tc>
        <w:tc>
          <w:tcPr>
            <w:tcW w:type="dxa" w:w="7675"/>
            <w:tcMar>
              <w:top w:type="dxa" w:w="60"/>
              <w:left w:type="dxa" w:w="100"/>
              <w:bottom w:type="dxa" w:w="60"/>
              <w:right w:type="dxa" w:w="100"/>
            </w:tcMar>
          </w:tcPr>
          <w:p>
            <w:r>
              <w:rPr>
                <w:b w:val="false"/>
                <w:bCs w:val="false"/>
              </w:rPr>
              <w:t xml:space="preserve">Credit (target) account not found</w:t>
            </w:r>
          </w:p>
        </w:tc>
      </w:tr>
      <w:tr>
        <w:tc>
          <w:tcPr>
            <w:tcW w:type="dxa" w:w="1685"/>
            <w:tcMar>
              <w:top w:type="dxa" w:w="60"/>
              <w:left w:type="dxa" w:w="100"/>
              <w:bottom w:type="dxa" w:w="60"/>
              <w:right w:type="dxa" w:w="100"/>
            </w:tcMar>
          </w:tcPr>
          <w:p>
            <w:r>
              <w:rPr>
                <w:b w:val="false"/>
                <w:bCs w:val="false"/>
              </w:rPr>
              <w:t xml:space="preserve">0011</w:t>
            </w:r>
          </w:p>
        </w:tc>
        <w:tc>
          <w:tcPr>
            <w:tcW w:type="dxa" w:w="7675"/>
            <w:tcMar>
              <w:top w:type="dxa" w:w="60"/>
              <w:left w:type="dxa" w:w="100"/>
              <w:bottom w:type="dxa" w:w="60"/>
              <w:right w:type="dxa" w:w="100"/>
            </w:tcMar>
          </w:tcPr>
          <w:p>
            <w:r>
              <w:rPr>
                <w:b w:val="false"/>
                <w:bCs w:val="false"/>
              </w:rPr>
              <w:t xml:space="preserve">Insufficient balance (checked both before AND after commission is added)</w:t>
            </w:r>
          </w:p>
        </w:tc>
      </w:tr>
      <w:tr>
        <w:tc>
          <w:tcPr>
            <w:tcW w:type="dxa" w:w="1685"/>
            <w:tcMar>
              <w:top w:type="dxa" w:w="60"/>
              <w:left w:type="dxa" w:w="100"/>
              <w:bottom w:type="dxa" w:w="60"/>
              <w:right w:type="dxa" w:w="100"/>
            </w:tcMar>
          </w:tcPr>
          <w:p>
            <w:r>
              <w:rPr>
                <w:b w:val="false"/>
                <w:bCs w:val="false"/>
              </w:rPr>
              <w:t xml:space="preserve">0020</w:t>
            </w:r>
          </w:p>
        </w:tc>
        <w:tc>
          <w:tcPr>
            <w:tcW w:type="dxa" w:w="7675"/>
            <w:tcMar>
              <w:top w:type="dxa" w:w="60"/>
              <w:left w:type="dxa" w:w="100"/>
              <w:bottom w:type="dxa" w:w="60"/>
              <w:right w:type="dxa" w:w="100"/>
            </w:tcMar>
          </w:tcPr>
          <w:p>
            <w:r>
              <w:rPr>
                <w:b w:val="false"/>
                <w:bCs w:val="false"/>
              </w:rPr>
              <w:t xml:space="preserve">Reused number, different meaning here than in Document 04/05 — set when SAVE.MSG finds the OT03 record's status isn't 'IHLD' (on-hold) as expected after the auto-authorization step, OR when CHECK.OT.OVERRIDES finds the transfer wasn't eligible for auto-auth after all</w:t>
            </w:r>
          </w:p>
        </w:tc>
      </w:tr>
      <w:tr>
        <w:tc>
          <w:tcPr>
            <w:tcW w:type="dxa" w:w="1685"/>
            <w:tcMar>
              <w:top w:type="dxa" w:w="60"/>
              <w:left w:type="dxa" w:w="100"/>
              <w:bottom w:type="dxa" w:w="60"/>
              <w:right w:type="dxa" w:w="100"/>
            </w:tcMar>
          </w:tcPr>
          <w:p>
            <w:r>
              <w:rPr>
                <w:b w:val="false"/>
                <w:bCs w:val="false"/>
              </w:rPr>
              <w:t xml:space="preserve">0021</w:t>
            </w:r>
          </w:p>
        </w:tc>
        <w:tc>
          <w:tcPr>
            <w:tcW w:type="dxa" w:w="7675"/>
            <w:tcMar>
              <w:top w:type="dxa" w:w="60"/>
              <w:left w:type="dxa" w:w="100"/>
              <w:bottom w:type="dxa" w:w="60"/>
              <w:right w:type="dxa" w:w="100"/>
            </w:tcMar>
          </w:tcPr>
          <w:p>
            <w:r>
              <w:rPr>
                <w:b w:val="false"/>
                <w:bCs w:val="false"/>
              </w:rPr>
              <w:t xml:space="preserve">OT03-specific — set when the OFS post never resolved to a definitive success/fail signal (REPLY.CODE was still the placeholder '1111')</w:t>
            </w:r>
          </w:p>
        </w:tc>
      </w:tr>
      <w:tr>
        <w:tc>
          <w:tcPr>
            <w:tcW w:type="dxa" w:w="1685"/>
            <w:tcMar>
              <w:top w:type="dxa" w:w="60"/>
              <w:left w:type="dxa" w:w="100"/>
              <w:bottom w:type="dxa" w:w="60"/>
              <w:right w:type="dxa" w:w="100"/>
            </w:tcMar>
          </w:tcPr>
          <w:p>
            <w:r>
              <w:rPr>
                <w:b w:val="false"/>
                <w:bCs w:val="false"/>
              </w:rPr>
              <w:t xml:space="preserve">0023</w:t>
            </w:r>
          </w:p>
        </w:tc>
        <w:tc>
          <w:tcPr>
            <w:tcW w:type="dxa" w:w="7675"/>
            <w:tcMar>
              <w:top w:type="dxa" w:w="60"/>
              <w:left w:type="dxa" w:w="100"/>
              <w:bottom w:type="dxa" w:w="60"/>
              <w:right w:type="dxa" w:w="100"/>
            </w:tcMar>
          </w:tcPr>
          <w:p>
            <w:r>
              <w:rPr>
                <w:b w:val="false"/>
                <w:bCs w:val="false"/>
              </w:rPr>
              <w:t xml:space="preserve">'You cannot transfer EGP outside Egypt' — a domestic-currency-control guard tied to the DE.BIC country-code check</w:t>
            </w:r>
          </w:p>
        </w:tc>
      </w:tr>
      <w:tr>
        <w:tc>
          <w:tcPr>
            <w:tcW w:type="dxa" w:w="1685"/>
            <w:tcMar>
              <w:top w:type="dxa" w:w="60"/>
              <w:left w:type="dxa" w:w="100"/>
              <w:bottom w:type="dxa" w:w="60"/>
              <w:right w:type="dxa" w:w="100"/>
            </w:tcMar>
          </w:tcPr>
          <w:p>
            <w:r>
              <w:rPr>
                <w:b w:val="false"/>
                <w:bCs w:val="false"/>
              </w:rPr>
              <w:t xml:space="preserve">0024</w:t>
            </w:r>
          </w:p>
        </w:tc>
        <w:tc>
          <w:tcPr>
            <w:tcW w:type="dxa" w:w="7675"/>
            <w:tcMar>
              <w:top w:type="dxa" w:w="60"/>
              <w:left w:type="dxa" w:w="100"/>
              <w:bottom w:type="dxa" w:w="60"/>
              <w:right w:type="dxa" w:w="100"/>
            </w:tcMar>
          </w:tcPr>
          <w:p>
            <w:r>
              <w:rPr>
                <w:b w:val="false"/>
                <w:bCs w:val="false"/>
              </w:rPr>
              <w:t xml:space="preserve">⚠ See Finding — OT03 transfers default to this ('invalid IBAN') even on a successful post, unless the beneficiary account validated as a proper IBAN</w:t>
            </w:r>
          </w:p>
        </w:tc>
      </w:tr>
      <w:tr>
        <w:tc>
          <w:tcPr>
            <w:tcW w:type="dxa" w:w="1685"/>
            <w:tcMar>
              <w:top w:type="dxa" w:w="60"/>
              <w:left w:type="dxa" w:w="100"/>
              <w:bottom w:type="dxa" w:w="60"/>
              <w:right w:type="dxa" w:w="100"/>
            </w:tcMar>
          </w:tcPr>
          <w:p>
            <w:r>
              <w:rPr>
                <w:b w:val="false"/>
                <w:bCs w:val="false"/>
              </w:rPr>
              <w:t xml:space="preserve">0035</w:t>
            </w:r>
          </w:p>
        </w:tc>
        <w:tc>
          <w:tcPr>
            <w:tcW w:type="dxa" w:w="7675"/>
            <w:tcMar>
              <w:top w:type="dxa" w:w="60"/>
              <w:left w:type="dxa" w:w="100"/>
              <w:bottom w:type="dxa" w:w="60"/>
              <w:right w:type="dxa" w:w="100"/>
            </w:tcMar>
          </w:tcPr>
          <w:p>
            <w:r>
              <w:rPr>
                <w:b w:val="false"/>
                <w:bCs w:val="false"/>
              </w:rPr>
              <w:t xml:space="preserve">KYC needs updating — the debit customer or account carries posting-restriction code '35'</w:t>
            </w:r>
          </w:p>
        </w:tc>
      </w:tr>
      <w:tr>
        <w:tc>
          <w:tcPr>
            <w:tcW w:type="dxa" w:w="1685"/>
            <w:tcMar>
              <w:top w:type="dxa" w:w="60"/>
              <w:left w:type="dxa" w:w="100"/>
              <w:bottom w:type="dxa" w:w="60"/>
              <w:right w:type="dxa" w:w="100"/>
            </w:tcMar>
          </w:tcPr>
          <w:p>
            <w:r>
              <w:rPr>
                <w:b w:val="false"/>
                <w:bCs w:val="false"/>
              </w:rPr>
              <w:t xml:space="preserve">0099</w:t>
            </w:r>
          </w:p>
        </w:tc>
        <w:tc>
          <w:tcPr>
            <w:tcW w:type="dxa" w:w="7675"/>
            <w:tcMar>
              <w:top w:type="dxa" w:w="60"/>
              <w:left w:type="dxa" w:w="100"/>
              <w:bottom w:type="dxa" w:w="60"/>
              <w:right w:type="dxa" w:w="100"/>
            </w:tcMar>
          </w:tcPr>
          <w:p>
            <w:r>
              <w:rPr>
                <w:b w:val="false"/>
                <w:bCs w:val="false"/>
              </w:rPr>
              <w:t xml:space="preserve">Staff-customer self-transfer blocked ('Transfer from another account')</w:t>
            </w:r>
          </w:p>
        </w:tc>
      </w:tr>
      <w:tr>
        <w:tc>
          <w:tcPr>
            <w:tcW w:type="dxa" w:w="1685"/>
            <w:tcMar>
              <w:top w:type="dxa" w:w="60"/>
              <w:left w:type="dxa" w:w="100"/>
              <w:bottom w:type="dxa" w:w="60"/>
              <w:right w:type="dxa" w:w="100"/>
            </w:tcMar>
          </w:tcPr>
          <w:p>
            <w:r>
              <w:rPr>
                <w:b w:val="false"/>
                <w:bCs w:val="false"/>
              </w:rPr>
              <w:t xml:space="preserve">1001</w:t>
            </w:r>
          </w:p>
        </w:tc>
        <w:tc>
          <w:tcPr>
            <w:tcW w:type="dxa" w:w="7675"/>
            <w:tcMar>
              <w:top w:type="dxa" w:w="60"/>
              <w:left w:type="dxa" w:w="100"/>
              <w:bottom w:type="dxa" w:w="60"/>
              <w:right w:type="dxa" w:w="100"/>
            </w:tcMar>
          </w:tcPr>
          <w:p>
            <w:r>
              <w:rPr>
                <w:b w:val="false"/>
                <w:bCs w:val="false"/>
              </w:rPr>
              <w:t xml:space="preserve">Duplicate/cached replay — same CR2.REF (date+txn-type+BW_TXN_ID) already completed successfully</w:t>
            </w:r>
          </w:p>
        </w:tc>
      </w:tr>
      <w:tr>
        <w:tc>
          <w:tcPr>
            <w:tcW w:type="dxa" w:w="1685"/>
            <w:tcMar>
              <w:top w:type="dxa" w:w="60"/>
              <w:left w:type="dxa" w:w="100"/>
              <w:bottom w:type="dxa" w:w="60"/>
              <w:right w:type="dxa" w:w="100"/>
            </w:tcMar>
          </w:tcPr>
          <w:p>
            <w:r>
              <w:rPr>
                <w:b w:val="false"/>
                <w:bCs w:val="false"/>
              </w:rPr>
              <w:t xml:space="preserve">1111</w:t>
            </w:r>
          </w:p>
        </w:tc>
        <w:tc>
          <w:tcPr>
            <w:tcW w:type="dxa" w:w="7675"/>
            <w:tcMar>
              <w:top w:type="dxa" w:w="60"/>
              <w:left w:type="dxa" w:w="100"/>
              <w:bottom w:type="dxa" w:w="60"/>
              <w:right w:type="dxa" w:w="100"/>
            </w:tcMar>
          </w:tcPr>
          <w:p>
            <w:r>
              <w:rPr>
                <w:b w:val="false"/>
                <w:bCs w:val="false"/>
              </w:rPr>
              <w:t xml:space="preserve">Placeholder/unset default; also a real fallback error signal via the generic override-classification path</w:t>
            </w:r>
          </w:p>
        </w:tc>
      </w:tr>
      <w:tr>
        <w:tc>
          <w:tcPr>
            <w:tcW w:type="dxa" w:w="1685"/>
            <w:tcMar>
              <w:top w:type="dxa" w:w="60"/>
              <w:left w:type="dxa" w:w="100"/>
              <w:bottom w:type="dxa" w:w="60"/>
              <w:right w:type="dxa" w:w="100"/>
            </w:tcMar>
          </w:tcPr>
          <w:p>
            <w:r>
              <w:rPr>
                <w:b w:val="false"/>
                <w:bCs w:val="false"/>
              </w:rPr>
              <w:t xml:space="preserve">2222 / 3333</w:t>
            </w:r>
          </w:p>
        </w:tc>
        <w:tc>
          <w:tcPr>
            <w:tcW w:type="dxa" w:w="7675"/>
            <w:tcMar>
              <w:top w:type="dxa" w:w="60"/>
              <w:left w:type="dxa" w:w="100"/>
              <w:bottom w:type="dxa" w:w="60"/>
              <w:right w:type="dxa" w:w="100"/>
            </w:tcMar>
          </w:tcPr>
          <w:p>
            <w:r>
              <w:rPr>
                <w:b w:val="false"/>
                <w:bCs w:val="false"/>
              </w:rPr>
              <w:t xml:space="preserve">FX-not-supported rejections — target currency differs from source and isn't EGP (checked in slightly different contexts for the OT03 path vs the internal-transfer path)</w:t>
            </w:r>
          </w:p>
        </w:tc>
      </w:tr>
      <w:tr>
        <w:tc>
          <w:tcPr>
            <w:tcW w:type="dxa" w:w="1685"/>
            <w:tcMar>
              <w:top w:type="dxa" w:w="60"/>
              <w:left w:type="dxa" w:w="100"/>
              <w:bottom w:type="dxa" w:w="60"/>
              <w:right w:type="dxa" w:w="100"/>
            </w:tcMar>
          </w:tcPr>
          <w:p>
            <w:r>
              <w:rPr>
                <w:b w:val="false"/>
                <w:bCs w:val="false"/>
              </w:rPr>
              <w:t xml:space="preserve">4444</w:t>
            </w:r>
          </w:p>
        </w:tc>
        <w:tc>
          <w:tcPr>
            <w:tcW w:type="dxa" w:w="7675"/>
            <w:tcMar>
              <w:top w:type="dxa" w:w="60"/>
              <w:left w:type="dxa" w:w="100"/>
              <w:bottom w:type="dxa" w:w="60"/>
              <w:right w:type="dxa" w:w="100"/>
            </w:tcMar>
          </w:tcPr>
          <w:p>
            <w:r>
              <w:rPr>
                <w:b w:val="false"/>
                <w:bCs w:val="false"/>
              </w:rPr>
              <w:t xml:space="preserve">Incorrect/unregistered charity account</w:t>
            </w:r>
          </w:p>
        </w:tc>
      </w:tr>
      <w:tr>
        <w:tc>
          <w:tcPr>
            <w:tcW w:type="dxa" w:w="1685"/>
            <w:tcMar>
              <w:top w:type="dxa" w:w="60"/>
              <w:left w:type="dxa" w:w="100"/>
              <w:bottom w:type="dxa" w:w="60"/>
              <w:right w:type="dxa" w:w="100"/>
            </w:tcMar>
          </w:tcPr>
          <w:p>
            <w:r>
              <w:rPr>
                <w:b w:val="false"/>
                <w:bCs w:val="false"/>
              </w:rPr>
              <w:t xml:space="preserve">9999</w:t>
            </w:r>
          </w:p>
        </w:tc>
        <w:tc>
          <w:tcPr>
            <w:tcW w:type="dxa" w:w="7675"/>
            <w:tcMar>
              <w:top w:type="dxa" w:w="60"/>
              <w:left w:type="dxa" w:w="100"/>
              <w:bottom w:type="dxa" w:w="60"/>
              <w:right w:type="dxa" w:w="100"/>
            </w:tcMar>
          </w:tcPr>
          <w:p>
            <w:r>
              <w:rPr>
                <w:b w:val="false"/>
                <w:bCs w:val="false"/>
              </w:rPr>
              <w:t xml:space="preserve">The single allowed recursive retry (for a GTS-control override cycle) was exhausted without resolving</w:t>
            </w:r>
          </w:p>
        </w:tc>
      </w:tr>
    </w:tbl>
    <w:p>
      <w:pPr>
        <w:pStyle w:val="Heading1"/>
        <w:pBdr>
          <w:bottom w:val="single" w:color="2E5395" w:sz="6" w:space="4"/>
        </w:pBdr>
        <w:spacing w:after="150" w:before="300"/>
      </w:pPr>
      <w:r>
        <w:t xml:space="preserve">8. Real Sample Message Walkthrough (DDCM Channel — Account Transfer)</w:t>
      </w:r>
    </w:p>
    <w:p>
      <w:pPr>
        <w:spacing w:after="120"/>
      </w:pPr>
      <w:r>
        <w:rPr>
          <w:i/>
          <w:iCs/>
          <w:color w:val="555555"/>
        </w:rPr>
        <w:t xml:space="preserve">A captured request/response pair for DXPFT, channel DDCM (digital/mobile). The sample is a same-customer account-to-account transfer (TXN_TYPE=ACTR), which confirms the 'internal transfer' branch (§2) specifically.</w:t>
      </w:r>
    </w:p>
    <w:p>
      <w:pPr>
        <w:pStyle w:val="ListParagraph"/>
        <w:numPr>
          <w:ilvl w:val="0"/>
          <w:numId w:val="1"/>
        </w:numPr>
        <w:spacing w:after="60"/>
      </w:pPr>
      <w:r>
        <w:t xml:space="preserve">SRVC_ID=DXPFT, CHNL_CODE=DDCM confirmed. MSG_ID and TOKEN_ID both use a UUID format in this sample, distinct from the sequential-looking IDs seen in other channels' samples (e.g. Document 02's FT08 sample) — consistent with this being the digital/app channel's own ID convention.</w:t>
      </w:r>
    </w:p>
    <w:p>
      <w:pPr>
        <w:pStyle w:val="ListParagraph"/>
        <w:numPr>
          <w:ilvl w:val="0"/>
          <w:numId w:val="1"/>
        </w:numPr>
        <w:spacing w:after="60"/>
      </w:pPr>
      <w:r>
        <w:t xml:space="preserve">TXN_TYPE=ACTR in the request → TRANSACTION.TYPE=ACXR in the OFS response — confirms live that this specific request went through the 'internal transfer, same customer' branch (§2), not OT03, card settlement, or IPN.</w:t>
      </w:r>
    </w:p>
    <w:p>
      <w:pPr>
        <w:pStyle w:val="ListParagraph"/>
        <w:numPr>
          <w:ilvl w:val="0"/>
          <w:numId w:val="1"/>
        </w:numPr>
        <w:spacing w:after="60"/>
      </w:pPr>
      <w:r>
        <w:t xml:space="preserve">The response's BOOK_BALANCE (72626151.8) and CLEAR_BALANCE (72625911.4) fields map directly to this routine's BOOK_BAL/CLR_BAL output positions — confirming these are genuinely returned to the app (post-transaction account balances), a response element unique to this service among all seven reviewed.</w:t>
      </w:r>
    </w:p>
    <w:p>
      <w:pPr>
        <w:pStyle w:val="ListParagraph"/>
        <w:numPr>
          <w:ilvl w:val="0"/>
          <w:numId w:val="1"/>
        </w:numPr>
        <w:spacing w:after="60"/>
      </w:pPr>
      <w:r>
        <w:t xml:space="preserve">COMMISSION.CODE=DEBIT PLUS CHARGES appears in the OFS_RETURN despite no commission fields being populated in the request — consistent with §4.5's normalization logic defaulting BEN_OUR_CHARGES to SHA and deriving DEBIT PLUS CHARGES from it.</w:t>
      </w:r>
    </w:p>
    <w:p>
      <w:pPr>
        <w:pStyle w:val="ListParagraph"/>
        <w:numPr>
          <w:ilvl w:val="0"/>
          <w:numId w:val="1"/>
        </w:numPr>
        <w:spacing w:after="60"/>
      </w:pPr>
      <w:r>
        <w:t xml:space="preserve">CHARGE.CODE=DEBIT PLUS CHARGES and the presence of 'CR2' in field naming throughout the OFS_RETURN (MIDDLE.WARE.ID matching the MSG_ID/TOKEN_ID UUID, SRC.CHANNEL=DDCM) confirm the CR2-mediated posting path end-to-end.</w:t>
      </w:r>
    </w:p>
    <w:p>
      <w:pPr>
        <w:pStyle w:val="ListParagraph"/>
        <w:numPr>
          <w:ilvl w:val="0"/>
          <w:numId w:val="1"/>
        </w:numPr>
        <w:spacing w:after="60"/>
      </w:pPr>
      <w:r>
        <w:t xml:space="preserve">RETURN_CODE=0000 in the response — a normal, non-duplicate, non-error success, giving us a clean baseline example, though it does not exercise the OT03/0024-IBAN finding (§4.3), the IPN redirect (§4.1), or any of the override-classification paths (§4.7) — additional samples covering those branches would materially strengthen this analysis.</w:t>
      </w:r>
    </w:p>
    <w:p>
      <w:pPr>
        <w:pStyle w:val="Heading1"/>
        <w:pBdr>
          <w:bottom w:val="single" w:color="2E5395" w:sz="6" w:space="4"/>
        </w:pBdr>
        <w:spacing w:after="150" w:before="300"/>
      </w:pPr>
      <w:r>
        <w:t xml:space="preserve">9. Recommended TPH/IRIS Migration Checklist for This Service</w:t>
      </w:r>
    </w:p>
    <w:p>
      <w:pPr>
        <w:spacing w:after="80"/>
      </w:pPr>
      <w:r>
        <w:t xml:space="preserve">☐  Treat this service as its own dedicated migration workstream, not a variant of Create Outward Transfer or Create Nostro Transfer — its scope (five-plus distinct transaction paths) justifies separate design, build, and test effort.</w:t>
      </w:r>
    </w:p>
    <w:p>
      <w:pPr>
        <w:spacing w:after="80"/>
      </w:pPr>
      <w:r>
        <w:t xml:space="preserve">☐  Do not port SUB.REDIRECT's response-format construction (§3) — confirmed dead code.</w:t>
      </w:r>
    </w:p>
    <w:p>
      <w:pPr>
        <w:spacing w:after="80"/>
      </w:pPr>
      <w:r>
        <w:t xml:space="preserve">☐  Get explicit business confirmation on the OT03/'invalid IBAN' default behavior (§4.3) — determine whether this is an intentional channel-specific IBAN requirement or an overly broad default masking successful transfers.</w:t>
      </w:r>
    </w:p>
    <w:p>
      <w:pPr>
        <w:spacing w:after="80"/>
      </w:pPr>
      <w:r>
        <w:t xml:space="preserve">☐  Fully document the IPN redirect decision logic (§4.1) as its own rule set, including the three beneficiary-pattern categories, their respective parameter sources, and the MDIGEGCX/Meeza special case.</w:t>
      </w:r>
    </w:p>
    <w:p>
      <w:pPr>
        <w:spacing w:after="80"/>
      </w:pPr>
      <w:r>
        <w:t xml:space="preserve">☐  Fully document the auto-authorization eligibility logic (§4.2), including the amount threshold, the 14-character bank-code-length test, the staff-customer override, and the DE.BIC country-code gate.</w:t>
      </w:r>
    </w:p>
    <w:p>
      <w:pPr>
        <w:spacing w:after="80"/>
      </w:pPr>
      <w:r>
        <w:t xml:space="preserve">☐  Consolidate the three parallel override-classification mechanisms (§4.7) into a single, consistently-maintained system for the new design.</w:t>
      </w:r>
    </w:p>
    <w:p>
      <w:pPr>
        <w:spacing w:after="80"/>
      </w:pPr>
      <w:r>
        <w:t xml:space="preserve">☐  Consolidate the dual audit/idempotency approach (§5) onto a single shared mechanism across the whole service family, rather than replicating this routine's own CR2.FT.REPORT-plus-shared-CIB.API.FT dual-write pattern.</w:t>
      </w:r>
    </w:p>
    <w:p>
      <w:pPr>
        <w:spacing w:after="80"/>
      </w:pPr>
      <w:r>
        <w:t xml:space="preserve">☐  Confirm whether the OFS.POST.MESSAGE inline-authorization path (§6) needs to be preserved as a separate mechanism, or can be consolidated with Authorise FT's (Document 04) own authorization logic given they already share the OFS.SERVICE2 context.</w:t>
      </w:r>
    </w:p>
    <w:p>
      <w:pPr>
        <w:spacing w:after="80"/>
      </w:pPr>
      <w:r>
        <w:t xml:space="preserve">☐  Build the full 17-code reply vocabulary (§7) into the TPH/IRIS error model, being careful about codes that are numerically reused with different meanings across services (e.g. 0020).</w:t>
      </w:r>
    </w:p>
    <w:p>
      <w:pPr>
        <w:spacing w:after="80"/>
      </w:pPr>
      <w:r>
        <w:t xml:space="preserve">☐  Obtain additional real samples covering OT03, card settlement (AC/ACS2/ACIO), IPN redirect, and charity payment branches — the one sample available only validates the internal-transfer path.</w:t>
      </w:r>
    </w:p>
    <w:p>
      <w:pPr>
        <w:pStyle w:val="Heading1"/>
        <w:pBdr>
          <w:bottom w:val="single" w:color="2E5395" w:sz="6" w:space="4"/>
        </w:pBdr>
        <w:spacing w:after="150" w:before="300"/>
      </w:pPr>
      <w:r>
        <w:t xml:space="preserve">10. Config Tables This Routine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2E5395" w:val="clear"/>
            <w:tcMar>
              <w:top w:type="dxa" w:w="80"/>
              <w:left w:type="dxa" w:w="100"/>
              <w:bottom w:type="dxa" w:w="80"/>
              <w:right w:type="dxa" w:w="100"/>
            </w:tcMar>
          </w:tcPr>
          <w:p>
            <w:r>
              <w:rPr>
                <w:b/>
                <w:bCs/>
                <w:color w:val="FFFFFF"/>
              </w:rPr>
              <w:t xml:space="preserve">Table</w:t>
            </w:r>
          </w:p>
        </w:tc>
        <w:tc>
          <w:tcPr>
            <w:tcW w:type="dxa" w:w="6739"/>
            <w:shd w:fill="2E5395" w:val="clear"/>
            <w:tcMar>
              <w:top w:type="dxa" w:w="80"/>
              <w:left w:type="dxa" w:w="100"/>
              <w:bottom w:type="dxa" w:w="80"/>
              <w:right w:type="dxa" w:w="100"/>
            </w:tcMar>
          </w:tcPr>
          <w:p>
            <w:r>
              <w:rPr>
                <w:b/>
                <w:bCs/>
                <w:color w:val="FFFFFF"/>
              </w:rPr>
              <w:t xml:space="preserve">Purpose</w:t>
            </w:r>
          </w:p>
        </w:tc>
      </w:tr>
      <w:tr>
        <w:tc>
          <w:tcPr>
            <w:tcW w:type="dxa" w:w="2621"/>
            <w:tcMar>
              <w:top w:type="dxa" w:w="60"/>
              <w:left w:type="dxa" w:w="100"/>
              <w:bottom w:type="dxa" w:w="60"/>
              <w:right w:type="dxa" w:w="100"/>
            </w:tcMar>
          </w:tcPr>
          <w:p>
            <w:r>
              <w:rPr>
                <w:b w:val="false"/>
                <w:bCs w:val="false"/>
              </w:rPr>
              <w:t xml:space="preserve">F.CIB.MCP.PARAMS</w:t>
            </w:r>
          </w:p>
        </w:tc>
        <w:tc>
          <w:tcPr>
            <w:tcW w:type="dxa" w:w="6739"/>
            <w:tcMar>
              <w:top w:type="dxa" w:w="60"/>
              <w:left w:type="dxa" w:w="100"/>
              <w:bottom w:type="dxa" w:w="60"/>
              <w:right w:type="dxa" w:w="100"/>
            </w:tcMar>
          </w:tcPr>
          <w:p>
            <w:r>
              <w:rPr>
                <w:b w:val="false"/>
                <w:bCs w:val="false"/>
              </w:rPr>
              <w:t xml:space="preserve">Per-context (CR2.SYS / IPN.CARD / IPN.MEZZA / IPN.ACC / CR2.MEZA) parameters: cut-off times, max amounts, commission code/amount, credit account for GL redirects</w:t>
            </w:r>
          </w:p>
        </w:tc>
      </w:tr>
      <w:tr>
        <w:tc>
          <w:tcPr>
            <w:tcW w:type="dxa" w:w="2621"/>
            <w:tcMar>
              <w:top w:type="dxa" w:w="60"/>
              <w:left w:type="dxa" w:w="100"/>
              <w:bottom w:type="dxa" w:w="60"/>
              <w:right w:type="dxa" w:w="100"/>
            </w:tcMar>
          </w:tcPr>
          <w:p>
            <w:r>
              <w:rPr>
                <w:b w:val="false"/>
                <w:bCs w:val="false"/>
              </w:rPr>
              <w:t xml:space="preserve">FBNK.CR2.OVERRIDE</w:t>
            </w:r>
          </w:p>
        </w:tc>
        <w:tc>
          <w:tcPr>
            <w:tcW w:type="dxa" w:w="6739"/>
            <w:tcMar>
              <w:top w:type="dxa" w:w="60"/>
              <w:left w:type="dxa" w:w="100"/>
              <w:bottom w:type="dxa" w:w="60"/>
              <w:right w:type="dxa" w:w="100"/>
            </w:tcMar>
          </w:tcPr>
          <w:p>
            <w:r>
              <w:rPr>
                <w:b w:val="false"/>
                <w:bCs w:val="false"/>
              </w:rPr>
              <w:t xml:space="preserve">General override-message classification (acceptable vs hard-error, with an associated reply code)</w:t>
            </w:r>
          </w:p>
        </w:tc>
      </w:tr>
      <w:tr>
        <w:tc>
          <w:tcPr>
            <w:tcW w:type="dxa" w:w="2621"/>
            <w:tcMar>
              <w:top w:type="dxa" w:w="60"/>
              <w:left w:type="dxa" w:w="100"/>
              <w:bottom w:type="dxa" w:w="60"/>
              <w:right w:type="dxa" w:w="100"/>
            </w:tcMar>
          </w:tcPr>
          <w:p>
            <w:r>
              <w:rPr>
                <w:b w:val="false"/>
                <w:bCs w:val="false"/>
              </w:rPr>
              <w:t xml:space="preserve">F.CIB.API.OVERRIDE (CR2.SYS)</w:t>
            </w:r>
          </w:p>
        </w:tc>
        <w:tc>
          <w:tcPr>
            <w:tcW w:type="dxa" w:w="6739"/>
            <w:tcMar>
              <w:top w:type="dxa" w:w="60"/>
              <w:left w:type="dxa" w:w="100"/>
              <w:bottom w:type="dxa" w:w="60"/>
              <w:right w:type="dxa" w:w="100"/>
            </w:tcMar>
          </w:tcPr>
          <w:p>
            <w:r>
              <w:rPr>
                <w:b w:val="false"/>
                <w:bCs w:val="false"/>
              </w:rPr>
              <w:t xml:space="preserve">Separate override whitelist specifically for the OT03 auto-authorization decision</w:t>
            </w:r>
          </w:p>
        </w:tc>
      </w:tr>
      <w:tr>
        <w:tc>
          <w:tcPr>
            <w:tcW w:type="dxa" w:w="2621"/>
            <w:tcMar>
              <w:top w:type="dxa" w:w="60"/>
              <w:left w:type="dxa" w:w="100"/>
              <w:bottom w:type="dxa" w:w="60"/>
              <w:right w:type="dxa" w:w="100"/>
            </w:tcMar>
          </w:tcPr>
          <w:p>
            <w:r>
              <w:rPr>
                <w:b w:val="false"/>
                <w:bCs w:val="false"/>
              </w:rPr>
              <w:t xml:space="preserve">F.CIB.BANK.SWIFT</w:t>
            </w:r>
          </w:p>
        </w:tc>
        <w:tc>
          <w:tcPr>
            <w:tcW w:type="dxa" w:w="6739"/>
            <w:tcMar>
              <w:top w:type="dxa" w:w="60"/>
              <w:left w:type="dxa" w:w="100"/>
              <w:bottom w:type="dxa" w:w="60"/>
              <w:right w:type="dxa" w:w="100"/>
            </w:tcMar>
          </w:tcPr>
          <w:p>
            <w:r>
              <w:rPr>
                <w:b w:val="false"/>
                <w:bCs w:val="false"/>
              </w:rPr>
              <w:t xml:space="preserve">Beneficiary bank IPN-enablement flag, keyed by SWIFT code</w:t>
            </w:r>
          </w:p>
        </w:tc>
      </w:tr>
      <w:tr>
        <w:tc>
          <w:tcPr>
            <w:tcW w:type="dxa" w:w="2621"/>
            <w:tcMar>
              <w:top w:type="dxa" w:w="60"/>
              <w:left w:type="dxa" w:w="100"/>
              <w:bottom w:type="dxa" w:w="60"/>
              <w:right w:type="dxa" w:w="100"/>
            </w:tcMar>
          </w:tcPr>
          <w:p>
            <w:r>
              <w:rPr>
                <w:b w:val="false"/>
                <w:bCs w:val="false"/>
              </w:rPr>
              <w:t xml:space="preserve">F.DE.BIC</w:t>
            </w:r>
          </w:p>
        </w:tc>
        <w:tc>
          <w:tcPr>
            <w:tcW w:type="dxa" w:w="6739"/>
            <w:tcMar>
              <w:top w:type="dxa" w:w="60"/>
              <w:left w:type="dxa" w:w="100"/>
              <w:bottom w:type="dxa" w:w="60"/>
              <w:right w:type="dxa" w:w="100"/>
            </w:tcMar>
          </w:tcPr>
          <w:p>
            <w:r>
              <w:rPr>
                <w:b w:val="false"/>
                <w:bCs w:val="false"/>
              </w:rPr>
              <w:t xml:space="preserve">Beneficiary bank country-code lookup, for the domestic-currency-control guard</w:t>
            </w:r>
          </w:p>
        </w:tc>
      </w:tr>
      <w:tr>
        <w:tc>
          <w:tcPr>
            <w:tcW w:type="dxa" w:w="2621"/>
            <w:tcMar>
              <w:top w:type="dxa" w:w="60"/>
              <w:left w:type="dxa" w:w="100"/>
              <w:bottom w:type="dxa" w:w="60"/>
              <w:right w:type="dxa" w:w="100"/>
            </w:tcMar>
          </w:tcPr>
          <w:p>
            <w:r>
              <w:rPr>
                <w:b w:val="false"/>
                <w:bCs w:val="false"/>
              </w:rPr>
              <w:t xml:space="preserve">F.TAM.H.INF.CHARITY.CODE</w:t>
            </w:r>
          </w:p>
        </w:tc>
        <w:tc>
          <w:tcPr>
            <w:tcW w:type="dxa" w:w="6739"/>
            <w:tcMar>
              <w:top w:type="dxa" w:w="60"/>
              <w:left w:type="dxa" w:w="100"/>
              <w:bottom w:type="dxa" w:w="60"/>
              <w:right w:type="dxa" w:w="100"/>
            </w:tcMar>
          </w:tcPr>
          <w:p>
            <w:r>
              <w:rPr>
                <w:b w:val="false"/>
                <w:bCs w:val="false"/>
              </w:rPr>
              <w:t xml:space="preserve">Registered charity account list</w:t>
            </w:r>
          </w:p>
        </w:tc>
      </w:tr>
      <w:tr>
        <w:tc>
          <w:tcPr>
            <w:tcW w:type="dxa" w:w="2621"/>
            <w:tcMar>
              <w:top w:type="dxa" w:w="60"/>
              <w:left w:type="dxa" w:w="100"/>
              <w:bottom w:type="dxa" w:w="60"/>
              <w:right w:type="dxa" w:w="100"/>
            </w:tcMar>
          </w:tcPr>
          <w:p>
            <w:r>
              <w:rPr>
                <w:b w:val="false"/>
                <w:bCs w:val="false"/>
              </w:rPr>
              <w:t xml:space="preserve">F.CIB.API.CONFIG</w:t>
            </w:r>
          </w:p>
        </w:tc>
        <w:tc>
          <w:tcPr>
            <w:tcW w:type="dxa" w:w="6739"/>
            <w:tcMar>
              <w:top w:type="dxa" w:w="60"/>
              <w:left w:type="dxa" w:w="100"/>
              <w:bottom w:type="dxa" w:w="60"/>
              <w:right w:type="dxa" w:w="100"/>
            </w:tcMar>
          </w:tcPr>
          <w:p>
            <w:r>
              <w:rPr>
                <w:b w:val="false"/>
                <w:bCs w:val="false"/>
              </w:rPr>
              <w:t xml:space="preserve">Opened but not clearly referenced by name in the reviewed logic — needs verification of actual use</w:t>
            </w:r>
          </w:p>
        </w:tc>
      </w:tr>
    </w:tbl>
    <w:p>
      <w:pPr>
        <w:pStyle w:val="Heading1"/>
        <w:pBdr>
          <w:bottom w:val="single" w:color="2E5395" w:sz="6" w:space="4"/>
        </w:pBdr>
        <w:spacing w:after="150" w:before="300"/>
      </w:pPr>
      <w:r>
        <w:t xml:space="preserve">11. Files Read /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19"/>
        <w:gridCol w:w="1308"/>
        <w:gridCol w:w="5032"/>
      </w:tblGrid>
      <w:tr>
        <w:trPr>
          <w:tblHeader/>
        </w:trPr>
        <w:tc>
          <w:tcPr>
            <w:tcW w:type="dxa" w:w="3019"/>
            <w:shd w:fill="2E5395" w:val="clear"/>
            <w:tcMar>
              <w:top w:type="dxa" w:w="80"/>
              <w:left w:type="dxa" w:w="100"/>
              <w:bottom w:type="dxa" w:w="80"/>
              <w:right w:type="dxa" w:w="100"/>
            </w:tcMar>
          </w:tcPr>
          <w:p>
            <w:r>
              <w:rPr>
                <w:b/>
                <w:bCs/>
                <w:color w:val="FFFFFF"/>
              </w:rPr>
              <w:t xml:space="preserve">File / Table</w:t>
            </w:r>
          </w:p>
        </w:tc>
        <w:tc>
          <w:tcPr>
            <w:tcW w:type="dxa" w:w="1308"/>
            <w:shd w:fill="2E5395" w:val="clear"/>
            <w:tcMar>
              <w:top w:type="dxa" w:w="80"/>
              <w:left w:type="dxa" w:w="100"/>
              <w:bottom w:type="dxa" w:w="80"/>
              <w:right w:type="dxa" w:w="100"/>
            </w:tcMar>
          </w:tcPr>
          <w:p>
            <w:r>
              <w:rPr>
                <w:b/>
                <w:bCs/>
                <w:color w:val="FFFFFF"/>
              </w:rPr>
              <w:t xml:space="preserve">Access</w:t>
            </w:r>
          </w:p>
        </w:tc>
        <w:tc>
          <w:tcPr>
            <w:tcW w:type="dxa" w:w="5032"/>
            <w:shd w:fill="2E5395" w:val="clear"/>
            <w:tcMar>
              <w:top w:type="dxa" w:w="80"/>
              <w:left w:type="dxa" w:w="100"/>
              <w:bottom w:type="dxa" w:w="80"/>
              <w:right w:type="dxa" w:w="100"/>
            </w:tcMar>
          </w:tcPr>
          <w:p>
            <w:r>
              <w:rPr>
                <w:b/>
                <w:bCs/>
                <w:color w:val="FFFFFF"/>
              </w:rPr>
              <w:t xml:space="preserve">Purpose</w:t>
            </w:r>
          </w:p>
        </w:tc>
      </w:tr>
      <w:tr>
        <w:tc>
          <w:tcPr>
            <w:tcW w:type="dxa" w:w="3019"/>
            <w:tcMar>
              <w:top w:type="dxa" w:w="60"/>
              <w:left w:type="dxa" w:w="100"/>
              <w:bottom w:type="dxa" w:w="60"/>
              <w:right w:type="dxa" w:w="100"/>
            </w:tcMar>
          </w:tcPr>
          <w:p>
            <w:r>
              <w:rPr>
                <w:b w:val="false"/>
                <w:bCs w:val="false"/>
              </w:rPr>
              <w:t xml:space="preserve">FBNK.CR2.FT.REPORT (CRRE)</w:t>
            </w:r>
          </w:p>
        </w:tc>
        <w:tc>
          <w:tcPr>
            <w:tcW w:type="dxa" w:w="1308"/>
            <w:tcMar>
              <w:top w:type="dxa" w:w="60"/>
              <w:left w:type="dxa" w:w="100"/>
              <w:bottom w:type="dxa" w:w="60"/>
              <w:right w:type="dxa" w:w="100"/>
            </w:tcMar>
          </w:tcPr>
          <w:p>
            <w:r>
              <w:rPr>
                <w:b w:val="false"/>
                <w:bCs w:val="false"/>
              </w:rPr>
              <w:t xml:space="preserve">Read/Write</w:t>
            </w:r>
          </w:p>
        </w:tc>
        <w:tc>
          <w:tcPr>
            <w:tcW w:type="dxa" w:w="5032"/>
            <w:tcMar>
              <w:top w:type="dxa" w:w="60"/>
              <w:left w:type="dxa" w:w="100"/>
              <w:bottom w:type="dxa" w:w="60"/>
              <w:right w:type="dxa" w:w="100"/>
            </w:tcMar>
          </w:tcPr>
          <w:p>
            <w:r>
              <w:rPr>
                <w:b w:val="false"/>
                <w:bCs w:val="false"/>
              </w:rPr>
              <w:t xml:space="preserve">This routine's OWN primary audit/staging table — far richer than CIB.API.FT, storing full transaction detail, keyed by a composite MY.TODAY-ORG_TXN_TYPE-BW_TXN_ID reference; also the source of this routine's OWN idempotency check (distinct mechanism from CIB.API.FT)</w:t>
            </w:r>
          </w:p>
        </w:tc>
      </w:tr>
      <w:tr>
        <w:tc>
          <w:tcPr>
            <w:tcW w:type="dxa" w:w="3019"/>
            <w:tcMar>
              <w:top w:type="dxa" w:w="60"/>
              <w:left w:type="dxa" w:w="100"/>
              <w:bottom w:type="dxa" w:w="60"/>
              <w:right w:type="dxa" w:w="100"/>
            </w:tcMar>
          </w:tcPr>
          <w:p>
            <w:r>
              <w:rPr>
                <w:b w:val="false"/>
                <w:bCs w:val="false"/>
              </w:rPr>
              <w:t xml:space="preserve">FBNK.CIB.API.FT</w:t>
            </w:r>
          </w:p>
        </w:tc>
        <w:tc>
          <w:tcPr>
            <w:tcW w:type="dxa" w:w="1308"/>
            <w:tcMar>
              <w:top w:type="dxa" w:w="60"/>
              <w:left w:type="dxa" w:w="100"/>
              <w:bottom w:type="dxa" w:w="60"/>
              <w:right w:type="dxa" w:w="100"/>
            </w:tcMar>
          </w:tcPr>
          <w:p>
            <w:r>
              <w:rPr>
                <w:b w:val="false"/>
                <w:bCs w:val="false"/>
              </w:rPr>
              <w:t xml:space="preserve">Read/Write</w:t>
            </w:r>
          </w:p>
        </w:tc>
        <w:tc>
          <w:tcPr>
            <w:tcW w:type="dxa" w:w="5032"/>
            <w:tcMar>
              <w:top w:type="dxa" w:w="60"/>
              <w:left w:type="dxa" w:w="100"/>
              <w:bottom w:type="dxa" w:w="60"/>
              <w:right w:type="dxa" w:w="100"/>
            </w:tcMar>
          </w:tcPr>
          <w:p>
            <w:r>
              <w:rPr>
                <w:b w:val="false"/>
                <w:bCs w:val="false"/>
              </w:rPr>
              <w:t xml:space="preserve">The SAME shared audit table used by Documents 01, 04, and 05 — written here too (via UPDATE.API.FT), meaning a DXP-created transfer's FT.ID is ALSO resolvable via Authorise FT's (Document 04) MSG.ID lookup</w:t>
            </w:r>
          </w:p>
        </w:tc>
      </w:tr>
      <w:tr>
        <w:tc>
          <w:tcPr>
            <w:tcW w:type="dxa" w:w="3019"/>
            <w:tcMar>
              <w:top w:type="dxa" w:w="60"/>
              <w:left w:type="dxa" w:w="100"/>
              <w:bottom w:type="dxa" w:w="60"/>
              <w:right w:type="dxa" w:w="100"/>
            </w:tcMar>
          </w:tcPr>
          <w:p>
            <w:r>
              <w:rPr>
                <w:b w:val="false"/>
                <w:bCs w:val="false"/>
              </w:rPr>
              <w:t xml:space="preserve">FBNK.CR2.OVERRIDE</w:t>
            </w:r>
          </w:p>
        </w:tc>
        <w:tc>
          <w:tcPr>
            <w:tcW w:type="dxa" w:w="1308"/>
            <w:tcMar>
              <w:top w:type="dxa" w:w="60"/>
              <w:left w:type="dxa" w:w="100"/>
              <w:bottom w:type="dxa" w:w="60"/>
              <w:right w:type="dxa" w:w="100"/>
            </w:tcMar>
          </w:tcPr>
          <w:p>
            <w:r>
              <w:rPr>
                <w:b w:val="false"/>
                <w:bCs w:val="false"/>
              </w:rPr>
              <w:t xml:space="preserve">Read</w:t>
            </w:r>
          </w:p>
        </w:tc>
        <w:tc>
          <w:tcPr>
            <w:tcW w:type="dxa" w:w="5032"/>
            <w:tcMar>
              <w:top w:type="dxa" w:w="60"/>
              <w:left w:type="dxa" w:w="100"/>
              <w:bottom w:type="dxa" w:w="60"/>
              <w:right w:type="dxa" w:w="100"/>
            </w:tcMar>
          </w:tcPr>
          <w:p>
            <w:r>
              <w:rPr>
                <w:b w:val="false"/>
                <w:bCs w:val="false"/>
              </w:rPr>
              <w:t xml:space="preserve">CR2-specific override classification table — maps override text to either 'acceptable' (-1) or a hard reply code</w:t>
            </w:r>
          </w:p>
        </w:tc>
      </w:tr>
      <w:tr>
        <w:tc>
          <w:tcPr>
            <w:tcW w:type="dxa" w:w="3019"/>
            <w:tcMar>
              <w:top w:type="dxa" w:w="60"/>
              <w:left w:type="dxa" w:w="100"/>
              <w:bottom w:type="dxa" w:w="60"/>
              <w:right w:type="dxa" w:w="100"/>
            </w:tcMar>
          </w:tcPr>
          <w:p>
            <w:r>
              <w:rPr>
                <w:b w:val="false"/>
                <w:bCs w:val="false"/>
              </w:rPr>
              <w:t xml:space="preserve">F.CIB.API.OVERRIDE (keyed 'CR2.SYS')</w:t>
            </w:r>
          </w:p>
        </w:tc>
        <w:tc>
          <w:tcPr>
            <w:tcW w:type="dxa" w:w="1308"/>
            <w:tcMar>
              <w:top w:type="dxa" w:w="60"/>
              <w:left w:type="dxa" w:w="100"/>
              <w:bottom w:type="dxa" w:w="60"/>
              <w:right w:type="dxa" w:w="100"/>
            </w:tcMar>
          </w:tcPr>
          <w:p>
            <w:r>
              <w:rPr>
                <w:b w:val="false"/>
                <w:bCs w:val="false"/>
              </w:rPr>
              <w:t xml:space="preserve">Read</w:t>
            </w:r>
          </w:p>
        </w:tc>
        <w:tc>
          <w:tcPr>
            <w:tcW w:type="dxa" w:w="5032"/>
            <w:tcMar>
              <w:top w:type="dxa" w:w="60"/>
              <w:left w:type="dxa" w:w="100"/>
              <w:bottom w:type="dxa" w:w="60"/>
              <w:right w:type="dxa" w:w="100"/>
            </w:tcMar>
          </w:tcPr>
          <w:p>
            <w:r>
              <w:rPr>
                <w:b w:val="false"/>
                <w:bCs w:val="false"/>
              </w:rPr>
              <w:t xml:space="preserve">A SEPARATE whitelist of override messages considered acceptable specifically for the OT03 auto-authorization decision — a second, independent override-classification mechanism</w:t>
            </w:r>
          </w:p>
        </w:tc>
      </w:tr>
      <w:tr>
        <w:tc>
          <w:tcPr>
            <w:tcW w:type="dxa" w:w="3019"/>
            <w:tcMar>
              <w:top w:type="dxa" w:w="60"/>
              <w:left w:type="dxa" w:w="100"/>
              <w:bottom w:type="dxa" w:w="60"/>
              <w:right w:type="dxa" w:w="100"/>
            </w:tcMar>
          </w:tcPr>
          <w:p>
            <w:r>
              <w:rPr>
                <w:b w:val="false"/>
                <w:bCs w:val="false"/>
              </w:rPr>
              <w:t xml:space="preserve">F.CIB.MCP.PARAMS</w:t>
            </w:r>
          </w:p>
        </w:tc>
        <w:tc>
          <w:tcPr>
            <w:tcW w:type="dxa" w:w="1308"/>
            <w:tcMar>
              <w:top w:type="dxa" w:w="60"/>
              <w:left w:type="dxa" w:w="100"/>
              <w:bottom w:type="dxa" w:w="60"/>
              <w:right w:type="dxa" w:w="100"/>
            </w:tcMar>
          </w:tcPr>
          <w:p>
            <w:r>
              <w:rPr>
                <w:b w:val="false"/>
                <w:bCs w:val="false"/>
              </w:rPr>
              <w:t xml:space="preserve">Read</w:t>
            </w:r>
          </w:p>
        </w:tc>
        <w:tc>
          <w:tcPr>
            <w:tcW w:type="dxa" w:w="5032"/>
            <w:tcMar>
              <w:top w:type="dxa" w:w="60"/>
              <w:left w:type="dxa" w:w="100"/>
              <w:bottom w:type="dxa" w:w="60"/>
              <w:right w:type="dxa" w:w="100"/>
            </w:tcMar>
          </w:tcPr>
          <w:p>
            <w:r>
              <w:rPr>
                <w:b w:val="false"/>
                <w:bCs w:val="false"/>
              </w:rPr>
              <w:t xml:space="preserve">Parameter table (cut-off times, max amounts, commission codes/amounts) — re-read multiple times under different CR2.PARAM.ID keys (CR2.SYS, IPN.CARD, IPN.MEZZA, IPN.ACC, CR2.MEZA) as the routine dynamically switches context</w:t>
            </w:r>
          </w:p>
        </w:tc>
      </w:tr>
      <w:tr>
        <w:tc>
          <w:tcPr>
            <w:tcW w:type="dxa" w:w="3019"/>
            <w:tcMar>
              <w:top w:type="dxa" w:w="60"/>
              <w:left w:type="dxa" w:w="100"/>
              <w:bottom w:type="dxa" w:w="60"/>
              <w:right w:type="dxa" w:w="100"/>
            </w:tcMar>
          </w:tcPr>
          <w:p>
            <w:r>
              <w:rPr>
                <w:b w:val="false"/>
                <w:bCs w:val="false"/>
              </w:rPr>
              <w:t xml:space="preserve">F.CIB.BANK.SWIFT</w:t>
            </w:r>
          </w:p>
        </w:tc>
        <w:tc>
          <w:tcPr>
            <w:tcW w:type="dxa" w:w="1308"/>
            <w:tcMar>
              <w:top w:type="dxa" w:w="60"/>
              <w:left w:type="dxa" w:w="100"/>
              <w:bottom w:type="dxa" w:w="60"/>
              <w:right w:type="dxa" w:w="100"/>
            </w:tcMar>
          </w:tcPr>
          <w:p>
            <w:r>
              <w:rPr>
                <w:b w:val="false"/>
                <w:bCs w:val="false"/>
              </w:rPr>
              <w:t xml:space="preserve">Read</w:t>
            </w:r>
          </w:p>
        </w:tc>
        <w:tc>
          <w:tcPr>
            <w:tcW w:type="dxa" w:w="5032"/>
            <w:tcMar>
              <w:top w:type="dxa" w:w="60"/>
              <w:left w:type="dxa" w:w="100"/>
              <w:bottom w:type="dxa" w:w="60"/>
              <w:right w:type="dxa" w:w="100"/>
            </w:tcMar>
          </w:tcPr>
          <w:p>
            <w:r>
              <w:rPr>
                <w:b w:val="false"/>
                <w:bCs w:val="false"/>
              </w:rPr>
              <w:t xml:space="preserve">Bank-level IPN-enablement lookup, keyed by the beneficiary bank's SWIFT code</w:t>
            </w:r>
          </w:p>
        </w:tc>
      </w:tr>
      <w:tr>
        <w:tc>
          <w:tcPr>
            <w:tcW w:type="dxa" w:w="3019"/>
            <w:tcMar>
              <w:top w:type="dxa" w:w="60"/>
              <w:left w:type="dxa" w:w="100"/>
              <w:bottom w:type="dxa" w:w="60"/>
              <w:right w:type="dxa" w:w="100"/>
            </w:tcMar>
          </w:tcPr>
          <w:p>
            <w:r>
              <w:rPr>
                <w:b w:val="false"/>
                <w:bCs w:val="false"/>
              </w:rPr>
              <w:t xml:space="preserve">F.DE.BIC</w:t>
            </w:r>
          </w:p>
        </w:tc>
        <w:tc>
          <w:tcPr>
            <w:tcW w:type="dxa" w:w="1308"/>
            <w:tcMar>
              <w:top w:type="dxa" w:w="60"/>
              <w:left w:type="dxa" w:w="100"/>
              <w:bottom w:type="dxa" w:w="60"/>
              <w:right w:type="dxa" w:w="100"/>
            </w:tcMar>
          </w:tcPr>
          <w:p>
            <w:r>
              <w:rPr>
                <w:b w:val="false"/>
                <w:bCs w:val="false"/>
              </w:rPr>
              <w:t xml:space="preserve">Read</w:t>
            </w:r>
          </w:p>
        </w:tc>
        <w:tc>
          <w:tcPr>
            <w:tcW w:type="dxa" w:w="5032"/>
            <w:tcMar>
              <w:top w:type="dxa" w:w="60"/>
              <w:left w:type="dxa" w:w="100"/>
              <w:bottom w:type="dxa" w:w="60"/>
              <w:right w:type="dxa" w:w="100"/>
            </w:tcMar>
          </w:tcPr>
          <w:p>
            <w:r>
              <w:rPr>
                <w:b w:val="false"/>
                <w:bCs w:val="false"/>
              </w:rPr>
              <w:t xml:space="preserve">Country-code lookup for the beneficiary bank — the source of the 0023 'cannot transfer EGP outside Egypt' guard</w:t>
            </w:r>
          </w:p>
        </w:tc>
      </w:tr>
      <w:tr>
        <w:tc>
          <w:tcPr>
            <w:tcW w:type="dxa" w:w="3019"/>
            <w:tcMar>
              <w:top w:type="dxa" w:w="60"/>
              <w:left w:type="dxa" w:w="100"/>
              <w:bottom w:type="dxa" w:w="60"/>
              <w:right w:type="dxa" w:w="100"/>
            </w:tcMar>
          </w:tcPr>
          <w:p>
            <w:r>
              <w:rPr>
                <w:b w:val="false"/>
                <w:bCs w:val="false"/>
              </w:rPr>
              <w:t xml:space="preserve">F.TAM.H.INF.CHARITY.CODE</w:t>
            </w:r>
          </w:p>
        </w:tc>
        <w:tc>
          <w:tcPr>
            <w:tcW w:type="dxa" w:w="1308"/>
            <w:tcMar>
              <w:top w:type="dxa" w:w="60"/>
              <w:left w:type="dxa" w:w="100"/>
              <w:bottom w:type="dxa" w:w="60"/>
              <w:right w:type="dxa" w:w="100"/>
            </w:tcMar>
          </w:tcPr>
          <w:p>
            <w:r>
              <w:rPr>
                <w:b w:val="false"/>
                <w:bCs w:val="false"/>
              </w:rPr>
              <w:t xml:space="preserve">Read (via EB.READLIST)</w:t>
            </w:r>
          </w:p>
        </w:tc>
        <w:tc>
          <w:tcPr>
            <w:tcW w:type="dxa" w:w="5032"/>
            <w:tcMar>
              <w:top w:type="dxa" w:w="60"/>
              <w:left w:type="dxa" w:w="100"/>
              <w:bottom w:type="dxa" w:w="60"/>
              <w:right w:type="dxa" w:w="100"/>
            </w:tcMar>
          </w:tcPr>
          <w:p>
            <w:r>
              <w:rPr>
                <w:b w:val="false"/>
                <w:bCs w:val="false"/>
              </w:rPr>
              <w:t xml:space="preserve">Registered-charity-account validation for the CHAR transaction type</w:t>
            </w:r>
          </w:p>
        </w:tc>
      </w:tr>
      <w:tr>
        <w:tc>
          <w:tcPr>
            <w:tcW w:type="dxa" w:w="3019"/>
            <w:tcMar>
              <w:top w:type="dxa" w:w="60"/>
              <w:left w:type="dxa" w:w="100"/>
              <w:bottom w:type="dxa" w:w="60"/>
              <w:right w:type="dxa" w:w="100"/>
            </w:tcMar>
          </w:tcPr>
          <w:p>
            <w:r>
              <w:rPr>
                <w:b w:val="false"/>
                <w:bCs w:val="false"/>
              </w:rPr>
              <w:t xml:space="preserve">FBNK.ACCOUNT / F.CUSTOMER</w:t>
            </w:r>
          </w:p>
        </w:tc>
        <w:tc>
          <w:tcPr>
            <w:tcW w:type="dxa" w:w="1308"/>
            <w:tcMar>
              <w:top w:type="dxa" w:w="60"/>
              <w:left w:type="dxa" w:w="100"/>
              <w:bottom w:type="dxa" w:w="60"/>
              <w:right w:type="dxa" w:w="100"/>
            </w:tcMar>
          </w:tcPr>
          <w:p>
            <w:r>
              <w:rPr>
                <w:b w:val="false"/>
                <w:bCs w:val="false"/>
              </w:rPr>
              <w:t xml:space="preserve">Read</w:t>
            </w:r>
          </w:p>
        </w:tc>
        <w:tc>
          <w:tcPr>
            <w:tcW w:type="dxa" w:w="5032"/>
            <w:tcMar>
              <w:top w:type="dxa" w:w="60"/>
              <w:left w:type="dxa" w:w="100"/>
              <w:bottom w:type="dxa" w:w="60"/>
              <w:right w:type="dxa" w:w="100"/>
            </w:tcMar>
          </w:tcPr>
          <w:p>
            <w:r>
              <w:rPr>
                <w:b w:val="false"/>
                <w:bCs w:val="false"/>
              </w:rPr>
              <w:t xml:space="preserve">Debit/credit account and customer lookups throughout</w:t>
            </w:r>
          </w:p>
        </w:tc>
      </w:tr>
      <w:tr>
        <w:tc>
          <w:tcPr>
            <w:tcW w:type="dxa" w:w="3019"/>
            <w:tcMar>
              <w:top w:type="dxa" w:w="60"/>
              <w:left w:type="dxa" w:w="100"/>
              <w:bottom w:type="dxa" w:w="60"/>
              <w:right w:type="dxa" w:w="100"/>
            </w:tcMar>
          </w:tcPr>
          <w:p>
            <w:r>
              <w:rPr>
                <w:b w:val="false"/>
                <w:bCs w:val="false"/>
              </w:rPr>
              <w:t xml:space="preserve">F.CIB.ONLINE.FTS</w:t>
            </w:r>
          </w:p>
        </w:tc>
        <w:tc>
          <w:tcPr>
            <w:tcW w:type="dxa" w:w="1308"/>
            <w:tcMar>
              <w:top w:type="dxa" w:w="60"/>
              <w:left w:type="dxa" w:w="100"/>
              <w:bottom w:type="dxa" w:w="60"/>
              <w:right w:type="dxa" w:w="100"/>
            </w:tcMar>
          </w:tcPr>
          <w:p>
            <w:r>
              <w:rPr>
                <w:b w:val="false"/>
                <w:bCs w:val="false"/>
              </w:rPr>
              <w:t xml:space="preserve">Read/Write</w:t>
            </w:r>
          </w:p>
        </w:tc>
        <w:tc>
          <w:tcPr>
            <w:tcW w:type="dxa" w:w="5032"/>
            <w:tcMar>
              <w:top w:type="dxa" w:w="60"/>
              <w:left w:type="dxa" w:w="100"/>
              <w:bottom w:type="dxa" w:w="60"/>
              <w:right w:type="dxa" w:w="100"/>
            </w:tcMar>
          </w:tcPr>
          <w:p>
            <w:r>
              <w:rPr>
                <w:b w:val="false"/>
                <w:bCs w:val="false"/>
              </w:rPr>
              <w:t xml:space="preserve">SMS/online-transfer notification log — same table and mechanism as Create Outward Transfer (Document 01)</w:t>
            </w:r>
          </w:p>
        </w:tc>
      </w:tr>
      <w:tr>
        <w:tc>
          <w:tcPr>
            <w:tcW w:type="dxa" w:w="3019"/>
            <w:tcMar>
              <w:top w:type="dxa" w:w="60"/>
              <w:left w:type="dxa" w:w="100"/>
              <w:bottom w:type="dxa" w:w="60"/>
              <w:right w:type="dxa" w:w="100"/>
            </w:tcMar>
          </w:tcPr>
          <w:p>
            <w:r>
              <w:rPr>
                <w:b w:val="false"/>
                <w:bCs w:val="false"/>
              </w:rPr>
              <w:t xml:space="preserve">FBNK.FUNDS.TRANSFER / $NAU</w:t>
            </w:r>
          </w:p>
        </w:tc>
        <w:tc>
          <w:tcPr>
            <w:tcW w:type="dxa" w:w="1308"/>
            <w:tcMar>
              <w:top w:type="dxa" w:w="60"/>
              <w:left w:type="dxa" w:w="100"/>
              <w:bottom w:type="dxa" w:w="60"/>
              <w:right w:type="dxa" w:w="100"/>
            </w:tcMar>
          </w:tcPr>
          <w:p>
            <w:r>
              <w:rPr>
                <w:b w:val="false"/>
                <w:bCs w:val="false"/>
              </w:rPr>
              <w:t xml:space="preserve">Read</w:t>
            </w:r>
          </w:p>
        </w:tc>
        <w:tc>
          <w:tcPr>
            <w:tcW w:type="dxa" w:w="5032"/>
            <w:tcMar>
              <w:top w:type="dxa" w:w="60"/>
              <w:left w:type="dxa" w:w="100"/>
              <w:bottom w:type="dxa" w:w="60"/>
              <w:right w:type="dxa" w:w="100"/>
            </w:tcMar>
          </w:tcPr>
          <w:p>
            <w:r>
              <w:rPr>
                <w:b w:val="false"/>
                <w:bCs w:val="false"/>
              </w:rPr>
              <w:t xml:space="preserve">Confirms the FT was actually created, and (for OT03) checks its record status and prior override history</w:t>
            </w:r>
          </w:p>
        </w:tc>
      </w:tr>
    </w:tbl>
    <w:p>
      <w:pPr>
        <w:pStyle w:val="Heading1"/>
        <w:pBdr>
          <w:bottom w:val="single" w:color="2E5395" w:sz="6" w:space="4"/>
        </w:pBdr>
        <w:spacing w:after="150" w:before="300"/>
      </w:pPr>
      <w:r>
        <w:t xml:space="preserve">12. External Routines Called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shd w:fill="2E5395" w:val="clear"/>
            <w:tcMar>
              <w:top w:type="dxa" w:w="80"/>
              <w:left w:type="dxa" w:w="100"/>
              <w:bottom w:type="dxa" w:w="80"/>
              <w:right w:type="dxa" w:w="100"/>
            </w:tcMar>
          </w:tcPr>
          <w:p>
            <w:r>
              <w:rPr>
                <w:b/>
                <w:bCs/>
                <w:color w:val="FFFFFF"/>
              </w:rPr>
              <w:t xml:space="preserve">Routine</w:t>
            </w:r>
          </w:p>
        </w:tc>
        <w:tc>
          <w:tcPr>
            <w:tcW w:type="dxa" w:w="6178"/>
            <w:shd w:fill="2E5395" w:val="clear"/>
            <w:tcMar>
              <w:top w:type="dxa" w:w="80"/>
              <w:left w:type="dxa" w:w="100"/>
              <w:bottom w:type="dxa" w:w="80"/>
              <w:right w:type="dxa" w:w="100"/>
            </w:tcMar>
          </w:tcPr>
          <w:p>
            <w:r>
              <w:rPr>
                <w:b/>
                <w:bCs/>
                <w:color w:val="FFFFFF"/>
              </w:rPr>
              <w:t xml:space="preserve">Purpose</w:t>
            </w:r>
          </w:p>
        </w:tc>
      </w:tr>
      <w:tr>
        <w:tc>
          <w:tcPr>
            <w:tcW w:type="dxa" w:w="3182"/>
            <w:tcMar>
              <w:top w:type="dxa" w:w="60"/>
              <w:left w:type="dxa" w:w="100"/>
              <w:bottom w:type="dxa" w:w="60"/>
              <w:right w:type="dxa" w:w="100"/>
            </w:tcMar>
          </w:tcPr>
          <w:p>
            <w:r>
              <w:rPr>
                <w:b w:val="false"/>
                <w:bCs w:val="false"/>
              </w:rPr>
              <w:t xml:space="preserve">GET.NET.AVL.BL</w:t>
            </w:r>
          </w:p>
        </w:tc>
        <w:tc>
          <w:tcPr>
            <w:tcW w:type="dxa" w:w="6178"/>
            <w:tcMar>
              <w:top w:type="dxa" w:w="60"/>
              <w:left w:type="dxa" w:w="100"/>
              <w:bottom w:type="dxa" w:w="60"/>
              <w:right w:type="dxa" w:w="100"/>
            </w:tcMar>
          </w:tcPr>
          <w:p>
            <w:r>
              <w:rPr>
                <w:b w:val="false"/>
                <w:bCs w:val="false"/>
              </w:rPr>
              <w:t xml:space="preserve">T24 balance computation — called multiple times (source account, again after posting, and for the target account too, unlike any other routine reviewed)</w:t>
            </w:r>
          </w:p>
        </w:tc>
      </w:tr>
      <w:tr>
        <w:tc>
          <w:tcPr>
            <w:tcW w:type="dxa" w:w="3182"/>
            <w:tcMar>
              <w:top w:type="dxa" w:w="60"/>
              <w:left w:type="dxa" w:w="100"/>
              <w:bottom w:type="dxa" w:w="60"/>
              <w:right w:type="dxa" w:w="100"/>
            </w:tcMar>
          </w:tcPr>
          <w:p>
            <w:r>
              <w:rPr>
                <w:b w:val="false"/>
                <w:bCs w:val="false"/>
              </w:rPr>
              <w:t xml:space="preserve">CALCULATE.CHARGE</w:t>
            </w:r>
          </w:p>
        </w:tc>
        <w:tc>
          <w:tcPr>
            <w:tcW w:type="dxa" w:w="6178"/>
            <w:tcMar>
              <w:top w:type="dxa" w:w="60"/>
              <w:left w:type="dxa" w:w="100"/>
              <w:bottom w:type="dxa" w:w="60"/>
              <w:right w:type="dxa" w:w="100"/>
            </w:tcMar>
          </w:tcPr>
          <w:p>
            <w:r>
              <w:rPr>
                <w:b w:val="false"/>
                <w:bCs w:val="false"/>
              </w:rPr>
              <w:t xml:space="preserve">T24 standard tariff engine — same routine seen in Simulate Fees &amp; Calculate Commission (Document 02)</w:t>
            </w:r>
          </w:p>
        </w:tc>
      </w:tr>
      <w:tr>
        <w:tc>
          <w:tcPr>
            <w:tcW w:type="dxa" w:w="3182"/>
            <w:tcMar>
              <w:top w:type="dxa" w:w="60"/>
              <w:left w:type="dxa" w:w="100"/>
              <w:bottom w:type="dxa" w:w="60"/>
              <w:right w:type="dxa" w:w="100"/>
            </w:tcMar>
          </w:tcPr>
          <w:p>
            <w:r>
              <w:rPr>
                <w:b w:val="false"/>
                <w:bCs w:val="false"/>
              </w:rPr>
              <w:t xml:space="preserve">EXCHRATE</w:t>
            </w:r>
          </w:p>
        </w:tc>
        <w:tc>
          <w:tcPr>
            <w:tcW w:type="dxa" w:w="6178"/>
            <w:tcMar>
              <w:top w:type="dxa" w:w="60"/>
              <w:left w:type="dxa" w:w="100"/>
              <w:bottom w:type="dxa" w:w="60"/>
              <w:right w:type="dxa" w:w="100"/>
            </w:tcMar>
          </w:tcPr>
          <w:p>
            <w:r>
              <w:rPr>
                <w:b w:val="false"/>
                <w:bCs w:val="false"/>
              </w:rPr>
              <w:t xml:space="preserve">T24 standard currency conversion — used specifically to check whether a non-EGP-equivalent amount exceeds the domestic auto-auth threshold</w:t>
            </w:r>
          </w:p>
        </w:tc>
      </w:tr>
      <w:tr>
        <w:tc>
          <w:tcPr>
            <w:tcW w:type="dxa" w:w="3182"/>
            <w:tcMar>
              <w:top w:type="dxa" w:w="60"/>
              <w:left w:type="dxa" w:w="100"/>
              <w:bottom w:type="dxa" w:w="60"/>
              <w:right w:type="dxa" w:w="100"/>
            </w:tcMar>
          </w:tcPr>
          <w:p>
            <w:r>
              <w:rPr>
                <w:b w:val="false"/>
                <w:bCs w:val="false"/>
              </w:rPr>
              <w:t xml:space="preserve">IBANService.ValidateIBAN</w:t>
            </w:r>
          </w:p>
        </w:tc>
        <w:tc>
          <w:tcPr>
            <w:tcW w:type="dxa" w:w="6178"/>
            <w:tcMar>
              <w:top w:type="dxa" w:w="60"/>
              <w:left w:type="dxa" w:w="100"/>
              <w:bottom w:type="dxa" w:w="60"/>
              <w:right w:type="dxa" w:w="100"/>
            </w:tcMar>
          </w:tcPr>
          <w:p>
            <w:r>
              <w:rPr>
                <w:b w:val="false"/>
                <w:bCs w:val="false"/>
              </w:rPr>
              <w:t xml:space="preserve">T24 standard IBAN validation — same as Create/Amend Outward Transfer</w:t>
            </w:r>
          </w:p>
        </w:tc>
      </w:tr>
      <w:tr>
        <w:tc>
          <w:tcPr>
            <w:tcW w:type="dxa" w:w="3182"/>
            <w:tcMar>
              <w:top w:type="dxa" w:w="60"/>
              <w:left w:type="dxa" w:w="100"/>
              <w:bottom w:type="dxa" w:w="60"/>
              <w:right w:type="dxa" w:w="100"/>
            </w:tcMar>
          </w:tcPr>
          <w:p>
            <w:r>
              <w:rPr>
                <w:b w:val="false"/>
                <w:bCs w:val="false"/>
              </w:rPr>
              <w:t xml:space="preserve">EB.READLIST</w:t>
            </w:r>
          </w:p>
        </w:tc>
        <w:tc>
          <w:tcPr>
            <w:tcW w:type="dxa" w:w="6178"/>
            <w:tcMar>
              <w:top w:type="dxa" w:w="60"/>
              <w:left w:type="dxa" w:w="100"/>
              <w:bottom w:type="dxa" w:w="60"/>
              <w:right w:type="dxa" w:w="100"/>
            </w:tcMar>
          </w:tcPr>
          <w:p>
            <w:r>
              <w:rPr>
                <w:b w:val="false"/>
                <w:bCs w:val="false"/>
              </w:rPr>
              <w:t xml:space="preserve">T24 standard — used for both the charity-account check and the CR2.OVERRIDE table scan</w:t>
            </w:r>
          </w:p>
        </w:tc>
      </w:tr>
      <w:tr>
        <w:tc>
          <w:tcPr>
            <w:tcW w:type="dxa" w:w="3182"/>
            <w:tcMar>
              <w:top w:type="dxa" w:w="60"/>
              <w:left w:type="dxa" w:w="100"/>
              <w:bottom w:type="dxa" w:w="60"/>
              <w:right w:type="dxa" w:w="100"/>
            </w:tcMar>
          </w:tcPr>
          <w:p>
            <w:r>
              <w:rPr>
                <w:b w:val="false"/>
                <w:bCs w:val="false"/>
              </w:rPr>
              <w:t xml:space="preserve">OFS.INITIALISE.SOURCE / OFS.BULK.MANAGER</w:t>
            </w:r>
          </w:p>
        </w:tc>
        <w:tc>
          <w:tcPr>
            <w:tcW w:type="dxa" w:w="6178"/>
            <w:tcMar>
              <w:top w:type="dxa" w:w="60"/>
              <w:left w:type="dxa" w:w="100"/>
              <w:bottom w:type="dxa" w:w="60"/>
              <w:right w:type="dxa" w:w="100"/>
            </w:tcMar>
          </w:tcPr>
          <w:p>
            <w:r>
              <w:rPr>
                <w:b w:val="false"/>
                <w:bCs w:val="false"/>
              </w:rPr>
              <w:t xml:space="preserve">The main OFS posting mechanism — same as all other routines, used for the primary transfer post</w:t>
            </w:r>
          </w:p>
        </w:tc>
      </w:tr>
      <w:tr>
        <w:tc>
          <w:tcPr>
            <w:tcW w:type="dxa" w:w="3182"/>
            <w:tcMar>
              <w:top w:type="dxa" w:w="60"/>
              <w:left w:type="dxa" w:w="100"/>
              <w:bottom w:type="dxa" w:w="60"/>
              <w:right w:type="dxa" w:w="100"/>
            </w:tcMar>
          </w:tcPr>
          <w:p>
            <w:r>
              <w:rPr>
                <w:b w:val="false"/>
                <w:bCs w:val="false"/>
              </w:rPr>
              <w:t xml:space="preserve">OFS.POST.MESSAGE</w:t>
            </w:r>
          </w:p>
        </w:tc>
        <w:tc>
          <w:tcPr>
            <w:tcW w:type="dxa" w:w="6178"/>
            <w:tcMar>
              <w:top w:type="dxa" w:w="60"/>
              <w:left w:type="dxa" w:w="100"/>
              <w:bottom w:type="dxa" w:w="60"/>
              <w:right w:type="dxa" w:w="100"/>
            </w:tcMar>
          </w:tcPr>
          <w:p>
            <w:r>
              <w:rPr>
                <w:b w:val="false"/>
                <w:bCs w:val="false"/>
              </w:rPr>
              <w:t xml:space="preserve">⚠ A DIFFERENT OFS posting call, used ONLY for the inline auto-authorization step (CHECK.OT.OVERRIDES) — no other routine in this family uses this call; every other authorization path (including Document 04's dedicated service) uses OFS.BULK.MANAGER instead</w:t>
            </w:r>
          </w:p>
        </w:tc>
      </w:tr>
      <w:tr>
        <w:tc>
          <w:tcPr>
            <w:tcW w:type="dxa" w:w="3182"/>
            <w:tcMar>
              <w:top w:type="dxa" w:w="60"/>
              <w:left w:type="dxa" w:w="100"/>
              <w:bottom w:type="dxa" w:w="60"/>
              <w:right w:type="dxa" w:w="100"/>
            </w:tcMar>
          </w:tcPr>
          <w:p>
            <w:r>
              <w:rPr>
                <w:b w:val="false"/>
                <w:bCs w:val="false"/>
              </w:rPr>
              <w:t xml:space="preserve">CIB.CHECK.SMS.RUN</w:t>
            </w:r>
          </w:p>
        </w:tc>
        <w:tc>
          <w:tcPr>
            <w:tcW w:type="dxa" w:w="6178"/>
            <w:tcMar>
              <w:top w:type="dxa" w:w="60"/>
              <w:left w:type="dxa" w:w="100"/>
              <w:bottom w:type="dxa" w:w="60"/>
              <w:right w:type="dxa" w:w="100"/>
            </w:tcMar>
          </w:tcPr>
          <w:p>
            <w:r>
              <w:rPr>
                <w:b w:val="false"/>
                <w:bCs w:val="false"/>
              </w:rPr>
              <w:t xml:space="preserve">Custom — same SMS-trigger check used in Create Outward Transfer (Document 01)</w:t>
            </w:r>
          </w:p>
        </w:tc>
      </w:tr>
    </w:tbl>
    <w:p>
      <w:pPr>
        <w:pStyle w:val="Heading1"/>
        <w:pBdr>
          <w:bottom w:val="single" w:color="2E5395" w:sz="6" w:space="4"/>
        </w:pBdr>
        <w:spacing w:after="150" w:before="300"/>
      </w:pPr>
      <w:r>
        <w:t xml:space="preserve">13. Input Contract (30 Fields, Pipe-Delimited)</w:t>
      </w:r>
    </w:p>
    <w:p>
      <w:pPr>
        <w:spacing w:after="120"/>
      </w:pPr>
      <w:r>
        <w:rPr>
          <w:i/>
          <w:iCs/>
          <w:color w:val="555555"/>
        </w:rPr>
        <w:t xml:space="preserve">Note: unlike the exhaustive posted/not-posted framework used in earlier documents, the OFS field mapping for this service genuinely differs by transaction-type branch (§2) — a single flat table would be misleading. The table below documents what each input field is and where it matters, without claiming a single fixed OFS destination.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16"/>
        <w:gridCol w:w="2645"/>
        <w:gridCol w:w="5799"/>
      </w:tblGrid>
      <w:tr>
        <w:trPr>
          <w:tblHeader/>
        </w:trPr>
        <w:tc>
          <w:tcPr>
            <w:tcW w:type="dxa" w:w="916"/>
            <w:shd w:fill="2E5395" w:val="clear"/>
            <w:tcMar>
              <w:top w:type="dxa" w:w="80"/>
              <w:left w:type="dxa" w:w="100"/>
              <w:bottom w:type="dxa" w:w="80"/>
              <w:right w:type="dxa" w:w="100"/>
            </w:tcMar>
          </w:tcPr>
          <w:p>
            <w:r>
              <w:rPr>
                <w:b/>
                <w:bCs/>
                <w:color w:val="FFFFFF"/>
              </w:rPr>
              <w:t xml:space="preserve">#</w:t>
            </w:r>
          </w:p>
        </w:tc>
        <w:tc>
          <w:tcPr>
            <w:tcW w:type="dxa" w:w="2645"/>
            <w:shd w:fill="2E5395" w:val="clear"/>
            <w:tcMar>
              <w:top w:type="dxa" w:w="80"/>
              <w:left w:type="dxa" w:w="100"/>
              <w:bottom w:type="dxa" w:w="80"/>
              <w:right w:type="dxa" w:w="100"/>
            </w:tcMar>
          </w:tcPr>
          <w:p>
            <w:r>
              <w:rPr>
                <w:b/>
                <w:bCs/>
                <w:color w:val="FFFFFF"/>
              </w:rPr>
              <w:t xml:space="preserve">Field</w:t>
            </w:r>
          </w:p>
        </w:tc>
        <w:tc>
          <w:tcPr>
            <w:tcW w:type="dxa" w:w="5799"/>
            <w:shd w:fill="2E5395" w:val="clear"/>
            <w:tcMar>
              <w:top w:type="dxa" w:w="80"/>
              <w:left w:type="dxa" w:w="100"/>
              <w:bottom w:type="dxa" w:w="80"/>
              <w:right w:type="dxa" w:w="100"/>
            </w:tcMar>
          </w:tcPr>
          <w:p>
            <w:r>
              <w:rPr>
                <w:b/>
                <w:bCs/>
                <w:color w:val="FFFFFF"/>
              </w:rPr>
              <w:t xml:space="preserve">Notes</w:t>
            </w:r>
          </w:p>
        </w:tc>
      </w:tr>
      <w:tr>
        <w:tc>
          <w:tcPr>
            <w:tcW w:type="dxa" w:w="916"/>
            <w:tcMar>
              <w:top w:type="dxa" w:w="60"/>
              <w:left w:type="dxa" w:w="100"/>
              <w:bottom w:type="dxa" w:w="60"/>
              <w:right w:type="dxa" w:w="100"/>
            </w:tcMar>
          </w:tcPr>
          <w:p>
            <w:r>
              <w:rPr>
                <w:b w:val="false"/>
                <w:bCs w:val="false"/>
              </w:rPr>
              <w:t xml:space="preserve">Header</w:t>
            </w:r>
          </w:p>
        </w:tc>
        <w:tc>
          <w:tcPr>
            <w:tcW w:type="dxa" w:w="2645"/>
            <w:tcMar>
              <w:top w:type="dxa" w:w="60"/>
              <w:left w:type="dxa" w:w="100"/>
              <w:bottom w:type="dxa" w:w="60"/>
              <w:right w:type="dxa" w:w="100"/>
            </w:tcMar>
          </w:tcPr>
          <w:p>
            <w:r>
              <w:rPr>
                <w:b w:val="false"/>
                <w:bCs w:val="false"/>
              </w:rPr>
              <w:t xml:space="preserve">SRVC.ID#CHNL.CODE#BW_TXN_ID</w:t>
            </w:r>
          </w:p>
        </w:tc>
        <w:tc>
          <w:tcPr>
            <w:tcW w:type="dxa" w:w="5799"/>
            <w:tcMar>
              <w:top w:type="dxa" w:w="60"/>
              <w:left w:type="dxa" w:w="100"/>
              <w:bottom w:type="dxa" w:w="60"/>
              <w:right w:type="dxa" w:w="100"/>
            </w:tcMar>
          </w:tcPr>
          <w:p>
            <w:r>
              <w:rPr>
                <w:b w:val="false"/>
                <w:bCs w:val="false"/>
              </w:rPr>
              <w:t xml:space="preserve">Only 3 header segments parsed (not 4) — no TOKEN.ID extracted from the header in this routine, unlike every other service reviewed. BW_TXN_ID becomes MSG.ID at the end of INIT.VALUES</w:t>
            </w:r>
          </w:p>
        </w:tc>
      </w:tr>
      <w:tr>
        <w:tc>
          <w:tcPr>
            <w:tcW w:type="dxa" w:w="916"/>
            <w:tcMar>
              <w:top w:type="dxa" w:w="60"/>
              <w:left w:type="dxa" w:w="100"/>
              <w:bottom w:type="dxa" w:w="60"/>
              <w:right w:type="dxa" w:w="100"/>
            </w:tcMar>
          </w:tcPr>
          <w:p>
            <w:r>
              <w:rPr>
                <w:b w:val="false"/>
                <w:bCs w:val="false"/>
              </w:rPr>
              <w:t xml:space="preserve">2</w:t>
            </w:r>
          </w:p>
        </w:tc>
        <w:tc>
          <w:tcPr>
            <w:tcW w:type="dxa" w:w="2645"/>
            <w:tcMar>
              <w:top w:type="dxa" w:w="60"/>
              <w:left w:type="dxa" w:w="100"/>
              <w:bottom w:type="dxa" w:w="60"/>
              <w:right w:type="dxa" w:w="100"/>
            </w:tcMar>
          </w:tcPr>
          <w:p>
            <w:r>
              <w:rPr>
                <w:b w:val="false"/>
                <w:bCs w:val="false"/>
              </w:rPr>
              <w:t xml:space="preserve">TXN_TYPE</w:t>
            </w:r>
          </w:p>
        </w:tc>
        <w:tc>
          <w:tcPr>
            <w:tcW w:type="dxa" w:w="5799"/>
            <w:tcMar>
              <w:top w:type="dxa" w:w="60"/>
              <w:left w:type="dxa" w:w="100"/>
              <w:bottom w:type="dxa" w:w="60"/>
              <w:right w:type="dxa" w:w="100"/>
            </w:tcMar>
          </w:tcPr>
          <w:p>
            <w:r>
              <w:rPr>
                <w:b w:val="false"/>
                <w:bCs w:val="false"/>
              </w:rPr>
              <w:t xml:space="preserve">The master dispatch field — see §2 for the full branching logic this drives</w:t>
            </w:r>
          </w:p>
        </w:tc>
      </w:tr>
      <w:tr>
        <w:tc>
          <w:tcPr>
            <w:tcW w:type="dxa" w:w="916"/>
            <w:tcMar>
              <w:top w:type="dxa" w:w="60"/>
              <w:left w:type="dxa" w:w="100"/>
              <w:bottom w:type="dxa" w:w="60"/>
              <w:right w:type="dxa" w:w="100"/>
            </w:tcMar>
          </w:tcPr>
          <w:p>
            <w:r>
              <w:rPr>
                <w:b w:val="false"/>
                <w:bCs w:val="false"/>
              </w:rPr>
              <w:t xml:space="preserve">3 / 4 / 5</w:t>
            </w:r>
          </w:p>
        </w:tc>
        <w:tc>
          <w:tcPr>
            <w:tcW w:type="dxa" w:w="2645"/>
            <w:tcMar>
              <w:top w:type="dxa" w:w="60"/>
              <w:left w:type="dxa" w:w="100"/>
              <w:bottom w:type="dxa" w:w="60"/>
              <w:right w:type="dxa" w:w="100"/>
            </w:tcMar>
          </w:tcPr>
          <w:p>
            <w:r>
              <w:rPr>
                <w:b w:val="false"/>
                <w:bCs w:val="false"/>
              </w:rPr>
              <w:t xml:space="preserve">S_ACC_ID / S_CURR_CD / S_AMT</w:t>
            </w:r>
          </w:p>
        </w:tc>
        <w:tc>
          <w:tcPr>
            <w:tcW w:type="dxa" w:w="5799"/>
            <w:tcMar>
              <w:top w:type="dxa" w:w="60"/>
              <w:left w:type="dxa" w:w="100"/>
              <w:bottom w:type="dxa" w:w="60"/>
              <w:right w:type="dxa" w:w="100"/>
            </w:tcMar>
          </w:tcPr>
          <w:p>
            <w:r>
              <w:rPr>
                <w:b w:val="false"/>
                <w:bCs w:val="false"/>
              </w:rPr>
              <w:t xml:space="preserve">Source (debit) account, currency, amount</w:t>
            </w:r>
          </w:p>
        </w:tc>
      </w:tr>
      <w:tr>
        <w:tc>
          <w:tcPr>
            <w:tcW w:type="dxa" w:w="916"/>
            <w:tcMar>
              <w:top w:type="dxa" w:w="60"/>
              <w:left w:type="dxa" w:w="100"/>
              <w:bottom w:type="dxa" w:w="60"/>
              <w:right w:type="dxa" w:w="100"/>
            </w:tcMar>
          </w:tcPr>
          <w:p>
            <w:r>
              <w:rPr>
                <w:b w:val="false"/>
                <w:bCs w:val="false"/>
              </w:rPr>
              <w:t xml:space="preserve">6</w:t>
            </w:r>
          </w:p>
        </w:tc>
        <w:tc>
          <w:tcPr>
            <w:tcW w:type="dxa" w:w="2645"/>
            <w:tcMar>
              <w:top w:type="dxa" w:w="60"/>
              <w:left w:type="dxa" w:w="100"/>
              <w:bottom w:type="dxa" w:w="60"/>
              <w:right w:type="dxa" w:w="100"/>
            </w:tcMar>
          </w:tcPr>
          <w:p>
            <w:r>
              <w:rPr>
                <w:b w:val="false"/>
                <w:bCs w:val="false"/>
              </w:rPr>
              <w:t xml:space="preserve">S_NARR_DTLS</w:t>
            </w:r>
          </w:p>
        </w:tc>
        <w:tc>
          <w:tcPr>
            <w:tcW w:type="dxa" w:w="5799"/>
            <w:tcMar>
              <w:top w:type="dxa" w:w="60"/>
              <w:left w:type="dxa" w:w="100"/>
              <w:bottom w:type="dxa" w:w="60"/>
              <w:right w:type="dxa" w:w="100"/>
            </w:tcMar>
          </w:tcPr>
          <w:p>
            <w:r>
              <w:rPr>
                <w:b w:val="false"/>
                <w:bCs w:val="false"/>
              </w:rPr>
              <w:t xml:space="preserve">Source narrative</w:t>
            </w:r>
          </w:p>
        </w:tc>
      </w:tr>
      <w:tr>
        <w:tc>
          <w:tcPr>
            <w:tcW w:type="dxa" w:w="916"/>
            <w:tcMar>
              <w:top w:type="dxa" w:w="60"/>
              <w:left w:type="dxa" w:w="100"/>
              <w:bottom w:type="dxa" w:w="60"/>
              <w:right w:type="dxa" w:w="100"/>
            </w:tcMar>
          </w:tcPr>
          <w:p>
            <w:r>
              <w:rPr>
                <w:b w:val="false"/>
                <w:bCs w:val="false"/>
              </w:rPr>
              <w:t xml:space="preserve">7 / 8 / 9</w:t>
            </w:r>
          </w:p>
        </w:tc>
        <w:tc>
          <w:tcPr>
            <w:tcW w:type="dxa" w:w="2645"/>
            <w:tcMar>
              <w:top w:type="dxa" w:w="60"/>
              <w:left w:type="dxa" w:w="100"/>
              <w:bottom w:type="dxa" w:w="60"/>
              <w:right w:type="dxa" w:w="100"/>
            </w:tcMar>
          </w:tcPr>
          <w:p>
            <w:r>
              <w:rPr>
                <w:b w:val="false"/>
                <w:bCs w:val="false"/>
              </w:rPr>
              <w:t xml:space="preserve">T_ACC_ID / T_CURR_CD / T_AMT</w:t>
            </w:r>
          </w:p>
        </w:tc>
        <w:tc>
          <w:tcPr>
            <w:tcW w:type="dxa" w:w="5799"/>
            <w:tcMar>
              <w:top w:type="dxa" w:w="60"/>
              <w:left w:type="dxa" w:w="100"/>
              <w:bottom w:type="dxa" w:w="60"/>
              <w:right w:type="dxa" w:w="100"/>
            </w:tcMar>
          </w:tcPr>
          <w:p>
            <w:r>
              <w:rPr>
                <w:b w:val="false"/>
                <w:bCs w:val="false"/>
              </w:rPr>
              <w:t xml:space="preserve">Target (credit) account, currency, amount — T_ACC_ID gets silently REPLACED with a fixed GL account in the card-settlement branch, and REPLACED again with an IPN-specific credit account in the IPN branch — the caller's original value is not always what actually gets credited</w:t>
            </w:r>
          </w:p>
        </w:tc>
      </w:tr>
      <w:tr>
        <w:tc>
          <w:tcPr>
            <w:tcW w:type="dxa" w:w="916"/>
            <w:tcMar>
              <w:top w:type="dxa" w:w="60"/>
              <w:left w:type="dxa" w:w="100"/>
              <w:bottom w:type="dxa" w:w="60"/>
              <w:right w:type="dxa" w:w="100"/>
            </w:tcMar>
          </w:tcPr>
          <w:p>
            <w:r>
              <w:rPr>
                <w:b w:val="false"/>
                <w:bCs w:val="false"/>
              </w:rPr>
              <w:t xml:space="preserve">10</w:t>
            </w:r>
          </w:p>
        </w:tc>
        <w:tc>
          <w:tcPr>
            <w:tcW w:type="dxa" w:w="2645"/>
            <w:tcMar>
              <w:top w:type="dxa" w:w="60"/>
              <w:left w:type="dxa" w:w="100"/>
              <w:bottom w:type="dxa" w:w="60"/>
              <w:right w:type="dxa" w:w="100"/>
            </w:tcMar>
          </w:tcPr>
          <w:p>
            <w:r>
              <w:rPr>
                <w:b w:val="false"/>
                <w:bCs w:val="false"/>
              </w:rPr>
              <w:t xml:space="preserve">T_NARR_DTLS</w:t>
            </w:r>
          </w:p>
        </w:tc>
        <w:tc>
          <w:tcPr>
            <w:tcW w:type="dxa" w:w="5799"/>
            <w:tcMar>
              <w:top w:type="dxa" w:w="60"/>
              <w:left w:type="dxa" w:w="100"/>
              <w:bottom w:type="dxa" w:w="60"/>
              <w:right w:type="dxa" w:w="100"/>
            </w:tcMar>
          </w:tcPr>
          <w:p>
            <w:r>
              <w:rPr>
                <w:b w:val="false"/>
                <w:bCs w:val="false"/>
              </w:rPr>
              <w:t xml:space="preserve">Target narrative — also checked for the literal text 'Charity Payment' to trigger the CHAR transaction type</w:t>
            </w:r>
          </w:p>
        </w:tc>
      </w:tr>
      <w:tr>
        <w:tc>
          <w:tcPr>
            <w:tcW w:type="dxa" w:w="916"/>
            <w:tcMar>
              <w:top w:type="dxa" w:w="60"/>
              <w:left w:type="dxa" w:w="100"/>
              <w:bottom w:type="dxa" w:w="60"/>
              <w:right w:type="dxa" w:w="100"/>
            </w:tcMar>
          </w:tcPr>
          <w:p>
            <w:r>
              <w:rPr>
                <w:b w:val="false"/>
                <w:bCs w:val="false"/>
              </w:rPr>
              <w:t xml:space="preserve">11 / 12</w:t>
            </w:r>
          </w:p>
        </w:tc>
        <w:tc>
          <w:tcPr>
            <w:tcW w:type="dxa" w:w="2645"/>
            <w:tcMar>
              <w:top w:type="dxa" w:w="60"/>
              <w:left w:type="dxa" w:w="100"/>
              <w:bottom w:type="dxa" w:w="60"/>
              <w:right w:type="dxa" w:w="100"/>
            </w:tcMar>
          </w:tcPr>
          <w:p>
            <w:r>
              <w:rPr>
                <w:b w:val="false"/>
                <w:bCs w:val="false"/>
              </w:rPr>
              <w:t xml:space="preserve">BEN_NAME / BEN_ACC</w:t>
            </w:r>
          </w:p>
        </w:tc>
        <w:tc>
          <w:tcPr>
            <w:tcW w:type="dxa" w:w="5799"/>
            <w:tcMar>
              <w:top w:type="dxa" w:w="60"/>
              <w:left w:type="dxa" w:w="100"/>
              <w:bottom w:type="dxa" w:w="60"/>
              <w:right w:type="dxa" w:w="100"/>
            </w:tcMar>
          </w:tcPr>
          <w:p>
            <w:r>
              <w:rPr>
                <w:b w:val="false"/>
                <w:bCs w:val="false"/>
              </w:rPr>
              <w:t xml:space="preserve">Beneficiary name and account — BEN_ACC's length and leading digits (16-char starting 4/5 = card; 11-char starting 010/011/012/015 = mobile wallet) drive IPN routing decisions</w:t>
            </w:r>
          </w:p>
        </w:tc>
      </w:tr>
      <w:tr>
        <w:tc>
          <w:tcPr>
            <w:tcW w:type="dxa" w:w="916"/>
            <w:tcMar>
              <w:top w:type="dxa" w:w="60"/>
              <w:left w:type="dxa" w:w="100"/>
              <w:bottom w:type="dxa" w:w="60"/>
              <w:right w:type="dxa" w:w="100"/>
            </w:tcMar>
          </w:tcPr>
          <w:p>
            <w:r>
              <w:rPr>
                <w:b w:val="false"/>
                <w:bCs w:val="false"/>
              </w:rPr>
              <w:t xml:space="preserve">13</w:t>
            </w:r>
          </w:p>
        </w:tc>
        <w:tc>
          <w:tcPr>
            <w:tcW w:type="dxa" w:w="2645"/>
            <w:tcMar>
              <w:top w:type="dxa" w:w="60"/>
              <w:left w:type="dxa" w:w="100"/>
              <w:bottom w:type="dxa" w:w="60"/>
              <w:right w:type="dxa" w:w="100"/>
            </w:tcMar>
          </w:tcPr>
          <w:p>
            <w:r>
              <w:rPr>
                <w:b w:val="false"/>
                <w:bCs w:val="false"/>
              </w:rPr>
              <w:t xml:space="preserve">BEN.ADD (dot-named, inconsistent with surrounding underscore convention)</w:t>
            </w:r>
          </w:p>
        </w:tc>
        <w:tc>
          <w:tcPr>
            <w:tcW w:type="dxa" w:w="5799"/>
            <w:tcMar>
              <w:top w:type="dxa" w:w="60"/>
              <w:left w:type="dxa" w:w="100"/>
              <w:bottom w:type="dxa" w:w="60"/>
              <w:right w:type="dxa" w:w="100"/>
            </w:tcMar>
          </w:tcPr>
          <w:p>
            <w:r>
              <w:rPr>
                <w:b w:val="false"/>
                <w:bCs w:val="false"/>
              </w:rPr>
              <w:t xml:space="preserve">Beneficiary address line, split into 35-char chunks across multiple BEN.CUSTOMER OFS slots</w:t>
            </w:r>
          </w:p>
        </w:tc>
      </w:tr>
      <w:tr>
        <w:tc>
          <w:tcPr>
            <w:tcW w:type="dxa" w:w="916"/>
            <w:tcMar>
              <w:top w:type="dxa" w:w="60"/>
              <w:left w:type="dxa" w:w="100"/>
              <w:bottom w:type="dxa" w:w="60"/>
              <w:right w:type="dxa" w:w="100"/>
            </w:tcMar>
          </w:tcPr>
          <w:p>
            <w:r>
              <w:rPr>
                <w:b w:val="false"/>
                <w:bCs w:val="false"/>
              </w:rPr>
              <w:t xml:space="preserve">14–18</w:t>
            </w:r>
          </w:p>
        </w:tc>
        <w:tc>
          <w:tcPr>
            <w:tcW w:type="dxa" w:w="2645"/>
            <w:tcMar>
              <w:top w:type="dxa" w:w="60"/>
              <w:left w:type="dxa" w:w="100"/>
              <w:bottom w:type="dxa" w:w="60"/>
              <w:right w:type="dxa" w:w="100"/>
            </w:tcMar>
          </w:tcPr>
          <w:p>
            <w:r>
              <w:rPr>
                <w:b w:val="false"/>
                <w:bCs w:val="false"/>
              </w:rPr>
              <w:t xml:space="preserve">BEN_ADDR_1/2/3, BEN_ADDR_CITY, BEN_ADDR_CNTRY</w:t>
            </w:r>
          </w:p>
        </w:tc>
        <w:tc>
          <w:tcPr>
            <w:tcW w:type="dxa" w:w="5799"/>
            <w:tcMar>
              <w:top w:type="dxa" w:w="60"/>
              <w:left w:type="dxa" w:w="100"/>
              <w:bottom w:type="dxa" w:w="60"/>
              <w:right w:type="dxa" w:w="100"/>
            </w:tcMar>
          </w:tcPr>
          <w:p>
            <w:r>
              <w:rPr>
                <w:b w:val="false"/>
                <w:bCs w:val="false"/>
              </w:rPr>
              <w:t xml:space="preserve">Parsed; not clearly referenced downstream in the reviewed logic — consistent with the 'parsed but unused' pattern seen in other services</w:t>
            </w:r>
          </w:p>
        </w:tc>
      </w:tr>
      <w:tr>
        <w:tc>
          <w:tcPr>
            <w:tcW w:type="dxa" w:w="916"/>
            <w:tcMar>
              <w:top w:type="dxa" w:w="60"/>
              <w:left w:type="dxa" w:w="100"/>
              <w:bottom w:type="dxa" w:w="60"/>
              <w:right w:type="dxa" w:w="100"/>
            </w:tcMar>
          </w:tcPr>
          <w:p>
            <w:r>
              <w:rPr>
                <w:b w:val="false"/>
                <w:bCs w:val="false"/>
              </w:rPr>
              <w:t xml:space="preserve">19</w:t>
            </w:r>
          </w:p>
        </w:tc>
        <w:tc>
          <w:tcPr>
            <w:tcW w:type="dxa" w:w="2645"/>
            <w:tcMar>
              <w:top w:type="dxa" w:w="60"/>
              <w:left w:type="dxa" w:w="100"/>
              <w:bottom w:type="dxa" w:w="60"/>
              <w:right w:type="dxa" w:w="100"/>
            </w:tcMar>
          </w:tcPr>
          <w:p>
            <w:r>
              <w:rPr>
                <w:b w:val="false"/>
                <w:bCs w:val="false"/>
              </w:rPr>
              <w:t xml:space="preserve">CHARGE_IND</w:t>
            </w:r>
          </w:p>
        </w:tc>
        <w:tc>
          <w:tcPr>
            <w:tcW w:type="dxa" w:w="5799"/>
            <w:tcMar>
              <w:top w:type="dxa" w:w="60"/>
              <w:left w:type="dxa" w:w="100"/>
              <w:bottom w:type="dxa" w:w="60"/>
              <w:right w:type="dxa" w:w="100"/>
            </w:tcMar>
          </w:tcPr>
          <w:p>
            <w:r>
              <w:rPr>
                <w:b w:val="false"/>
                <w:bCs w:val="false"/>
              </w:rPr>
              <w:t xml:space="preserve">→ becomes BEN_OUR_CHARGES (defaults to 'SHA' if blank), driving commission-code selection</w:t>
            </w:r>
          </w:p>
        </w:tc>
      </w:tr>
      <w:tr>
        <w:tc>
          <w:tcPr>
            <w:tcW w:type="dxa" w:w="916"/>
            <w:tcMar>
              <w:top w:type="dxa" w:w="60"/>
              <w:left w:type="dxa" w:w="100"/>
              <w:bottom w:type="dxa" w:w="60"/>
              <w:right w:type="dxa" w:w="100"/>
            </w:tcMar>
          </w:tcPr>
          <w:p>
            <w:r>
              <w:rPr>
                <w:b w:val="false"/>
                <w:bCs w:val="false"/>
              </w:rPr>
              <w:t xml:space="preserve">20–24</w:t>
            </w:r>
          </w:p>
        </w:tc>
        <w:tc>
          <w:tcPr>
            <w:tcW w:type="dxa" w:w="2645"/>
            <w:tcMar>
              <w:top w:type="dxa" w:w="60"/>
              <w:left w:type="dxa" w:w="100"/>
              <w:bottom w:type="dxa" w:w="60"/>
              <w:right w:type="dxa" w:w="100"/>
            </w:tcMar>
          </w:tcPr>
          <w:p>
            <w:r>
              <w:rPr>
                <w:b w:val="false"/>
                <w:bCs w:val="false"/>
              </w:rPr>
              <w:t xml:space="preserve">BEN_BK_NAME, BEN_BIC_CD, BEN_BK_SORT_CD, BEN_BK_BRANCH, BEN_BK_BRN_CD</w:t>
            </w:r>
          </w:p>
        </w:tc>
        <w:tc>
          <w:tcPr>
            <w:tcW w:type="dxa" w:w="5799"/>
            <w:tcMar>
              <w:top w:type="dxa" w:w="60"/>
              <w:left w:type="dxa" w:w="100"/>
              <w:bottom w:type="dxa" w:w="60"/>
              <w:right w:type="dxa" w:w="100"/>
            </w:tcMar>
          </w:tcPr>
          <w:p>
            <w:r>
              <w:rPr>
                <w:b w:val="false"/>
                <w:bCs w:val="false"/>
              </w:rPr>
              <w:t xml:space="preserve">Beneficiary bank details — BEN_BK_SORT_CD is the key field: prefixed with 'SW-' and used for IPN bank-matching, DE.BIC country lookups, and the 14-character-length auto-authorization test</w:t>
            </w:r>
          </w:p>
        </w:tc>
      </w:tr>
      <w:tr>
        <w:tc>
          <w:tcPr>
            <w:tcW w:type="dxa" w:w="916"/>
            <w:tcMar>
              <w:top w:type="dxa" w:w="60"/>
              <w:left w:type="dxa" w:w="100"/>
              <w:bottom w:type="dxa" w:w="60"/>
              <w:right w:type="dxa" w:w="100"/>
            </w:tcMar>
          </w:tcPr>
          <w:p>
            <w:r>
              <w:rPr>
                <w:b w:val="false"/>
                <w:bCs w:val="false"/>
              </w:rPr>
              <w:t xml:space="preserve">25</w:t>
            </w:r>
          </w:p>
        </w:tc>
        <w:tc>
          <w:tcPr>
            <w:tcW w:type="dxa" w:w="2645"/>
            <w:tcMar>
              <w:top w:type="dxa" w:w="60"/>
              <w:left w:type="dxa" w:w="100"/>
              <w:bottom w:type="dxa" w:w="60"/>
              <w:right w:type="dxa" w:w="100"/>
            </w:tcMar>
          </w:tcPr>
          <w:p>
            <w:r>
              <w:rPr>
                <w:b w:val="false"/>
                <w:bCs w:val="false"/>
              </w:rPr>
              <w:t xml:space="preserve">BEN_NARRATIVE</w:t>
            </w:r>
          </w:p>
        </w:tc>
        <w:tc>
          <w:tcPr>
            <w:tcW w:type="dxa" w:w="5799"/>
            <w:tcMar>
              <w:top w:type="dxa" w:w="60"/>
              <w:left w:type="dxa" w:w="100"/>
              <w:bottom w:type="dxa" w:w="60"/>
              <w:right w:type="dxa" w:w="100"/>
            </w:tcMar>
          </w:tcPr>
          <w:p>
            <w:r>
              <w:rPr>
                <w:b w:val="false"/>
                <w:bCs w:val="false"/>
              </w:rPr>
              <w:t xml:space="preserve">Checked for embedded '?' characters as an Arabic-text/authorization-flag trigger (see §4.6)</w:t>
            </w:r>
          </w:p>
        </w:tc>
      </w:tr>
      <w:tr>
        <w:tc>
          <w:tcPr>
            <w:tcW w:type="dxa" w:w="916"/>
            <w:tcMar>
              <w:top w:type="dxa" w:w="60"/>
              <w:left w:type="dxa" w:w="100"/>
              <w:bottom w:type="dxa" w:w="60"/>
              <w:right w:type="dxa" w:w="100"/>
            </w:tcMar>
          </w:tcPr>
          <w:p>
            <w:r>
              <w:rPr>
                <w:b w:val="false"/>
                <w:bCs w:val="false"/>
              </w:rPr>
              <w:t xml:space="preserve">26 / 27 / 28</w:t>
            </w:r>
          </w:p>
        </w:tc>
        <w:tc>
          <w:tcPr>
            <w:tcW w:type="dxa" w:w="2645"/>
            <w:tcMar>
              <w:top w:type="dxa" w:w="60"/>
              <w:left w:type="dxa" w:w="100"/>
              <w:bottom w:type="dxa" w:w="60"/>
              <w:right w:type="dxa" w:w="100"/>
            </w:tcMar>
          </w:tcPr>
          <w:p>
            <w:r>
              <w:rPr>
                <w:b w:val="false"/>
                <w:bCs w:val="false"/>
              </w:rPr>
              <w:t xml:space="preserve">UTIL_COMPANY / UTIL_ACC / BILL_REF</w:t>
            </w:r>
          </w:p>
        </w:tc>
        <w:tc>
          <w:tcPr>
            <w:tcW w:type="dxa" w:w="5799"/>
            <w:tcMar>
              <w:top w:type="dxa" w:w="60"/>
              <w:left w:type="dxa" w:w="100"/>
              <w:bottom w:type="dxa" w:w="60"/>
              <w:right w:type="dxa" w:w="100"/>
            </w:tcMar>
          </w:tcPr>
          <w:p>
            <w:r>
              <w:rPr>
                <w:b w:val="false"/>
                <w:bCs w:val="false"/>
              </w:rPr>
              <w:t xml:space="preserve">Utility-bill-payment fields — confirms this is a shared payment schema; UTIL_COMPANY='CHARITY' is the primary trigger for the CHAR transaction type</w:t>
            </w:r>
          </w:p>
        </w:tc>
      </w:tr>
      <w:tr>
        <w:tc>
          <w:tcPr>
            <w:tcW w:type="dxa" w:w="916"/>
            <w:tcMar>
              <w:top w:type="dxa" w:w="60"/>
              <w:left w:type="dxa" w:w="100"/>
              <w:bottom w:type="dxa" w:w="60"/>
              <w:right w:type="dxa" w:w="100"/>
            </w:tcMar>
          </w:tcPr>
          <w:p>
            <w:r>
              <w:rPr>
                <w:b w:val="false"/>
                <w:bCs w:val="false"/>
              </w:rPr>
              <w:t xml:space="preserve">29 / 30</w:t>
            </w:r>
          </w:p>
        </w:tc>
        <w:tc>
          <w:tcPr>
            <w:tcW w:type="dxa" w:w="2645"/>
            <w:tcMar>
              <w:top w:type="dxa" w:w="60"/>
              <w:left w:type="dxa" w:w="100"/>
              <w:bottom w:type="dxa" w:w="60"/>
              <w:right w:type="dxa" w:w="100"/>
            </w:tcMar>
          </w:tcPr>
          <w:p>
            <w:r>
              <w:rPr>
                <w:b w:val="false"/>
                <w:bCs w:val="false"/>
              </w:rPr>
              <w:t xml:space="preserve">TXN_AMT / TXN_CURR</w:t>
            </w:r>
          </w:p>
        </w:tc>
        <w:tc>
          <w:tcPr>
            <w:tcW w:type="dxa" w:w="5799"/>
            <w:tcMar>
              <w:top w:type="dxa" w:w="60"/>
              <w:left w:type="dxa" w:w="100"/>
              <w:bottom w:type="dxa" w:w="60"/>
              <w:right w:type="dxa" w:w="100"/>
            </w:tcMar>
          </w:tcPr>
          <w:p>
            <w:r>
              <w:rPr>
                <w:b w:val="false"/>
                <w:bCs w:val="false"/>
              </w:rPr>
              <w:t xml:space="preserve">Present in the schema but not clearly referenced by variable name anywhere in the reviewed logic — likely a display/echo pair the upstream adapter uses, not consumed by this routine's own processing</w:t>
            </w:r>
          </w:p>
        </w:tc>
      </w:tr>
    </w:tbl>
    <w:p>
      <w:pPr>
        <w:pStyle w:val="Heading1"/>
        <w:pBdr>
          <w:bottom w:val="single" w:color="2E5395" w:sz="6" w:space="4"/>
        </w:pBdr>
        <w:spacing w:after="150" w:before="300"/>
      </w:pPr>
      <w:r>
        <w:t xml:space="preserve">14. Open Questions / Assumptions for the Team</w:t>
      </w:r>
    </w:p>
    <w:p>
      <w:pPr>
        <w:pStyle w:val="ListParagraph"/>
        <w:numPr>
          <w:ilvl w:val="0"/>
          <w:numId w:val="1"/>
        </w:numPr>
        <w:spacing w:after="60"/>
      </w:pPr>
      <w:r>
        <w:t xml:space="preserve">Is the OT03/'invalid IBAN' default (§4.3) an intentional channel policy, or does it need correction?</w:t>
      </w:r>
    </w:p>
    <w:p>
      <w:pPr>
        <w:pStyle w:val="ListParagraph"/>
        <w:numPr>
          <w:ilvl w:val="0"/>
          <w:numId w:val="1"/>
        </w:numPr>
        <w:spacing w:after="60"/>
      </w:pPr>
      <w:r>
        <w:t xml:space="preserve">What are the exact current amount thresholds and parameter values in F.CIB.MCP.PARAMS for each context (CR2.SYS, IPN.CARD, IPN.MEZZA, IPN.ACC, CR2.MEZA)? These are business-critical numbers not visible in the code itself.</w:t>
      </w:r>
    </w:p>
    <w:p>
      <w:pPr>
        <w:pStyle w:val="ListParagraph"/>
        <w:numPr>
          <w:ilvl w:val="0"/>
          <w:numId w:val="1"/>
        </w:numPr>
        <w:spacing w:after="60"/>
      </w:pPr>
      <w:r>
        <w:t xml:space="preserve">Why does this routine maintain its own CR2.FT.REPORT audit table in addition to the shared CIB.API.FT table — is CR2.FT.REPORT relied upon by CR2's own middleware/reporting outside of T24, making it a genuine external dependency rather than pure internal redundancy?</w:t>
      </w:r>
    </w:p>
    <w:p>
      <w:pPr>
        <w:pStyle w:val="ListParagraph"/>
        <w:numPr>
          <w:ilvl w:val="0"/>
          <w:numId w:val="1"/>
        </w:numPr>
        <w:spacing w:after="60"/>
      </w:pPr>
      <w:r>
        <w:t xml:space="preserve">Should the OFS.POST.MESSAGE inline-authorization mechanism (§6) be retired in favor of routing through Authorise FT (Document 04) directly, now that both are confirmed to share the same OFS.SERVICE2 context?</w:t>
      </w:r>
    </w:p>
    <w:p>
      <w:pPr>
        <w:pStyle w:val="ListParagraph"/>
        <w:numPr>
          <w:ilvl w:val="0"/>
          <w:numId w:val="1"/>
        </w:numPr>
        <w:spacing w:after="60"/>
      </w:pPr>
      <w:r>
        <w:t xml:space="preserve">Are the three override-classification mechanisms (§4.7) known to be kept in sync today, or is there evidence of drift (e.g. an override handled differently depending on which code path encounters it)?</w:t>
      </w:r>
    </w:p>
    <w:p>
      <w:pPr>
        <w:pStyle w:val="ListParagraph"/>
        <w:numPr>
          <w:ilvl w:val="0"/>
          <w:numId w:val="1"/>
        </w:numPr>
        <w:spacing w:after="60"/>
      </w:pPr>
      <w:r>
        <w:t xml:space="preserve">What does field 29/30 (TXN_AMT/TXN_CURR) actually get used for, given no clear reference was found in this routine's own logic?</w:t>
      </w:r>
    </w:p>
    <w:p>
      <w:pPr>
        <w:pStyle w:val="ListParagraph"/>
        <w:numPr>
          <w:ilvl w:val="0"/>
          <w:numId w:val="1"/>
        </w:numPr>
        <w:spacing w:after="60"/>
      </w:pPr>
      <w:r>
        <w:t xml:space="preserve">Can additional real samples be obtained for the OT03, card-settlement, IPN, and charity branches to validate this document's analysis the way the internal-transfer branch was validated in §8?</w:t>
      </w:r>
    </w:p>
    <w:p>
      <w:pPr>
        <w:pStyle w:val="Heading1"/>
        <w:pBdr>
          <w:bottom w:val="single" w:color="2E5395" w:sz="6" w:space="4"/>
        </w:pBdr>
        <w:spacing w:after="150" w:before="300"/>
      </w:pPr>
      <w:r>
        <w:t xml:space="preserve">15. Review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8"/>
        <w:gridCol w:w="2123"/>
        <w:gridCol w:w="1737"/>
        <w:gridCol w:w="2412"/>
      </w:tblGrid>
      <w:tr>
        <w:trPr>
          <w:tblHeader/>
        </w:trPr>
        <w:tc>
          <w:tcPr>
            <w:tcW w:type="dxa" w:w="3088"/>
            <w:shd w:fill="2E5395" w:val="clear"/>
            <w:tcMar>
              <w:top w:type="dxa" w:w="80"/>
              <w:left w:type="dxa" w:w="100"/>
              <w:bottom w:type="dxa" w:w="80"/>
              <w:right w:type="dxa" w:w="100"/>
            </w:tcMar>
          </w:tcPr>
          <w:p>
            <w:r>
              <w:rPr>
                <w:b/>
                <w:bCs/>
                <w:color w:val="FFFFFF"/>
              </w:rPr>
              <w:t xml:space="preserve">Role</w:t>
            </w:r>
          </w:p>
        </w:tc>
        <w:tc>
          <w:tcPr>
            <w:tcW w:type="dxa" w:w="2123"/>
            <w:shd w:fill="2E5395" w:val="clear"/>
            <w:tcMar>
              <w:top w:type="dxa" w:w="80"/>
              <w:left w:type="dxa" w:w="100"/>
              <w:bottom w:type="dxa" w:w="80"/>
              <w:right w:type="dxa" w:w="100"/>
            </w:tcMar>
          </w:tcPr>
          <w:p>
            <w:r>
              <w:rPr>
                <w:b/>
                <w:bCs/>
                <w:color w:val="FFFFFF"/>
              </w:rPr>
              <w:t xml:space="preserve">Name</w:t>
            </w:r>
          </w:p>
        </w:tc>
        <w:tc>
          <w:tcPr>
            <w:tcW w:type="dxa" w:w="1737"/>
            <w:shd w:fill="2E5395" w:val="clear"/>
            <w:tcMar>
              <w:top w:type="dxa" w:w="80"/>
              <w:left w:type="dxa" w:w="100"/>
              <w:bottom w:type="dxa" w:w="80"/>
              <w:right w:type="dxa" w:w="100"/>
            </w:tcMar>
          </w:tcPr>
          <w:p>
            <w:r>
              <w:rPr>
                <w:b/>
                <w:bCs/>
                <w:color w:val="FFFFFF"/>
              </w:rPr>
              <w:t xml:space="preserve">Date</w:t>
            </w:r>
          </w:p>
        </w:tc>
        <w:tc>
          <w:tcPr>
            <w:tcW w:type="dxa" w:w="2412"/>
            <w:shd w:fill="2E5395" w:val="clear"/>
            <w:tcMar>
              <w:top w:type="dxa" w:w="80"/>
              <w:left w:type="dxa" w:w="100"/>
              <w:bottom w:type="dxa" w:w="80"/>
              <w:right w:type="dxa" w:w="100"/>
            </w:tcMar>
          </w:tcPr>
          <w:p>
            <w:r>
              <w:rPr>
                <w:b/>
                <w:bCs/>
                <w:color w:val="FFFFFF"/>
              </w:rPr>
              <w:t xml:space="preserve">Comments</w:t>
            </w:r>
          </w:p>
        </w:tc>
      </w:tr>
      <w:tr>
        <w:tc>
          <w:tcPr>
            <w:tcW w:type="dxa" w:w="3088"/>
            <w:tcMar>
              <w:top w:type="dxa" w:w="60"/>
              <w:left w:type="dxa" w:w="100"/>
              <w:bottom w:type="dxa" w:w="60"/>
              <w:right w:type="dxa" w:w="100"/>
            </w:tcMar>
          </w:tcPr>
          <w:p>
            <w:r>
              <w:rPr>
                <w:b w:val="false"/>
                <w:bCs w:val="false"/>
              </w:rPr>
              <w:t xml:space="preserve">Prepared by</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T24 Technical Reviewer</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TPH/IRIS Solution Architect</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Business/Product Owner (Digital Channels)</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Compliance/Controls (KYC, domestic-currency-control guard)</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CR2 Integration SME</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888888"/>
        <w:sz w:val="16"/>
        <w:szCs w:val="16"/>
      </w:rPr>
      <w:t xml:space="preserve">Service Analysis — DXP Execute Payment (DXPFT)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2026-09-02T19:55:07.414Z</dcterms:created>
  <dcterms:modified xsi:type="dcterms:W3CDTF">2026-09-02T19:55:07.426Z</dcterms:modified>
</cp:coreProperties>
</file>

<file path=docProps/custom.xml><?xml version="1.0" encoding="utf-8"?>
<Properties xmlns="http://schemas.openxmlformats.org/officeDocument/2006/custom-properties" xmlns:vt="http://schemas.openxmlformats.org/officeDocument/2006/docPropsVTypes"/>
</file>