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color w:val="1F3864"/>
          <w:sz w:val="34"/>
          <w:szCs w:val="34"/>
        </w:rPr>
        <w:t xml:space="preserve">Consolidated Migration Findings</w:t>
      </w:r>
    </w:p>
    <w:p>
      <w:pPr>
        <w:spacing w:after="300"/>
      </w:pPr>
      <w:r>
        <w:rPr>
          <w:i/>
          <w:iCs/>
          <w:color w:val="555555"/>
          <w:sz w:val="22"/>
          <w:szCs w:val="22"/>
        </w:rPr>
        <w:t xml:space="preserve">Business Validation Pack &amp; Vendor Change Request Package</w:t>
      </w:r>
    </w:p>
    <w:p>
      <w:pPr>
        <w:spacing w:after="60"/>
      </w:pPr>
      <w:r>
        <w:rPr>
          <w:b/>
          <w:bCs/>
        </w:rPr>
        <w:t xml:space="preserve">Covers: </w:t>
      </w:r>
      <w:r>
        <w:t xml:space="preserve">9 source documents — Documents 01 through 09 of the T24 R20 → TPH R25 / FT → IRIS Migration Audit Programme</w:t>
      </w:r>
    </w:p>
    <w:p>
      <w:pPr>
        <w:spacing w:after="60"/>
      </w:pPr>
      <w:r>
        <w:rPr>
          <w:b/>
          <w:bCs/>
        </w:rPr>
        <w:t xml:space="preserve">Services Covered: </w:t>
      </w:r>
      <w:r>
        <w:t xml:space="preserve">Create Outward Transfer (1006), Simulate Fees &amp; Calculate Commission (FT08), Amend Outward Transfer (1012), Authorise FT (SC02), Create Nostro Transfer (NA02), Get FT Details (1026), DXP Execute Payment (DXPFT), plus the cross-cutting VASCO/SMS fraud-logging and notification chain</w:t>
      </w:r>
    </w:p>
    <w:p>
      <w:pPr>
        <w:spacing w:after="60"/>
      </w:pPr>
      <w:r>
        <w:rPr>
          <w:b/>
          <w:bCs/>
        </w:rPr>
        <w:t xml:space="preserve">Purpose: </w:t>
      </w:r>
      <w:r>
        <w:t xml:space="preserve">To separate confirmed code defects (vendor's existing responsibility, not billable) from genuine business decisions and genuine new/changed scope for the TPH/IRIS build (legitimately billable as a Change Request)</w:t>
      </w:r>
    </w:p>
    <w:p>
      <w:pPr>
        <w:spacing w:after="60"/>
      </w:pPr>
      <w:r>
        <w:rPr>
          <w:b/>
          <w:bCs/>
        </w:rPr>
        <w:t xml:space="preserve">Prepared: </w:t>
      </w:r>
      <w:r>
        <w:t xml:space="preserve">25-Aug-2026 to 17-Sep-2026, across the full service-by-service code review programme</w:t>
      </w:r>
    </w:p>
    <w:p>
      <w:pPr>
        <w:pStyle w:val="Heading1"/>
        <w:pBdr>
          <w:bottom w:val="single" w:color="2E5395" w:sz="6" w:space="4"/>
        </w:pBdr>
        <w:spacing w:after="150" w:before="300"/>
      </w:pPr>
      <w:r>
        <w:t xml:space="preserve">1. Purpose of This Document</w:t>
      </w:r>
    </w:p>
    <w:p>
      <w:pPr>
        <w:spacing w:after="120"/>
      </w:pPr>
      <w:r>
        <w:t xml:space="preserve">This document exists to do two things in sequence:</w:t>
      </w:r>
    </w:p>
    <w:p>
      <w:pPr>
        <w:pStyle w:val="ListParagraph"/>
        <w:numPr>
          <w:ilvl w:val="0"/>
          <w:numId w:val="1"/>
        </w:numPr>
        <w:spacing w:after="60"/>
      </w:pPr>
      <w:r>
        <w:t xml:space="preserve">First, give you a single working document to sit down with the business and validate every open question, assumption, and behavioral finding surfaced across the nine detailed service analyses — so that what eventually goes to the vendor reflects the business's actual decisions, not just the audit team's technical observations.</w:t>
      </w:r>
    </w:p>
    <w:p>
      <w:pPr>
        <w:pStyle w:val="ListParagraph"/>
        <w:numPr>
          <w:ilvl w:val="0"/>
          <w:numId w:val="1"/>
        </w:numPr>
        <w:spacing w:after="60"/>
      </w:pPr>
      <w:r>
        <w:t xml:space="preserve">Second, once validated, convert directly into a formally structured Change Request package you can hand to the vendor — one that clearly separates what the vendor should already be responsible for fixing (defects in their own delivered code) from what constitutes genuinely new or changed scope for the TPH/IRIS migration (which is fair to charge for).</w:t>
      </w:r>
    </w:p>
    <w:p>
      <w:pPr>
        <w:spacing w:after="120"/>
      </w:pPr>
      <w:r>
        <w:rPr>
          <w:color w:val="C00000"/>
        </w:rPr>
        <w:t xml:space="preserve">The distinction in the second point matters commercially: if this separation isn't made explicit up front, a vendor will often price every finding in this document as new billable scope — including things that are simply bugs in code they already delivered and are contractually obligated to support. Sections 3 and 5 below are built specifically to prevent that.</w:t>
      </w:r>
    </w:p>
    <w:p>
      <w:pPr>
        <w:pStyle w:val="Heading1"/>
        <w:pBdr>
          <w:bottom w:val="single" w:color="2E5395" w:sz="6" w:space="4"/>
        </w:pBdr>
        <w:spacing w:after="150" w:before="300"/>
      </w:pPr>
      <w:r>
        <w:t xml:space="preserve">2. Programme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2434"/>
        <w:gridCol w:w="1310"/>
        <w:gridCol w:w="2434"/>
        <w:gridCol w:w="2527"/>
      </w:tblGrid>
      <w:tr>
        <w:trPr>
          <w:tblHeader/>
        </w:trPr>
        <w:tc>
          <w:tcPr>
            <w:tcW w:type="dxa" w:w="655"/>
            <w:shd w:fill="2E5395" w:val="clear"/>
            <w:tcMar>
              <w:top w:type="dxa" w:w="80"/>
              <w:left w:type="dxa" w:w="100"/>
              <w:bottom w:type="dxa" w:w="80"/>
              <w:right w:type="dxa" w:w="100"/>
            </w:tcMar>
          </w:tcPr>
          <w:p>
            <w:r>
              <w:rPr>
                <w:b/>
                <w:bCs/>
                <w:color w:val="FFFFFF"/>
              </w:rPr>
              <w:t xml:space="preserve">Doc</w:t>
            </w:r>
          </w:p>
        </w:tc>
        <w:tc>
          <w:tcPr>
            <w:tcW w:type="dxa" w:w="2434"/>
            <w:shd w:fill="2E5395" w:val="clear"/>
            <w:tcMar>
              <w:top w:type="dxa" w:w="80"/>
              <w:left w:type="dxa" w:w="100"/>
              <w:bottom w:type="dxa" w:w="80"/>
              <w:right w:type="dxa" w:w="100"/>
            </w:tcMar>
          </w:tcPr>
          <w:p>
            <w:r>
              <w:rPr>
                <w:b/>
                <w:bCs/>
                <w:color w:val="FFFFFF"/>
              </w:rPr>
              <w:t xml:space="preserve">Service</w:t>
            </w:r>
          </w:p>
        </w:tc>
        <w:tc>
          <w:tcPr>
            <w:tcW w:type="dxa" w:w="1310"/>
            <w:shd w:fill="2E5395" w:val="clear"/>
            <w:tcMar>
              <w:top w:type="dxa" w:w="80"/>
              <w:left w:type="dxa" w:w="100"/>
              <w:bottom w:type="dxa" w:w="80"/>
              <w:right w:type="dxa" w:w="100"/>
            </w:tcMar>
          </w:tcPr>
          <w:p>
            <w:r>
              <w:rPr>
                <w:b/>
                <w:bCs/>
                <w:color w:val="FFFFFF"/>
              </w:rPr>
              <w:t xml:space="preserve">Service ID</w:t>
            </w:r>
          </w:p>
        </w:tc>
        <w:tc>
          <w:tcPr>
            <w:tcW w:type="dxa" w:w="2434"/>
            <w:shd w:fill="2E5395" w:val="clear"/>
            <w:tcMar>
              <w:top w:type="dxa" w:w="80"/>
              <w:left w:type="dxa" w:w="100"/>
              <w:bottom w:type="dxa" w:w="80"/>
              <w:right w:type="dxa" w:w="100"/>
            </w:tcMar>
          </w:tcPr>
          <w:p>
            <w:r>
              <w:rPr>
                <w:b/>
                <w:bCs/>
                <w:color w:val="FFFFFF"/>
              </w:rPr>
              <w:t xml:space="preserve">Routine(s)</w:t>
            </w:r>
          </w:p>
        </w:tc>
        <w:tc>
          <w:tcPr>
            <w:tcW w:type="dxa" w:w="2527"/>
            <w:shd w:fill="2E5395" w:val="clear"/>
            <w:tcMar>
              <w:top w:type="dxa" w:w="80"/>
              <w:left w:type="dxa" w:w="100"/>
              <w:bottom w:type="dxa" w:w="80"/>
              <w:right w:type="dxa" w:w="100"/>
            </w:tcMar>
          </w:tcPr>
          <w:p>
            <w:r>
              <w:rPr>
                <w:b/>
                <w:bCs/>
                <w:color w:val="FFFFFF"/>
              </w:rPr>
              <w:t xml:space="preserve">What It Does</w:t>
            </w:r>
          </w:p>
        </w:tc>
      </w:tr>
      <w:tr>
        <w:tc>
          <w:tcPr>
            <w:tcW w:type="dxa" w:w="655"/>
            <w:tcMar>
              <w:top w:type="dxa" w:w="60"/>
              <w:left w:type="dxa" w:w="100"/>
              <w:bottom w:type="dxa" w:w="60"/>
              <w:right w:type="dxa" w:w="100"/>
            </w:tcMar>
          </w:tcPr>
          <w:p>
            <w:r>
              <w:rPr>
                <w:b w:val="false"/>
                <w:bCs w:val="false"/>
              </w:rPr>
              <w:t xml:space="preserve">01</w:t>
            </w:r>
          </w:p>
        </w:tc>
        <w:tc>
          <w:tcPr>
            <w:tcW w:type="dxa" w:w="2434"/>
            <w:tcMar>
              <w:top w:type="dxa" w:w="60"/>
              <w:left w:type="dxa" w:w="100"/>
              <w:bottom w:type="dxa" w:w="60"/>
              <w:right w:type="dxa" w:w="100"/>
            </w:tcMar>
          </w:tcPr>
          <w:p>
            <w:r>
              <w:rPr>
                <w:b w:val="false"/>
                <w:bCs w:val="false"/>
              </w:rPr>
              <w:t xml:space="preserve">Create Outward Transfer</w:t>
            </w:r>
          </w:p>
        </w:tc>
        <w:tc>
          <w:tcPr>
            <w:tcW w:type="dxa" w:w="1310"/>
            <w:tcMar>
              <w:top w:type="dxa" w:w="60"/>
              <w:left w:type="dxa" w:w="100"/>
              <w:bottom w:type="dxa" w:w="60"/>
              <w:right w:type="dxa" w:w="100"/>
            </w:tcMar>
          </w:tcPr>
          <w:p>
            <w:r>
              <w:rPr>
                <w:b w:val="false"/>
                <w:bCs w:val="false"/>
              </w:rPr>
              <w:t xml:space="preserve">1006</w:t>
            </w:r>
          </w:p>
        </w:tc>
        <w:tc>
          <w:tcPr>
            <w:tcW w:type="dxa" w:w="2434"/>
            <w:tcMar>
              <w:top w:type="dxa" w:w="60"/>
              <w:left w:type="dxa" w:w="100"/>
              <w:bottom w:type="dxa" w:w="60"/>
              <w:right w:type="dxa" w:w="100"/>
            </w:tcMar>
          </w:tcPr>
          <w:p>
            <w:r>
              <w:rPr>
                <w:b w:val="false"/>
                <w:bCs w:val="false"/>
              </w:rPr>
              <w:t xml:space="preserve">CIB.OT.FT</w:t>
            </w:r>
          </w:p>
        </w:tc>
        <w:tc>
          <w:tcPr>
            <w:tcW w:type="dxa" w:w="2527"/>
            <w:tcMar>
              <w:top w:type="dxa" w:w="60"/>
              <w:left w:type="dxa" w:w="100"/>
              <w:bottom w:type="dxa" w:w="60"/>
              <w:right w:type="dxa" w:w="100"/>
            </w:tcMar>
          </w:tcPr>
          <w:p>
            <w:r>
              <w:rPr>
                <w:b w:val="false"/>
                <w:bCs w:val="false"/>
              </w:rPr>
              <w:t xml:space="preserve">Core customer outward transfer creation</w:t>
            </w:r>
          </w:p>
        </w:tc>
      </w:tr>
      <w:tr>
        <w:tc>
          <w:tcPr>
            <w:tcW w:type="dxa" w:w="655"/>
            <w:tcMar>
              <w:top w:type="dxa" w:w="60"/>
              <w:left w:type="dxa" w:w="100"/>
              <w:bottom w:type="dxa" w:w="60"/>
              <w:right w:type="dxa" w:w="100"/>
            </w:tcMar>
          </w:tcPr>
          <w:p>
            <w:r>
              <w:rPr>
                <w:b w:val="false"/>
                <w:bCs w:val="false"/>
              </w:rPr>
              <w:t xml:space="preserve">02</w:t>
            </w:r>
          </w:p>
        </w:tc>
        <w:tc>
          <w:tcPr>
            <w:tcW w:type="dxa" w:w="2434"/>
            <w:tcMar>
              <w:top w:type="dxa" w:w="60"/>
              <w:left w:type="dxa" w:w="100"/>
              <w:bottom w:type="dxa" w:w="60"/>
              <w:right w:type="dxa" w:w="100"/>
            </w:tcMar>
          </w:tcPr>
          <w:p>
            <w:r>
              <w:rPr>
                <w:b w:val="false"/>
                <w:bCs w:val="false"/>
              </w:rPr>
              <w:t xml:space="preserve">Simulate Fees &amp; Calculate Commission</w:t>
            </w:r>
          </w:p>
        </w:tc>
        <w:tc>
          <w:tcPr>
            <w:tcW w:type="dxa" w:w="1310"/>
            <w:tcMar>
              <w:top w:type="dxa" w:w="60"/>
              <w:left w:type="dxa" w:w="100"/>
              <w:bottom w:type="dxa" w:w="60"/>
              <w:right w:type="dxa" w:w="100"/>
            </w:tcMar>
          </w:tcPr>
          <w:p>
            <w:r>
              <w:rPr>
                <w:b w:val="false"/>
                <w:bCs w:val="false"/>
              </w:rPr>
              <w:t xml:space="preserve">FT08</w:t>
            </w:r>
          </w:p>
        </w:tc>
        <w:tc>
          <w:tcPr>
            <w:tcW w:type="dxa" w:w="2434"/>
            <w:tcMar>
              <w:top w:type="dxa" w:w="60"/>
              <w:left w:type="dxa" w:w="100"/>
              <w:bottom w:type="dxa" w:w="60"/>
              <w:right w:type="dxa" w:w="100"/>
            </w:tcMar>
          </w:tcPr>
          <w:p>
            <w:r>
              <w:rPr>
                <w:b w:val="false"/>
                <w:bCs w:val="false"/>
              </w:rPr>
              <w:t xml:space="preserve">CIB.SIMULATE.CALC.FT</w:t>
            </w:r>
          </w:p>
        </w:tc>
        <w:tc>
          <w:tcPr>
            <w:tcW w:type="dxa" w:w="2527"/>
            <w:tcMar>
              <w:top w:type="dxa" w:w="60"/>
              <w:left w:type="dxa" w:w="100"/>
              <w:bottom w:type="dxa" w:w="60"/>
              <w:right w:type="dxa" w:w="100"/>
            </w:tcMar>
          </w:tcPr>
          <w:p>
            <w:r>
              <w:rPr>
                <w:b w:val="false"/>
                <w:bCs w:val="false"/>
              </w:rPr>
              <w:t xml:space="preserve">Fee/commission quote before or during a transfer</w:t>
            </w:r>
          </w:p>
        </w:tc>
      </w:tr>
      <w:tr>
        <w:tc>
          <w:tcPr>
            <w:tcW w:type="dxa" w:w="655"/>
            <w:tcMar>
              <w:top w:type="dxa" w:w="60"/>
              <w:left w:type="dxa" w:w="100"/>
              <w:bottom w:type="dxa" w:w="60"/>
              <w:right w:type="dxa" w:w="100"/>
            </w:tcMar>
          </w:tcPr>
          <w:p>
            <w:r>
              <w:rPr>
                <w:b w:val="false"/>
                <w:bCs w:val="false"/>
              </w:rPr>
              <w:t xml:space="preserve">03</w:t>
            </w:r>
          </w:p>
        </w:tc>
        <w:tc>
          <w:tcPr>
            <w:tcW w:type="dxa" w:w="2434"/>
            <w:tcMar>
              <w:top w:type="dxa" w:w="60"/>
              <w:left w:type="dxa" w:w="100"/>
              <w:bottom w:type="dxa" w:w="60"/>
              <w:right w:type="dxa" w:w="100"/>
            </w:tcMar>
          </w:tcPr>
          <w:p>
            <w:r>
              <w:rPr>
                <w:b w:val="false"/>
                <w:bCs w:val="false"/>
              </w:rPr>
              <w:t xml:space="preserve">Amend Outward Transfer</w:t>
            </w:r>
          </w:p>
        </w:tc>
        <w:tc>
          <w:tcPr>
            <w:tcW w:type="dxa" w:w="1310"/>
            <w:tcMar>
              <w:top w:type="dxa" w:w="60"/>
              <w:left w:type="dxa" w:w="100"/>
              <w:bottom w:type="dxa" w:w="60"/>
              <w:right w:type="dxa" w:w="100"/>
            </w:tcMar>
          </w:tcPr>
          <w:p>
            <w:r>
              <w:rPr>
                <w:b w:val="false"/>
                <w:bCs w:val="false"/>
              </w:rPr>
              <w:t xml:space="preserve">1012</w:t>
            </w:r>
          </w:p>
        </w:tc>
        <w:tc>
          <w:tcPr>
            <w:tcW w:type="dxa" w:w="2434"/>
            <w:tcMar>
              <w:top w:type="dxa" w:w="60"/>
              <w:left w:type="dxa" w:w="100"/>
              <w:bottom w:type="dxa" w:w="60"/>
              <w:right w:type="dxa" w:w="100"/>
            </w:tcMar>
          </w:tcPr>
          <w:p>
            <w:r>
              <w:rPr>
                <w:b w:val="false"/>
                <w:bCs w:val="false"/>
              </w:rPr>
              <w:t xml:space="preserve">CIB.AMEND.OT</w:t>
            </w:r>
          </w:p>
        </w:tc>
        <w:tc>
          <w:tcPr>
            <w:tcW w:type="dxa" w:w="2527"/>
            <w:tcMar>
              <w:top w:type="dxa" w:w="60"/>
              <w:left w:type="dxa" w:w="100"/>
              <w:bottom w:type="dxa" w:w="60"/>
              <w:right w:type="dxa" w:w="100"/>
            </w:tcMar>
          </w:tcPr>
          <w:p>
            <w:r>
              <w:rPr>
                <w:b w:val="false"/>
                <w:bCs w:val="false"/>
              </w:rPr>
              <w:t xml:space="preserve">Amend a pending outward transfer</w:t>
            </w:r>
          </w:p>
        </w:tc>
      </w:tr>
      <w:tr>
        <w:tc>
          <w:tcPr>
            <w:tcW w:type="dxa" w:w="655"/>
            <w:tcMar>
              <w:top w:type="dxa" w:w="60"/>
              <w:left w:type="dxa" w:w="100"/>
              <w:bottom w:type="dxa" w:w="60"/>
              <w:right w:type="dxa" w:w="100"/>
            </w:tcMar>
          </w:tcPr>
          <w:p>
            <w:r>
              <w:rPr>
                <w:b w:val="false"/>
                <w:bCs w:val="false"/>
              </w:rPr>
              <w:t xml:space="preserve">04</w:t>
            </w:r>
          </w:p>
        </w:tc>
        <w:tc>
          <w:tcPr>
            <w:tcW w:type="dxa" w:w="2434"/>
            <w:tcMar>
              <w:top w:type="dxa" w:w="60"/>
              <w:left w:type="dxa" w:w="100"/>
              <w:bottom w:type="dxa" w:w="60"/>
              <w:right w:type="dxa" w:w="100"/>
            </w:tcMar>
          </w:tcPr>
          <w:p>
            <w:r>
              <w:rPr>
                <w:b w:val="false"/>
                <w:bCs w:val="false"/>
              </w:rPr>
              <w:t xml:space="preserve">Authorise FT</w:t>
            </w:r>
          </w:p>
        </w:tc>
        <w:tc>
          <w:tcPr>
            <w:tcW w:type="dxa" w:w="1310"/>
            <w:tcMar>
              <w:top w:type="dxa" w:w="60"/>
              <w:left w:type="dxa" w:w="100"/>
              <w:bottom w:type="dxa" w:w="60"/>
              <w:right w:type="dxa" w:w="100"/>
            </w:tcMar>
          </w:tcPr>
          <w:p>
            <w:r>
              <w:rPr>
                <w:b w:val="false"/>
                <w:bCs w:val="false"/>
              </w:rPr>
              <w:t xml:space="preserve">SC02</w:t>
            </w:r>
          </w:p>
        </w:tc>
        <w:tc>
          <w:tcPr>
            <w:tcW w:type="dxa" w:w="2434"/>
            <w:tcMar>
              <w:top w:type="dxa" w:w="60"/>
              <w:left w:type="dxa" w:w="100"/>
              <w:bottom w:type="dxa" w:w="60"/>
              <w:right w:type="dxa" w:w="100"/>
            </w:tcMar>
          </w:tcPr>
          <w:p>
            <w:r>
              <w:rPr>
                <w:b w:val="false"/>
                <w:bCs w:val="false"/>
              </w:rPr>
              <w:t xml:space="preserve">CIB.MSG.AUTHORIZE.SC</w:t>
            </w:r>
          </w:p>
        </w:tc>
        <w:tc>
          <w:tcPr>
            <w:tcW w:type="dxa" w:w="2527"/>
            <w:tcMar>
              <w:top w:type="dxa" w:w="60"/>
              <w:left w:type="dxa" w:w="100"/>
              <w:bottom w:type="dxa" w:w="60"/>
              <w:right w:type="dxa" w:w="100"/>
            </w:tcMar>
          </w:tcPr>
          <w:p>
            <w:r>
              <w:rPr>
                <w:b w:val="false"/>
                <w:bCs w:val="false"/>
              </w:rPr>
              <w:t xml:space="preserve">Maker-checker completion step for any transfer</w:t>
            </w:r>
          </w:p>
        </w:tc>
      </w:tr>
      <w:tr>
        <w:tc>
          <w:tcPr>
            <w:tcW w:type="dxa" w:w="655"/>
            <w:tcMar>
              <w:top w:type="dxa" w:w="60"/>
              <w:left w:type="dxa" w:w="100"/>
              <w:bottom w:type="dxa" w:w="60"/>
              <w:right w:type="dxa" w:w="100"/>
            </w:tcMar>
          </w:tcPr>
          <w:p>
            <w:r>
              <w:rPr>
                <w:b w:val="false"/>
                <w:bCs w:val="false"/>
              </w:rPr>
              <w:t xml:space="preserve">05</w:t>
            </w:r>
          </w:p>
        </w:tc>
        <w:tc>
          <w:tcPr>
            <w:tcW w:type="dxa" w:w="2434"/>
            <w:tcMar>
              <w:top w:type="dxa" w:w="60"/>
              <w:left w:type="dxa" w:w="100"/>
              <w:bottom w:type="dxa" w:w="60"/>
              <w:right w:type="dxa" w:w="100"/>
            </w:tcMar>
          </w:tcPr>
          <w:p>
            <w:r>
              <w:rPr>
                <w:b w:val="false"/>
                <w:bCs w:val="false"/>
              </w:rPr>
              <w:t xml:space="preserve">Create Nostro Transfer</w:t>
            </w:r>
          </w:p>
        </w:tc>
        <w:tc>
          <w:tcPr>
            <w:tcW w:type="dxa" w:w="1310"/>
            <w:tcMar>
              <w:top w:type="dxa" w:w="60"/>
              <w:left w:type="dxa" w:w="100"/>
              <w:bottom w:type="dxa" w:w="60"/>
              <w:right w:type="dxa" w:w="100"/>
            </w:tcMar>
          </w:tcPr>
          <w:p>
            <w:r>
              <w:rPr>
                <w:b w:val="false"/>
                <w:bCs w:val="false"/>
              </w:rPr>
              <w:t xml:space="preserve">NA02</w:t>
            </w:r>
          </w:p>
        </w:tc>
        <w:tc>
          <w:tcPr>
            <w:tcW w:type="dxa" w:w="2434"/>
            <w:tcMar>
              <w:top w:type="dxa" w:w="60"/>
              <w:left w:type="dxa" w:w="100"/>
              <w:bottom w:type="dxa" w:w="60"/>
              <w:right w:type="dxa" w:w="100"/>
            </w:tcMar>
          </w:tcPr>
          <w:p>
            <w:r>
              <w:rPr>
                <w:b w:val="false"/>
                <w:bCs w:val="false"/>
              </w:rPr>
              <w:t xml:space="preserve">CIB.NOSTRO.OT.FT</w:t>
            </w:r>
          </w:p>
        </w:tc>
        <w:tc>
          <w:tcPr>
            <w:tcW w:type="dxa" w:w="2527"/>
            <w:tcMar>
              <w:top w:type="dxa" w:w="60"/>
              <w:left w:type="dxa" w:w="100"/>
              <w:bottom w:type="dxa" w:w="60"/>
              <w:right w:type="dxa" w:w="100"/>
            </w:tcMar>
          </w:tcPr>
          <w:p>
            <w:r>
              <w:rPr>
                <w:b w:val="false"/>
                <w:bCs w:val="false"/>
              </w:rPr>
              <w:t xml:space="preserve">Bank-to-bank / correspondent transfer, create &amp; amend</w:t>
            </w:r>
          </w:p>
        </w:tc>
      </w:tr>
      <w:tr>
        <w:tc>
          <w:tcPr>
            <w:tcW w:type="dxa" w:w="655"/>
            <w:tcMar>
              <w:top w:type="dxa" w:w="60"/>
              <w:left w:type="dxa" w:w="100"/>
              <w:bottom w:type="dxa" w:w="60"/>
              <w:right w:type="dxa" w:w="100"/>
            </w:tcMar>
          </w:tcPr>
          <w:p>
            <w:r>
              <w:rPr>
                <w:b w:val="false"/>
                <w:bCs w:val="false"/>
              </w:rPr>
              <w:t xml:space="preserve">06</w:t>
            </w:r>
          </w:p>
        </w:tc>
        <w:tc>
          <w:tcPr>
            <w:tcW w:type="dxa" w:w="2434"/>
            <w:tcMar>
              <w:top w:type="dxa" w:w="60"/>
              <w:left w:type="dxa" w:w="100"/>
              <w:bottom w:type="dxa" w:w="60"/>
              <w:right w:type="dxa" w:w="100"/>
            </w:tcMar>
          </w:tcPr>
          <w:p>
            <w:r>
              <w:rPr>
                <w:b w:val="false"/>
                <w:bCs w:val="false"/>
              </w:rPr>
              <w:t xml:space="preserve">Get FT Details</w:t>
            </w:r>
          </w:p>
        </w:tc>
        <w:tc>
          <w:tcPr>
            <w:tcW w:type="dxa" w:w="1310"/>
            <w:tcMar>
              <w:top w:type="dxa" w:w="60"/>
              <w:left w:type="dxa" w:w="100"/>
              <w:bottom w:type="dxa" w:w="60"/>
              <w:right w:type="dxa" w:w="100"/>
            </w:tcMar>
          </w:tcPr>
          <w:p>
            <w:r>
              <w:rPr>
                <w:b w:val="false"/>
                <w:bCs w:val="false"/>
              </w:rPr>
              <w:t xml:space="preserve">1026</w:t>
            </w:r>
          </w:p>
        </w:tc>
        <w:tc>
          <w:tcPr>
            <w:tcW w:type="dxa" w:w="2434"/>
            <w:tcMar>
              <w:top w:type="dxa" w:w="60"/>
              <w:left w:type="dxa" w:w="100"/>
              <w:bottom w:type="dxa" w:w="60"/>
              <w:right w:type="dxa" w:w="100"/>
            </w:tcMar>
          </w:tcPr>
          <w:p>
            <w:r>
              <w:rPr>
                <w:b w:val="false"/>
                <w:bCs w:val="false"/>
              </w:rPr>
              <w:t xml:space="preserve">CIB.GET.FT.DETAILS</w:t>
            </w:r>
          </w:p>
        </w:tc>
        <w:tc>
          <w:tcPr>
            <w:tcW w:type="dxa" w:w="2527"/>
            <w:tcMar>
              <w:top w:type="dxa" w:w="60"/>
              <w:left w:type="dxa" w:w="100"/>
              <w:bottom w:type="dxa" w:w="60"/>
              <w:right w:type="dxa" w:w="100"/>
            </w:tcMar>
          </w:tcPr>
          <w:p>
            <w:r>
              <w:rPr>
                <w:b w:val="false"/>
                <w:bCs w:val="false"/>
              </w:rPr>
              <w:t xml:space="preserve">Read-only transfer status/detail enquiry</w:t>
            </w:r>
          </w:p>
        </w:tc>
      </w:tr>
      <w:tr>
        <w:tc>
          <w:tcPr>
            <w:tcW w:type="dxa" w:w="655"/>
            <w:tcMar>
              <w:top w:type="dxa" w:w="60"/>
              <w:left w:type="dxa" w:w="100"/>
              <w:bottom w:type="dxa" w:w="60"/>
              <w:right w:type="dxa" w:w="100"/>
            </w:tcMar>
          </w:tcPr>
          <w:p>
            <w:r>
              <w:rPr>
                <w:b w:val="false"/>
                <w:bCs w:val="false"/>
              </w:rPr>
              <w:t xml:space="preserve">07</w:t>
            </w:r>
          </w:p>
        </w:tc>
        <w:tc>
          <w:tcPr>
            <w:tcW w:type="dxa" w:w="2434"/>
            <w:tcMar>
              <w:top w:type="dxa" w:w="60"/>
              <w:left w:type="dxa" w:w="100"/>
              <w:bottom w:type="dxa" w:w="60"/>
              <w:right w:type="dxa" w:w="100"/>
            </w:tcMar>
          </w:tcPr>
          <w:p>
            <w:r>
              <w:rPr>
                <w:b w:val="false"/>
                <w:bCs w:val="false"/>
              </w:rPr>
              <w:t xml:space="preserve">DXP Execute Payment</w:t>
            </w:r>
          </w:p>
        </w:tc>
        <w:tc>
          <w:tcPr>
            <w:tcW w:type="dxa" w:w="1310"/>
            <w:tcMar>
              <w:top w:type="dxa" w:w="60"/>
              <w:left w:type="dxa" w:w="100"/>
              <w:bottom w:type="dxa" w:w="60"/>
              <w:right w:type="dxa" w:w="100"/>
            </w:tcMar>
          </w:tcPr>
          <w:p>
            <w:r>
              <w:rPr>
                <w:b w:val="false"/>
                <w:bCs w:val="false"/>
              </w:rPr>
              <w:t xml:space="preserve">DXPFT</w:t>
            </w:r>
          </w:p>
        </w:tc>
        <w:tc>
          <w:tcPr>
            <w:tcW w:type="dxa" w:w="2434"/>
            <w:tcMar>
              <w:top w:type="dxa" w:w="60"/>
              <w:left w:type="dxa" w:w="100"/>
              <w:bottom w:type="dxa" w:w="60"/>
              <w:right w:type="dxa" w:w="100"/>
            </w:tcMar>
          </w:tcPr>
          <w:p>
            <w:r>
              <w:rPr>
                <w:b w:val="false"/>
                <w:bCs w:val="false"/>
              </w:rPr>
              <w:t xml:space="preserve">CIB.DXP.FT</w:t>
            </w:r>
          </w:p>
        </w:tc>
        <w:tc>
          <w:tcPr>
            <w:tcW w:type="dxa" w:w="2527"/>
            <w:tcMar>
              <w:top w:type="dxa" w:w="60"/>
              <w:left w:type="dxa" w:w="100"/>
              <w:bottom w:type="dxa" w:w="60"/>
              <w:right w:type="dxa" w:w="100"/>
            </w:tcMar>
          </w:tcPr>
          <w:p>
            <w:r>
              <w:rPr>
                <w:b w:val="false"/>
                <w:bCs w:val="false"/>
              </w:rPr>
              <w:t xml:space="preserve">Internet/mobile banking payment dispatcher (own-account, card, outward, IPN, charity)</w:t>
            </w:r>
          </w:p>
        </w:tc>
      </w:tr>
      <w:tr>
        <w:tc>
          <w:tcPr>
            <w:tcW w:type="dxa" w:w="655"/>
            <w:tcMar>
              <w:top w:type="dxa" w:w="60"/>
              <w:left w:type="dxa" w:w="100"/>
              <w:bottom w:type="dxa" w:w="60"/>
              <w:right w:type="dxa" w:w="100"/>
            </w:tcMar>
          </w:tcPr>
          <w:p>
            <w:r>
              <w:rPr>
                <w:b w:val="false"/>
                <w:bCs w:val="false"/>
              </w:rPr>
              <w:t xml:space="preserve">08 / 09</w:t>
            </w:r>
          </w:p>
        </w:tc>
        <w:tc>
          <w:tcPr>
            <w:tcW w:type="dxa" w:w="2434"/>
            <w:tcMar>
              <w:top w:type="dxa" w:w="60"/>
              <w:left w:type="dxa" w:w="100"/>
              <w:bottom w:type="dxa" w:w="60"/>
              <w:right w:type="dxa" w:w="100"/>
            </w:tcMar>
          </w:tcPr>
          <w:p>
            <w:r>
              <w:rPr>
                <w:b w:val="false"/>
                <w:bCs w:val="false"/>
              </w:rPr>
              <w:t xml:space="preserve">VASCO Fraud-Logging &amp; SMS Notification Chain</w:t>
            </w:r>
          </w:p>
        </w:tc>
        <w:tc>
          <w:tcPr>
            <w:tcW w:type="dxa" w:w="1310"/>
            <w:tcMar>
              <w:top w:type="dxa" w:w="60"/>
              <w:left w:type="dxa" w:w="100"/>
              <w:bottom w:type="dxa" w:w="60"/>
              <w:right w:type="dxa" w:w="100"/>
            </w:tcMar>
          </w:tcPr>
          <w:p>
            <w:r>
              <w:rPr>
                <w:b w:val="false"/>
                <w:bCs w:val="false"/>
              </w:rPr>
              <w:t xml:space="preserve">n/a (cross-cutting)</w:t>
            </w:r>
          </w:p>
        </w:tc>
        <w:tc>
          <w:tcPr>
            <w:tcW w:type="dxa" w:w="2434"/>
            <w:tcMar>
              <w:top w:type="dxa" w:w="60"/>
              <w:left w:type="dxa" w:w="100"/>
              <w:bottom w:type="dxa" w:w="60"/>
              <w:right w:type="dxa" w:w="100"/>
            </w:tcMar>
          </w:tcPr>
          <w:p>
            <w:r>
              <w:rPr>
                <w:b w:val="false"/>
                <w:bCs w:val="false"/>
              </w:rPr>
              <w:t xml:space="preserve">CIB.CHECK.SMS.RUN, CIB.XML.COMPOSE.RUN, CIB.SMS.FT, CIB.SMS.COMPOSE.RUN</w:t>
            </w:r>
          </w:p>
        </w:tc>
        <w:tc>
          <w:tcPr>
            <w:tcW w:type="dxa" w:w="2527"/>
            <w:tcMar>
              <w:top w:type="dxa" w:w="60"/>
              <w:left w:type="dxa" w:w="100"/>
              <w:bottom w:type="dxa" w:w="60"/>
              <w:right w:type="dxa" w:w="100"/>
            </w:tcMar>
          </w:tcPr>
          <w:p>
            <w:r>
              <w:rPr>
                <w:b w:val="false"/>
                <w:bCs w:val="false"/>
              </w:rPr>
              <w:t xml:space="preserve">Fraud-monitoring export and customer notification, triggered from multiple services</w:t>
            </w:r>
          </w:p>
        </w:tc>
      </w:tr>
    </w:tbl>
    <w:p>
      <w:pPr>
        <w:pStyle w:val="Heading1"/>
        <w:pBdr>
          <w:bottom w:val="single" w:color="2E5395" w:sz="6" w:space="4"/>
        </w:pBdr>
        <w:spacing w:after="150" w:before="300"/>
      </w:pPr>
      <w:r>
        <w:t xml:space="preserve">3. Category A — Confirmed Defects in the Current System</w:t>
      </w:r>
    </w:p>
    <w:p>
      <w:pPr>
        <w:spacing w:after="120"/>
      </w:pPr>
      <w:r>
        <w:rPr>
          <w:color w:val="C00000"/>
        </w:rPr>
        <w:t xml:space="preserve">These are not migration decisions. Each item below is a concrete, traceable defect in code the vendor has already built and delivered — a variable-naming mismatch, an inverted comparison, dead logic, or a hardcoded value that shouldn't be there. Under a normal support/warranty arrangement, remediating these is the vendor's existing responsibility, not new chargeable scope. Bringing this list to the business meeting lets you agree, before anything goes to the vendor, that these items are raised as defect reports — not folded into the Change Request's priced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340"/>
        <w:gridCol w:w="1310"/>
        <w:gridCol w:w="5242"/>
      </w:tblGrid>
      <w:tr>
        <w:trPr>
          <w:tblHeader/>
        </w:trPr>
        <w:tc>
          <w:tcPr>
            <w:tcW w:type="dxa" w:w="468"/>
            <w:shd w:fill="2E5395" w:val="clear"/>
            <w:tcMar>
              <w:top w:type="dxa" w:w="80"/>
              <w:left w:type="dxa" w:w="100"/>
              <w:bottom w:type="dxa" w:w="80"/>
              <w:right w:type="dxa" w:w="100"/>
            </w:tcMar>
          </w:tcPr>
          <w:p>
            <w:r>
              <w:rPr>
                <w:b/>
                <w:bCs/>
                <w:color w:val="FFFFFF"/>
              </w:rPr>
              <w:t xml:space="preserve">#</w:t>
            </w:r>
          </w:p>
        </w:tc>
        <w:tc>
          <w:tcPr>
            <w:tcW w:type="dxa" w:w="2340"/>
            <w:shd w:fill="2E5395" w:val="clear"/>
            <w:tcMar>
              <w:top w:type="dxa" w:w="80"/>
              <w:left w:type="dxa" w:w="100"/>
              <w:bottom w:type="dxa" w:w="80"/>
              <w:right w:type="dxa" w:w="100"/>
            </w:tcMar>
          </w:tcPr>
          <w:p>
            <w:r>
              <w:rPr>
                <w:b/>
                <w:bCs/>
                <w:color w:val="FFFFFF"/>
              </w:rPr>
              <w:t xml:space="preserve">Service</w:t>
            </w:r>
          </w:p>
        </w:tc>
        <w:tc>
          <w:tcPr>
            <w:tcW w:type="dxa" w:w="1310"/>
            <w:shd w:fill="2E5395" w:val="clear"/>
            <w:tcMar>
              <w:top w:type="dxa" w:w="80"/>
              <w:left w:type="dxa" w:w="100"/>
              <w:bottom w:type="dxa" w:w="80"/>
              <w:right w:type="dxa" w:w="100"/>
            </w:tcMar>
          </w:tcPr>
          <w:p>
            <w:r>
              <w:rPr>
                <w:b/>
                <w:bCs/>
                <w:color w:val="FFFFFF"/>
              </w:rPr>
              <w:t xml:space="preserve">Severity</w:t>
            </w:r>
          </w:p>
        </w:tc>
        <w:tc>
          <w:tcPr>
            <w:tcW w:type="dxa" w:w="5242"/>
            <w:shd w:fill="2E5395" w:val="clear"/>
            <w:tcMar>
              <w:top w:type="dxa" w:w="80"/>
              <w:left w:type="dxa" w:w="100"/>
              <w:bottom w:type="dxa" w:w="80"/>
              <w:right w:type="dxa" w:w="100"/>
            </w:tcMar>
          </w:tcPr>
          <w:p>
            <w:r>
              <w:rPr>
                <w:b/>
                <w:bCs/>
                <w:color w:val="FFFFFF"/>
              </w:rPr>
              <w:t xml:space="preserve">Defect</w:t>
            </w:r>
          </w:p>
        </w:tc>
      </w:tr>
      <w:tr>
        <w:tc>
          <w:tcPr>
            <w:tcW w:type="dxa" w:w="468"/>
            <w:tcMar>
              <w:top w:type="dxa" w:w="60"/>
              <w:left w:type="dxa" w:w="100"/>
              <w:bottom w:type="dxa" w:w="60"/>
              <w:right w:type="dxa" w:w="100"/>
            </w:tcMar>
          </w:tcPr>
          <w:p>
            <w:r>
              <w:rPr>
                <w:b w:val="false"/>
                <w:bCs w:val="false"/>
              </w:rPr>
              <w:t xml:space="preserve">A1</w:t>
            </w:r>
          </w:p>
        </w:tc>
        <w:tc>
          <w:tcPr>
            <w:tcW w:type="dxa" w:w="2340"/>
            <w:tcMar>
              <w:top w:type="dxa" w:w="60"/>
              <w:left w:type="dxa" w:w="100"/>
              <w:bottom w:type="dxa" w:w="60"/>
              <w:right w:type="dxa" w:w="100"/>
            </w:tcMar>
          </w:tcPr>
          <w:p>
            <w:r>
              <w:rPr>
                <w:b w:val="false"/>
                <w:bCs w:val="false"/>
              </w:rPr>
              <w:t xml:space="preserve">05 — Create Nostro Transfer</w:t>
            </w:r>
          </w:p>
        </w:tc>
        <w:tc>
          <w:tcPr>
            <w:tcW w:type="dxa" w:w="1310"/>
            <w:tcMar>
              <w:top w:type="dxa" w:w="60"/>
              <w:left w:type="dxa" w:w="100"/>
              <w:bottom w:type="dxa" w:w="60"/>
              <w:right w:type="dxa" w:w="100"/>
            </w:tcMar>
          </w:tcPr>
          <w:p>
            <w:r>
              <w:rPr>
                <w:b w:val="false"/>
                <w:bCs w:val="false"/>
              </w:rPr>
              <w:t xml:space="preserve">CRITICAL</w:t>
            </w:r>
          </w:p>
        </w:tc>
        <w:tc>
          <w:tcPr>
            <w:tcW w:type="dxa" w:w="5242"/>
            <w:tcMar>
              <w:top w:type="dxa" w:w="60"/>
              <w:left w:type="dxa" w:w="100"/>
              <w:bottom w:type="dxa" w:w="60"/>
              <w:right w:type="dxa" w:w="100"/>
            </w:tcMar>
          </w:tcPr>
          <w:p>
            <w:r>
              <w:rPr>
                <w:b w:val="false"/>
                <w:bCs w:val="false"/>
              </w:rPr>
              <w:t xml:space="preserve">FUNCTION_ID (input) vs FUNCTION.ID (used everywhere else) variable mismatch — a caller requesting VALIDATE (dry-run) mode may have the request silently execute as a real posting instead. Highest-severity finding across the whole programme.</w:t>
            </w:r>
          </w:p>
        </w:tc>
      </w:tr>
      <w:tr>
        <w:tc>
          <w:tcPr>
            <w:tcW w:type="dxa" w:w="468"/>
            <w:tcMar>
              <w:top w:type="dxa" w:w="60"/>
              <w:left w:type="dxa" w:w="100"/>
              <w:bottom w:type="dxa" w:w="60"/>
              <w:right w:type="dxa" w:w="100"/>
            </w:tcMar>
          </w:tcPr>
          <w:p>
            <w:r>
              <w:rPr>
                <w:b w:val="false"/>
                <w:bCs w:val="false"/>
              </w:rPr>
              <w:t xml:space="preserve">A2</w:t>
            </w:r>
          </w:p>
        </w:tc>
        <w:tc>
          <w:tcPr>
            <w:tcW w:type="dxa" w:w="2340"/>
            <w:tcMar>
              <w:top w:type="dxa" w:w="60"/>
              <w:left w:type="dxa" w:w="100"/>
              <w:bottom w:type="dxa" w:w="60"/>
              <w:right w:type="dxa" w:w="100"/>
            </w:tcMar>
          </w:tcPr>
          <w:p>
            <w:r>
              <w:rPr>
                <w:b w:val="false"/>
                <w:bCs w:val="false"/>
              </w:rPr>
              <w:t xml:space="preserve">04 — Authorise FT</w:t>
            </w:r>
          </w:p>
        </w:tc>
        <w:tc>
          <w:tcPr>
            <w:tcW w:type="dxa" w:w="1310"/>
            <w:tcMar>
              <w:top w:type="dxa" w:w="60"/>
              <w:left w:type="dxa" w:w="100"/>
              <w:bottom w:type="dxa" w:w="60"/>
              <w:right w:type="dxa" w:w="100"/>
            </w:tcMar>
          </w:tcPr>
          <w:p>
            <w:r>
              <w:rPr>
                <w:b w:val="false"/>
                <w:bCs w:val="false"/>
              </w:rPr>
              <w:t xml:space="preserve">HIGH</w:t>
            </w:r>
          </w:p>
        </w:tc>
        <w:tc>
          <w:tcPr>
            <w:tcW w:type="dxa" w:w="5242"/>
            <w:tcMar>
              <w:top w:type="dxa" w:w="60"/>
              <w:left w:type="dxa" w:w="100"/>
              <w:bottom w:type="dxa" w:w="60"/>
              <w:right w:type="dxa" w:w="100"/>
            </w:tcMar>
          </w:tcPr>
          <w:p>
            <w:r>
              <w:rPr>
                <w:b w:val="false"/>
                <w:bCs w:val="false"/>
              </w:rPr>
              <w:t xml:space="preserve">Header-splitting delimiter set to the literal character '3' instead of '#' — the convention used by every other service — likely leaving CHNL.CODE, MSG.ID, and TOKEN.ID blank inside this routine, silently disabling CUSTODY-channel handling and an ownership/authorization guard.</w:t>
            </w:r>
          </w:p>
        </w:tc>
      </w:tr>
      <w:tr>
        <w:tc>
          <w:tcPr>
            <w:tcW w:type="dxa" w:w="468"/>
            <w:tcMar>
              <w:top w:type="dxa" w:w="60"/>
              <w:left w:type="dxa" w:w="100"/>
              <w:bottom w:type="dxa" w:w="60"/>
              <w:right w:type="dxa" w:w="100"/>
            </w:tcMar>
          </w:tcPr>
          <w:p>
            <w:r>
              <w:rPr>
                <w:b w:val="false"/>
                <w:bCs w:val="false"/>
              </w:rPr>
              <w:t xml:space="preserve">A3</w:t>
            </w:r>
          </w:p>
        </w:tc>
        <w:tc>
          <w:tcPr>
            <w:tcW w:type="dxa" w:w="2340"/>
            <w:tcMar>
              <w:top w:type="dxa" w:w="60"/>
              <w:left w:type="dxa" w:w="100"/>
              <w:bottom w:type="dxa" w:w="60"/>
              <w:right w:type="dxa" w:w="100"/>
            </w:tcMar>
          </w:tcPr>
          <w:p>
            <w:r>
              <w:rPr>
                <w:b w:val="false"/>
                <w:bCs w:val="false"/>
              </w:rPr>
              <w:t xml:space="preserve">04 — Authorise FT / 05 — Create Nostro Transfer</w:t>
            </w:r>
          </w:p>
        </w:tc>
        <w:tc>
          <w:tcPr>
            <w:tcW w:type="dxa" w:w="1310"/>
            <w:tcMar>
              <w:top w:type="dxa" w:w="60"/>
              <w:left w:type="dxa" w:w="100"/>
              <w:bottom w:type="dxa" w:w="60"/>
              <w:right w:type="dxa" w:w="100"/>
            </w:tcMar>
          </w:tcPr>
          <w:p>
            <w:r>
              <w:rPr>
                <w:b w:val="false"/>
                <w:bCs w:val="false"/>
              </w:rPr>
              <w:t xml:space="preserve">HIGH</w:t>
            </w:r>
          </w:p>
        </w:tc>
        <w:tc>
          <w:tcPr>
            <w:tcW w:type="dxa" w:w="5242"/>
            <w:tcMar>
              <w:top w:type="dxa" w:w="60"/>
              <w:left w:type="dxa" w:w="100"/>
              <w:bottom w:type="dxa" w:w="60"/>
              <w:right w:type="dxa" w:w="100"/>
            </w:tcMar>
          </w:tcPr>
          <w:p>
            <w:r>
              <w:rPr>
                <w:b w:val="false"/>
                <w:bCs w:val="false"/>
              </w:rPr>
              <w:t xml:space="preserve">The same defect found independently in two separate routines: two T24 core session variables (MESSAGE, ID.NEW) are temporarily overwritten to regenerate a delivery preview, and never restored afterward — a potential session-level side effect on whatever processing happens next in the same call chain.</w:t>
            </w:r>
          </w:p>
        </w:tc>
      </w:tr>
      <w:tr>
        <w:tc>
          <w:tcPr>
            <w:tcW w:type="dxa" w:w="468"/>
            <w:tcMar>
              <w:top w:type="dxa" w:w="60"/>
              <w:left w:type="dxa" w:w="100"/>
              <w:bottom w:type="dxa" w:w="60"/>
              <w:right w:type="dxa" w:w="100"/>
            </w:tcMar>
          </w:tcPr>
          <w:p>
            <w:r>
              <w:rPr>
                <w:b w:val="false"/>
                <w:bCs w:val="false"/>
              </w:rPr>
              <w:t xml:space="preserve">A4</w:t>
            </w:r>
          </w:p>
        </w:tc>
        <w:tc>
          <w:tcPr>
            <w:tcW w:type="dxa" w:w="2340"/>
            <w:tcMar>
              <w:top w:type="dxa" w:w="60"/>
              <w:left w:type="dxa" w:w="100"/>
              <w:bottom w:type="dxa" w:w="60"/>
              <w:right w:type="dxa" w:w="100"/>
            </w:tcMar>
          </w:tcPr>
          <w:p>
            <w:r>
              <w:rPr>
                <w:b w:val="false"/>
                <w:bCs w:val="false"/>
              </w:rPr>
              <w:t xml:space="preserve">09 — VASCO/SMS Notification Chain</w:t>
            </w:r>
          </w:p>
        </w:tc>
        <w:tc>
          <w:tcPr>
            <w:tcW w:type="dxa" w:w="1310"/>
            <w:tcMar>
              <w:top w:type="dxa" w:w="60"/>
              <w:left w:type="dxa" w:w="100"/>
              <w:bottom w:type="dxa" w:w="60"/>
              <w:right w:type="dxa" w:w="100"/>
            </w:tcMar>
          </w:tcPr>
          <w:p>
            <w:r>
              <w:rPr>
                <w:b w:val="false"/>
                <w:bCs w:val="false"/>
              </w:rPr>
              <w:t xml:space="preserve">HIGH — data privacy</w:t>
            </w:r>
          </w:p>
        </w:tc>
        <w:tc>
          <w:tcPr>
            <w:tcW w:type="dxa" w:w="5242"/>
            <w:tcMar>
              <w:top w:type="dxa" w:w="60"/>
              <w:left w:type="dxa" w:w="100"/>
              <w:bottom w:type="dxa" w:w="60"/>
              <w:right w:type="dxa" w:w="100"/>
            </w:tcMar>
          </w:tcPr>
          <w:p>
            <w:r>
              <w:rPr>
                <w:b w:val="false"/>
                <w:bCs w:val="false"/>
              </w:rPr>
              <w:t xml:space="preserve">A fallback email path unconditionally overwrites the customer's real registered email address with a hardcoded internal address, immediately after reading it. If reachable in production, customer notifications are being misdirected internally instead of reaching the customer. Recommend raising this as a standalone production incident, independent of the migration timeline.</w:t>
            </w:r>
          </w:p>
        </w:tc>
      </w:tr>
      <w:tr>
        <w:tc>
          <w:tcPr>
            <w:tcW w:type="dxa" w:w="468"/>
            <w:tcMar>
              <w:top w:type="dxa" w:w="60"/>
              <w:left w:type="dxa" w:w="100"/>
              <w:bottom w:type="dxa" w:w="60"/>
              <w:right w:type="dxa" w:w="100"/>
            </w:tcMar>
          </w:tcPr>
          <w:p>
            <w:r>
              <w:rPr>
                <w:b w:val="false"/>
                <w:bCs w:val="false"/>
              </w:rPr>
              <w:t xml:space="preserve">A5</w:t>
            </w:r>
          </w:p>
        </w:tc>
        <w:tc>
          <w:tcPr>
            <w:tcW w:type="dxa" w:w="2340"/>
            <w:tcMar>
              <w:top w:type="dxa" w:w="60"/>
              <w:left w:type="dxa" w:w="100"/>
              <w:bottom w:type="dxa" w:w="60"/>
              <w:right w:type="dxa" w:w="100"/>
            </w:tcMar>
          </w:tcPr>
          <w:p>
            <w:r>
              <w:rPr>
                <w:b w:val="false"/>
                <w:bCs w:val="false"/>
              </w:rPr>
              <w:t xml:space="preserve">03 — Amend Outward Transfer</w:t>
            </w:r>
          </w:p>
        </w:tc>
        <w:tc>
          <w:tcPr>
            <w:tcW w:type="dxa" w:w="1310"/>
            <w:tcMar>
              <w:top w:type="dxa" w:w="60"/>
              <w:left w:type="dxa" w:w="100"/>
              <w:bottom w:type="dxa" w:w="60"/>
              <w:right w:type="dxa" w:w="100"/>
            </w:tcMar>
          </w:tcPr>
          <w:p>
            <w:r>
              <w:rPr>
                <w:b w:val="false"/>
                <w:bCs w:val="false"/>
              </w:rPr>
              <w:t xml:space="preserve">MEDIUM</w:t>
            </w:r>
          </w:p>
        </w:tc>
        <w:tc>
          <w:tcPr>
            <w:tcW w:type="dxa" w:w="5242"/>
            <w:tcMar>
              <w:top w:type="dxa" w:w="60"/>
              <w:left w:type="dxa" w:w="100"/>
              <w:bottom w:type="dxa" w:w="60"/>
              <w:right w:type="dxa" w:w="100"/>
            </w:tcMar>
          </w:tcPr>
          <w:p>
            <w:r>
              <w:rPr>
                <w:b w:val="false"/>
                <w:bCs w:val="false"/>
              </w:rPr>
              <w:t xml:space="preserve">The debit account number is read from input into a variable named with an underscore, but every downstream use (balance check, the actual posted DEBIT.ACCT.NO field) reads a differently-named variable that's never populated from this input at all. The service evidently still works today, which suggests a hidden, undocumented dependency on a leftover session variable — a fragile pattern that will not survive a move to a stateless API.</w:t>
            </w:r>
          </w:p>
        </w:tc>
      </w:tr>
      <w:tr>
        <w:tc>
          <w:tcPr>
            <w:tcW w:type="dxa" w:w="468"/>
            <w:tcMar>
              <w:top w:type="dxa" w:w="60"/>
              <w:left w:type="dxa" w:w="100"/>
              <w:bottom w:type="dxa" w:w="60"/>
              <w:right w:type="dxa" w:w="100"/>
            </w:tcMar>
          </w:tcPr>
          <w:p>
            <w:r>
              <w:rPr>
                <w:b w:val="false"/>
                <w:bCs w:val="false"/>
              </w:rPr>
              <w:t xml:space="preserve">A6</w:t>
            </w:r>
          </w:p>
        </w:tc>
        <w:tc>
          <w:tcPr>
            <w:tcW w:type="dxa" w:w="2340"/>
            <w:tcMar>
              <w:top w:type="dxa" w:w="60"/>
              <w:left w:type="dxa" w:w="100"/>
              <w:bottom w:type="dxa" w:w="60"/>
              <w:right w:type="dxa" w:w="100"/>
            </w:tcMar>
          </w:tcPr>
          <w:p>
            <w:r>
              <w:rPr>
                <w:b w:val="false"/>
                <w:bCs w:val="false"/>
              </w:rPr>
              <w:t xml:space="preserve">05 — Create Nostro Transfer</w:t>
            </w:r>
          </w:p>
        </w:tc>
        <w:tc>
          <w:tcPr>
            <w:tcW w:type="dxa" w:w="1310"/>
            <w:tcMar>
              <w:top w:type="dxa" w:w="60"/>
              <w:left w:type="dxa" w:w="100"/>
              <w:bottom w:type="dxa" w:w="60"/>
              <w:right w:type="dxa" w:w="100"/>
            </w:tcMar>
          </w:tcPr>
          <w:p>
            <w:r>
              <w:rPr>
                <w:b w:val="false"/>
                <w:bCs w:val="false"/>
              </w:rPr>
              <w:t xml:space="preserve">MEDIUM</w:t>
            </w:r>
          </w:p>
        </w:tc>
        <w:tc>
          <w:tcPr>
            <w:tcW w:type="dxa" w:w="5242"/>
            <w:tcMar>
              <w:top w:type="dxa" w:w="60"/>
              <w:left w:type="dxa" w:w="100"/>
              <w:bottom w:type="dxa" w:w="60"/>
              <w:right w:type="dxa" w:w="100"/>
            </w:tcMar>
          </w:tcPr>
          <w:p>
            <w:r>
              <w:rPr>
                <w:b w:val="false"/>
                <w:bCs w:val="false"/>
              </w:rPr>
              <w:t xml:space="preserve">A comparison intended to detect 'already authorized, no change needed' as a success case is written with the wrong operator (checking for a value less than zero, which can never occur) — so this specific success condition is always misreported as a failure.</w:t>
            </w:r>
          </w:p>
        </w:tc>
      </w:tr>
      <w:tr>
        <w:tc>
          <w:tcPr>
            <w:tcW w:type="dxa" w:w="468"/>
            <w:tcMar>
              <w:top w:type="dxa" w:w="60"/>
              <w:left w:type="dxa" w:w="100"/>
              <w:bottom w:type="dxa" w:w="60"/>
              <w:right w:type="dxa" w:w="100"/>
            </w:tcMar>
          </w:tcPr>
          <w:p>
            <w:r>
              <w:rPr>
                <w:b w:val="false"/>
                <w:bCs w:val="false"/>
              </w:rPr>
              <w:t xml:space="preserve">A7</w:t>
            </w:r>
          </w:p>
        </w:tc>
        <w:tc>
          <w:tcPr>
            <w:tcW w:type="dxa" w:w="2340"/>
            <w:tcMar>
              <w:top w:type="dxa" w:w="60"/>
              <w:left w:type="dxa" w:w="100"/>
              <w:bottom w:type="dxa" w:w="60"/>
              <w:right w:type="dxa" w:w="100"/>
            </w:tcMar>
          </w:tcPr>
          <w:p>
            <w:r>
              <w:rPr>
                <w:b w:val="false"/>
                <w:bCs w:val="false"/>
              </w:rPr>
              <w:t xml:space="preserve">07 — DXP Execute Payment</w:t>
            </w:r>
          </w:p>
        </w:tc>
        <w:tc>
          <w:tcPr>
            <w:tcW w:type="dxa" w:w="1310"/>
            <w:tcMar>
              <w:top w:type="dxa" w:w="60"/>
              <w:left w:type="dxa" w:w="100"/>
              <w:bottom w:type="dxa" w:w="60"/>
              <w:right w:type="dxa" w:w="100"/>
            </w:tcMar>
          </w:tcPr>
          <w:p>
            <w:r>
              <w:rPr>
                <w:b w:val="false"/>
                <w:bCs w:val="false"/>
              </w:rPr>
              <w:t xml:space="preserve">LOW (cleanup)</w:t>
            </w:r>
          </w:p>
        </w:tc>
        <w:tc>
          <w:tcPr>
            <w:tcW w:type="dxa" w:w="5242"/>
            <w:tcMar>
              <w:top w:type="dxa" w:w="60"/>
              <w:left w:type="dxa" w:w="100"/>
              <w:bottom w:type="dxa" w:w="60"/>
              <w:right w:type="dxa" w:w="100"/>
            </w:tcMar>
          </w:tcPr>
          <w:p>
            <w:r>
              <w:rPr>
                <w:b w:val="false"/>
                <w:bCs w:val="false"/>
              </w:rPr>
              <w:t xml:space="preserve">A block of response-formatting logic is built and then unconditionally overwritten immediately afterward by a simpler format — confirmed dead code with no effect on actual behavior, but worth removing rather than carrying forward.</w:t>
            </w:r>
          </w:p>
        </w:tc>
      </w:tr>
      <w:tr>
        <w:tc>
          <w:tcPr>
            <w:tcW w:type="dxa" w:w="468"/>
            <w:tcMar>
              <w:top w:type="dxa" w:w="60"/>
              <w:left w:type="dxa" w:w="100"/>
              <w:bottom w:type="dxa" w:w="60"/>
              <w:right w:type="dxa" w:w="100"/>
            </w:tcMar>
          </w:tcPr>
          <w:p>
            <w:r>
              <w:rPr>
                <w:b w:val="false"/>
                <w:bCs w:val="false"/>
              </w:rPr>
              <w:t xml:space="preserve">A8</w:t>
            </w:r>
          </w:p>
        </w:tc>
        <w:tc>
          <w:tcPr>
            <w:tcW w:type="dxa" w:w="2340"/>
            <w:tcMar>
              <w:top w:type="dxa" w:w="60"/>
              <w:left w:type="dxa" w:w="100"/>
              <w:bottom w:type="dxa" w:w="60"/>
              <w:right w:type="dxa" w:w="100"/>
            </w:tcMar>
          </w:tcPr>
          <w:p>
            <w:r>
              <w:rPr>
                <w:b w:val="false"/>
                <w:bCs w:val="false"/>
              </w:rPr>
              <w:t xml:space="preserve">03 — Amend Outward Transfer</w:t>
            </w:r>
          </w:p>
        </w:tc>
        <w:tc>
          <w:tcPr>
            <w:tcW w:type="dxa" w:w="1310"/>
            <w:tcMar>
              <w:top w:type="dxa" w:w="60"/>
              <w:left w:type="dxa" w:w="100"/>
              <w:bottom w:type="dxa" w:w="60"/>
              <w:right w:type="dxa" w:w="100"/>
            </w:tcMar>
          </w:tcPr>
          <w:p>
            <w:r>
              <w:rPr>
                <w:b w:val="false"/>
                <w:bCs w:val="false"/>
              </w:rPr>
              <w:t xml:space="preserve">LOW</w:t>
            </w:r>
          </w:p>
        </w:tc>
        <w:tc>
          <w:tcPr>
            <w:tcW w:type="dxa" w:w="5242"/>
            <w:tcMar>
              <w:top w:type="dxa" w:w="60"/>
              <w:left w:type="dxa" w:w="100"/>
              <w:bottom w:type="dxa" w:w="60"/>
              <w:right w:type="dxa" w:w="100"/>
            </w:tcMar>
          </w:tcPr>
          <w:p>
            <w:r>
              <w:rPr>
                <w:b w:val="false"/>
                <w:bCs w:val="false"/>
              </w:rPr>
              <w:t xml:space="preserve">A profit-centre calculation reads the wrong input variable (a copy-paste artifact) — functionally a no-op since the resulting value is never used, but should be corrected at the source.</w:t>
            </w:r>
          </w:p>
        </w:tc>
      </w:tr>
      <w:tr>
        <w:tc>
          <w:tcPr>
            <w:tcW w:type="dxa" w:w="468"/>
            <w:tcMar>
              <w:top w:type="dxa" w:w="60"/>
              <w:left w:type="dxa" w:w="100"/>
              <w:bottom w:type="dxa" w:w="60"/>
              <w:right w:type="dxa" w:w="100"/>
            </w:tcMar>
          </w:tcPr>
          <w:p>
            <w:r>
              <w:rPr>
                <w:b w:val="false"/>
                <w:bCs w:val="false"/>
              </w:rPr>
              <w:t xml:space="preserve">A9</w:t>
            </w:r>
          </w:p>
        </w:tc>
        <w:tc>
          <w:tcPr>
            <w:tcW w:type="dxa" w:w="2340"/>
            <w:tcMar>
              <w:top w:type="dxa" w:w="60"/>
              <w:left w:type="dxa" w:w="100"/>
              <w:bottom w:type="dxa" w:w="60"/>
              <w:right w:type="dxa" w:w="100"/>
            </w:tcMar>
          </w:tcPr>
          <w:p>
            <w:r>
              <w:rPr>
                <w:b w:val="false"/>
                <w:bCs w:val="false"/>
              </w:rPr>
              <w:t xml:space="preserve">09 — VASCO/SMS Notification Chain</w:t>
            </w:r>
          </w:p>
        </w:tc>
        <w:tc>
          <w:tcPr>
            <w:tcW w:type="dxa" w:w="1310"/>
            <w:tcMar>
              <w:top w:type="dxa" w:w="60"/>
              <w:left w:type="dxa" w:w="100"/>
              <w:bottom w:type="dxa" w:w="60"/>
              <w:right w:type="dxa" w:w="100"/>
            </w:tcMar>
          </w:tcPr>
          <w:p>
            <w:r>
              <w:rPr>
                <w:b w:val="false"/>
                <w:bCs w:val="false"/>
              </w:rPr>
              <w:t xml:space="preserve">LOW</w:t>
            </w:r>
          </w:p>
        </w:tc>
        <w:tc>
          <w:tcPr>
            <w:tcW w:type="dxa" w:w="5242"/>
            <w:tcMar>
              <w:top w:type="dxa" w:w="60"/>
              <w:left w:type="dxa" w:w="100"/>
              <w:bottom w:type="dxa" w:w="60"/>
              <w:right w:type="dxa" w:w="100"/>
            </w:tcMar>
          </w:tcPr>
          <w:p>
            <w:r>
              <w:rPr>
                <w:b w:val="false"/>
                <w:bCs w:val="false"/>
              </w:rPr>
              <w:t xml:space="preserve">SMS/email charge-determination logic is fully implemented but never actually invoked anywhere in the routine's execution path — apparently unreachable/dead code.</w:t>
            </w:r>
          </w:p>
        </w:tc>
      </w:tr>
    </w:tbl>
    <w:p>
      <w:pPr>
        <w:spacing w:after="120"/>
      </w:pPr>
      <w:r>
        <w:rPr>
          <w:i/>
          <w:iCs/>
        </w:rPr>
        <w:t xml:space="preserve">Recommendation: present this table to the vendor as a defect list under existing support obligations, separate from and prior to any Change Request discussion.</w:t>
      </w:r>
    </w:p>
    <w:p>
      <w:pPr>
        <w:pStyle w:val="Heading1"/>
        <w:pBdr>
          <w:bottom w:val="single" w:color="2E5395" w:sz="6" w:space="4"/>
        </w:pBdr>
        <w:spacing w:after="150" w:before="300"/>
      </w:pPr>
      <w:r>
        <w:t xml:space="preserve">4. Category B — Business Decisions Required Before Scoping the CR</w:t>
      </w:r>
    </w:p>
    <w:p>
      <w:pPr>
        <w:spacing w:after="120"/>
      </w:pPr>
      <w:r>
        <w:rPr>
          <w:i/>
          <w:iCs/>
          <w:color w:val="555555"/>
        </w:rPr>
        <w:t xml:space="preserve">These are not code defects — they're places where the current system's actual behavior needs a business owner to confirm whether it's correct as-is, or needs to change. The answer to each directly affects how the corresponding Category C item (Section 5) should be scoped and priced, so these should be worked through in the business meeting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1"/>
        <w:gridCol w:w="2753"/>
        <w:gridCol w:w="6056"/>
      </w:tblGrid>
      <w:tr>
        <w:trPr>
          <w:tblHeader/>
        </w:trPr>
        <w:tc>
          <w:tcPr>
            <w:tcW w:type="dxa" w:w="551"/>
            <w:shd w:fill="2E5395" w:val="clear"/>
            <w:tcMar>
              <w:top w:type="dxa" w:w="80"/>
              <w:left w:type="dxa" w:w="100"/>
              <w:bottom w:type="dxa" w:w="80"/>
              <w:right w:type="dxa" w:w="100"/>
            </w:tcMar>
          </w:tcPr>
          <w:p>
            <w:r>
              <w:rPr>
                <w:b/>
                <w:bCs/>
                <w:color w:val="FFFFFF"/>
              </w:rPr>
              <w:t xml:space="preserve">#</w:t>
            </w:r>
          </w:p>
        </w:tc>
        <w:tc>
          <w:tcPr>
            <w:tcW w:type="dxa" w:w="2753"/>
            <w:shd w:fill="2E5395" w:val="clear"/>
            <w:tcMar>
              <w:top w:type="dxa" w:w="80"/>
              <w:left w:type="dxa" w:w="100"/>
              <w:bottom w:type="dxa" w:w="80"/>
              <w:right w:type="dxa" w:w="100"/>
            </w:tcMar>
          </w:tcPr>
          <w:p>
            <w:r>
              <w:rPr>
                <w:b/>
                <w:bCs/>
                <w:color w:val="FFFFFF"/>
              </w:rPr>
              <w:t xml:space="preserve">Service</w:t>
            </w:r>
          </w:p>
        </w:tc>
        <w:tc>
          <w:tcPr>
            <w:tcW w:type="dxa" w:w="6056"/>
            <w:shd w:fill="2E5395" w:val="clear"/>
            <w:tcMar>
              <w:top w:type="dxa" w:w="80"/>
              <w:left w:type="dxa" w:w="100"/>
              <w:bottom w:type="dxa" w:w="80"/>
              <w:right w:type="dxa" w:w="100"/>
            </w:tcMar>
          </w:tcPr>
          <w:p>
            <w:r>
              <w:rPr>
                <w:b/>
                <w:bCs/>
                <w:color w:val="FFFFFF"/>
              </w:rPr>
              <w:t xml:space="preserve">Decision Needed</w:t>
            </w:r>
          </w:p>
        </w:tc>
      </w:tr>
      <w:tr>
        <w:tc>
          <w:tcPr>
            <w:tcW w:type="dxa" w:w="551"/>
            <w:tcMar>
              <w:top w:type="dxa" w:w="60"/>
              <w:left w:type="dxa" w:w="100"/>
              <w:bottom w:type="dxa" w:w="60"/>
              <w:right w:type="dxa" w:w="100"/>
            </w:tcMar>
          </w:tcPr>
          <w:p>
            <w:r>
              <w:rPr>
                <w:b w:val="false"/>
                <w:bCs w:val="false"/>
              </w:rPr>
              <w:t xml:space="preserve">B1</w:t>
            </w:r>
          </w:p>
        </w:tc>
        <w:tc>
          <w:tcPr>
            <w:tcW w:type="dxa" w:w="2753"/>
            <w:tcMar>
              <w:top w:type="dxa" w:w="60"/>
              <w:left w:type="dxa" w:w="100"/>
              <w:bottom w:type="dxa" w:w="60"/>
              <w:right w:type="dxa" w:w="100"/>
            </w:tcMar>
          </w:tcPr>
          <w:p>
            <w:r>
              <w:rPr>
                <w:b w:val="false"/>
                <w:bCs w:val="false"/>
              </w:rPr>
              <w:t xml:space="preserve">07 — DXP Execute Payment</w:t>
            </w:r>
          </w:p>
        </w:tc>
        <w:tc>
          <w:tcPr>
            <w:tcW w:type="dxa" w:w="6056"/>
            <w:tcMar>
              <w:top w:type="dxa" w:w="60"/>
              <w:left w:type="dxa" w:w="100"/>
              <w:bottom w:type="dxa" w:w="60"/>
              <w:right w:type="dxa" w:w="100"/>
            </w:tcMar>
          </w:tcPr>
          <w:p>
            <w:r>
              <w:rPr>
                <w:b w:val="false"/>
                <w:bCs w:val="false"/>
              </w:rPr>
              <w:t xml:space="preserve">Outward transfers (OT03) via the digital channel are reported to the app as an 'invalid IBAN' error by default on success, unless the beneficiary account specifically validates as IBAN-format. Is this an intentional channel policy (IBAN is a hard requirement for this channel), or is it masking genuinely successful non-IBAN transfers as failures?</w:t>
            </w:r>
          </w:p>
        </w:tc>
      </w:tr>
      <w:tr>
        <w:tc>
          <w:tcPr>
            <w:tcW w:type="dxa" w:w="551"/>
            <w:tcMar>
              <w:top w:type="dxa" w:w="60"/>
              <w:left w:type="dxa" w:w="100"/>
              <w:bottom w:type="dxa" w:w="60"/>
              <w:right w:type="dxa" w:w="100"/>
            </w:tcMar>
          </w:tcPr>
          <w:p>
            <w:r>
              <w:rPr>
                <w:b w:val="false"/>
                <w:bCs w:val="false"/>
              </w:rPr>
              <w:t xml:space="preserve">B2</w:t>
            </w:r>
          </w:p>
        </w:tc>
        <w:tc>
          <w:tcPr>
            <w:tcW w:type="dxa" w:w="2753"/>
            <w:tcMar>
              <w:top w:type="dxa" w:w="60"/>
              <w:left w:type="dxa" w:w="100"/>
              <w:bottom w:type="dxa" w:w="60"/>
              <w:right w:type="dxa" w:w="100"/>
            </w:tcMar>
          </w:tcPr>
          <w:p>
            <w:r>
              <w:rPr>
                <w:b w:val="false"/>
                <w:bCs w:val="false"/>
              </w:rPr>
              <w:t xml:space="preserve">03 — Amend Outward Transfer</w:t>
            </w:r>
          </w:p>
        </w:tc>
        <w:tc>
          <w:tcPr>
            <w:tcW w:type="dxa" w:w="6056"/>
            <w:tcMar>
              <w:top w:type="dxa" w:w="60"/>
              <w:left w:type="dxa" w:w="100"/>
              <w:bottom w:type="dxa" w:w="60"/>
              <w:right w:type="dxa" w:w="100"/>
            </w:tcMar>
          </w:tcPr>
          <w:p>
            <w:r>
              <w:rPr>
                <w:b w:val="false"/>
                <w:bCs w:val="false"/>
              </w:rPr>
              <w:t xml:space="preserve">A rule auto-waives commission entirely when no commission type is specified and the debit account number exceeds 12 characters. Is this an intentional concession, or should it be reviewed?</w:t>
            </w:r>
          </w:p>
        </w:tc>
      </w:tr>
      <w:tr>
        <w:tc>
          <w:tcPr>
            <w:tcW w:type="dxa" w:w="551"/>
            <w:tcMar>
              <w:top w:type="dxa" w:w="60"/>
              <w:left w:type="dxa" w:w="100"/>
              <w:bottom w:type="dxa" w:w="60"/>
              <w:right w:type="dxa" w:w="100"/>
            </w:tcMar>
          </w:tcPr>
          <w:p>
            <w:r>
              <w:rPr>
                <w:b w:val="false"/>
                <w:bCs w:val="false"/>
              </w:rPr>
              <w:t xml:space="preserve">B3</w:t>
            </w:r>
          </w:p>
        </w:tc>
        <w:tc>
          <w:tcPr>
            <w:tcW w:type="dxa" w:w="2753"/>
            <w:tcMar>
              <w:top w:type="dxa" w:w="60"/>
              <w:left w:type="dxa" w:w="100"/>
              <w:bottom w:type="dxa" w:w="60"/>
              <w:right w:type="dxa" w:w="100"/>
            </w:tcMar>
          </w:tcPr>
          <w:p>
            <w:r>
              <w:rPr>
                <w:b w:val="false"/>
                <w:bCs w:val="false"/>
              </w:rPr>
              <w:t xml:space="preserve">03 — Amend Outward Transfer</w:t>
            </w:r>
          </w:p>
        </w:tc>
        <w:tc>
          <w:tcPr>
            <w:tcW w:type="dxa" w:w="6056"/>
            <w:tcMar>
              <w:top w:type="dxa" w:w="60"/>
              <w:left w:type="dxa" w:w="100"/>
              <w:bottom w:type="dxa" w:w="60"/>
              <w:right w:type="dxa" w:w="100"/>
            </w:tcMar>
          </w:tcPr>
          <w:p>
            <w:r>
              <w:rPr>
                <w:b w:val="false"/>
                <w:bCs w:val="false"/>
              </w:rPr>
              <w:t xml:space="preserve">The beneficiary's bank BIC code cannot be changed through an amendment (only through the original Create). Intentional restriction, or a gap to close?</w:t>
            </w:r>
          </w:p>
        </w:tc>
      </w:tr>
      <w:tr>
        <w:tc>
          <w:tcPr>
            <w:tcW w:type="dxa" w:w="551"/>
            <w:tcMar>
              <w:top w:type="dxa" w:w="60"/>
              <w:left w:type="dxa" w:w="100"/>
              <w:bottom w:type="dxa" w:w="60"/>
              <w:right w:type="dxa" w:w="100"/>
            </w:tcMar>
          </w:tcPr>
          <w:p>
            <w:r>
              <w:rPr>
                <w:b w:val="false"/>
                <w:bCs w:val="false"/>
              </w:rPr>
              <w:t xml:space="preserve">B4</w:t>
            </w:r>
          </w:p>
        </w:tc>
        <w:tc>
          <w:tcPr>
            <w:tcW w:type="dxa" w:w="2753"/>
            <w:tcMar>
              <w:top w:type="dxa" w:w="60"/>
              <w:left w:type="dxa" w:w="100"/>
              <w:bottom w:type="dxa" w:w="60"/>
              <w:right w:type="dxa" w:w="100"/>
            </w:tcMar>
          </w:tcPr>
          <w:p>
            <w:r>
              <w:rPr>
                <w:b w:val="false"/>
                <w:bCs w:val="false"/>
              </w:rPr>
              <w:t xml:space="preserve">05 — Create Nostro Transfer</w:t>
            </w:r>
          </w:p>
        </w:tc>
        <w:tc>
          <w:tcPr>
            <w:tcW w:type="dxa" w:w="6056"/>
            <w:tcMar>
              <w:top w:type="dxa" w:w="60"/>
              <w:left w:type="dxa" w:w="100"/>
              <w:bottom w:type="dxa" w:w="60"/>
              <w:right w:type="dxa" w:w="100"/>
            </w:tcMar>
          </w:tcPr>
          <w:p>
            <w:r>
              <w:rPr>
                <w:b w:val="false"/>
                <w:bCs w:val="false"/>
              </w:rPr>
              <w:t xml:space="preserve">Every Nostro transfer is booked under a single hardcoded branch code, regardless of the initiating channel. Intentional centralized booking, or should this be configurable?</w:t>
            </w:r>
          </w:p>
        </w:tc>
      </w:tr>
      <w:tr>
        <w:tc>
          <w:tcPr>
            <w:tcW w:type="dxa" w:w="551"/>
            <w:tcMar>
              <w:top w:type="dxa" w:w="60"/>
              <w:left w:type="dxa" w:w="100"/>
              <w:bottom w:type="dxa" w:w="60"/>
              <w:right w:type="dxa" w:w="100"/>
            </w:tcMar>
          </w:tcPr>
          <w:p>
            <w:r>
              <w:rPr>
                <w:b w:val="false"/>
                <w:bCs w:val="false"/>
              </w:rPr>
              <w:t xml:space="preserve">B5</w:t>
            </w:r>
          </w:p>
        </w:tc>
        <w:tc>
          <w:tcPr>
            <w:tcW w:type="dxa" w:w="2753"/>
            <w:tcMar>
              <w:top w:type="dxa" w:w="60"/>
              <w:left w:type="dxa" w:w="100"/>
              <w:bottom w:type="dxa" w:w="60"/>
              <w:right w:type="dxa" w:w="100"/>
            </w:tcMar>
          </w:tcPr>
          <w:p>
            <w:r>
              <w:rPr>
                <w:b w:val="false"/>
                <w:bCs w:val="false"/>
              </w:rPr>
              <w:t xml:space="preserve">05 — Create Nostro Transfer</w:t>
            </w:r>
          </w:p>
        </w:tc>
        <w:tc>
          <w:tcPr>
            <w:tcW w:type="dxa" w:w="6056"/>
            <w:tcMar>
              <w:top w:type="dxa" w:w="60"/>
              <w:left w:type="dxa" w:w="100"/>
              <w:bottom w:type="dxa" w:w="60"/>
              <w:right w:type="dxa" w:w="100"/>
            </w:tcMar>
          </w:tcPr>
          <w:p>
            <w:r>
              <w:rPr>
                <w:b w:val="false"/>
                <w:bCs w:val="false"/>
              </w:rPr>
              <w:t xml:space="preserve">A specific business rule ('PEG_FLAG') resolves a 'DE customer number' for certain domestic transfers under specific conditions. The code shows the mechanism but not the business purpose — what does this represent, and is it still required?</w:t>
            </w:r>
          </w:p>
        </w:tc>
      </w:tr>
      <w:tr>
        <w:tc>
          <w:tcPr>
            <w:tcW w:type="dxa" w:w="551"/>
            <w:tcMar>
              <w:top w:type="dxa" w:w="60"/>
              <w:left w:type="dxa" w:w="100"/>
              <w:bottom w:type="dxa" w:w="60"/>
              <w:right w:type="dxa" w:w="100"/>
            </w:tcMar>
          </w:tcPr>
          <w:p>
            <w:r>
              <w:rPr>
                <w:b w:val="false"/>
                <w:bCs w:val="false"/>
              </w:rPr>
              <w:t xml:space="preserve">B6</w:t>
            </w:r>
          </w:p>
        </w:tc>
        <w:tc>
          <w:tcPr>
            <w:tcW w:type="dxa" w:w="2753"/>
            <w:tcMar>
              <w:top w:type="dxa" w:w="60"/>
              <w:left w:type="dxa" w:w="100"/>
              <w:bottom w:type="dxa" w:w="60"/>
              <w:right w:type="dxa" w:w="100"/>
            </w:tcMar>
          </w:tcPr>
          <w:p>
            <w:r>
              <w:rPr>
                <w:b w:val="false"/>
                <w:bCs w:val="false"/>
              </w:rPr>
              <w:t xml:space="preserve">08/09 — VASCO Fraud-Logging Chain</w:t>
            </w:r>
          </w:p>
        </w:tc>
        <w:tc>
          <w:tcPr>
            <w:tcW w:type="dxa" w:w="6056"/>
            <w:tcMar>
              <w:top w:type="dxa" w:w="60"/>
              <w:left w:type="dxa" w:w="100"/>
              <w:bottom w:type="dxa" w:w="60"/>
              <w:right w:type="dxa" w:w="100"/>
            </w:tcMar>
          </w:tcPr>
          <w:p>
            <w:r>
              <w:rPr>
                <w:b w:val="false"/>
                <w:bCs w:val="false"/>
              </w:rPr>
              <w:t xml:space="preserve">A separate, authorization-triggered mechanism (CIB.SMS.FT) may independently ensure every transfer — including same-customer transfers, which appear to be missed by the main chain — reaches the fraud-monitoring export. Is this mechanism still active in the live system today? This determines whether fraud-monitoring coverage has a real gap or not.</w:t>
            </w:r>
          </w:p>
        </w:tc>
      </w:tr>
      <w:tr>
        <w:tc>
          <w:tcPr>
            <w:tcW w:type="dxa" w:w="551"/>
            <w:tcMar>
              <w:top w:type="dxa" w:w="60"/>
              <w:left w:type="dxa" w:w="100"/>
              <w:bottom w:type="dxa" w:w="60"/>
              <w:right w:type="dxa" w:w="100"/>
            </w:tcMar>
          </w:tcPr>
          <w:p>
            <w:r>
              <w:rPr>
                <w:b w:val="false"/>
                <w:bCs w:val="false"/>
              </w:rPr>
              <w:t xml:space="preserve">B7</w:t>
            </w:r>
          </w:p>
        </w:tc>
        <w:tc>
          <w:tcPr>
            <w:tcW w:type="dxa" w:w="2753"/>
            <w:tcMar>
              <w:top w:type="dxa" w:w="60"/>
              <w:left w:type="dxa" w:w="100"/>
              <w:bottom w:type="dxa" w:w="60"/>
              <w:right w:type="dxa" w:w="100"/>
            </w:tcMar>
          </w:tcPr>
          <w:p>
            <w:r>
              <w:rPr>
                <w:b w:val="false"/>
                <w:bCs w:val="false"/>
              </w:rPr>
              <w:t xml:space="preserve">04 — Authorise FT</w:t>
            </w:r>
          </w:p>
        </w:tc>
        <w:tc>
          <w:tcPr>
            <w:tcW w:type="dxa" w:w="6056"/>
            <w:tcMar>
              <w:top w:type="dxa" w:w="60"/>
              <w:left w:type="dxa" w:w="100"/>
              <w:bottom w:type="dxa" w:w="60"/>
              <w:right w:type="dxa" w:w="100"/>
            </w:tcMar>
          </w:tcPr>
          <w:p>
            <w:r>
              <w:rPr>
                <w:b w:val="false"/>
                <w:bCs w:val="false"/>
              </w:rPr>
              <w:t xml:space="preserve">The underlying mechanism can perform Input/Delete/Reverse actions on a transfer record, not just Authorize, despite the service's name and stated purpose. Is this range of actions actually used by any caller today, or is Authorize the only one that matters going forward?</w:t>
            </w:r>
          </w:p>
        </w:tc>
      </w:tr>
      <w:tr>
        <w:tc>
          <w:tcPr>
            <w:tcW w:type="dxa" w:w="551"/>
            <w:tcMar>
              <w:top w:type="dxa" w:w="60"/>
              <w:left w:type="dxa" w:w="100"/>
              <w:bottom w:type="dxa" w:w="60"/>
              <w:right w:type="dxa" w:w="100"/>
            </w:tcMar>
          </w:tcPr>
          <w:p>
            <w:r>
              <w:rPr>
                <w:b w:val="false"/>
                <w:bCs w:val="false"/>
              </w:rPr>
              <w:t xml:space="preserve">B8</w:t>
            </w:r>
          </w:p>
        </w:tc>
        <w:tc>
          <w:tcPr>
            <w:tcW w:type="dxa" w:w="2753"/>
            <w:tcMar>
              <w:top w:type="dxa" w:w="60"/>
              <w:left w:type="dxa" w:w="100"/>
              <w:bottom w:type="dxa" w:w="60"/>
              <w:right w:type="dxa" w:w="100"/>
            </w:tcMar>
          </w:tcPr>
          <w:p>
            <w:r>
              <w:rPr>
                <w:b w:val="false"/>
                <w:bCs w:val="false"/>
              </w:rPr>
              <w:t xml:space="preserve">06 — Get FT Details</w:t>
            </w:r>
          </w:p>
        </w:tc>
        <w:tc>
          <w:tcPr>
            <w:tcW w:type="dxa" w:w="6056"/>
            <w:tcMar>
              <w:top w:type="dxa" w:w="60"/>
              <w:left w:type="dxa" w:w="100"/>
              <w:bottom w:type="dxa" w:w="60"/>
              <w:right w:type="dxa" w:w="100"/>
            </w:tcMar>
          </w:tcPr>
          <w:p>
            <w:r>
              <w:rPr>
                <w:b w:val="false"/>
                <w:bCs w:val="false"/>
              </w:rPr>
              <w:t xml:space="preserve">The transfer-detail response contains the same underlying data repeated in four separate places (evidently accumulated through incremental changes over time). Should this duplication be preserved for compatibility with anything reading the current response, or cleaned up in the new design?</w:t>
            </w:r>
          </w:p>
        </w:tc>
      </w:tr>
      <w:tr>
        <w:tc>
          <w:tcPr>
            <w:tcW w:type="dxa" w:w="551"/>
            <w:tcMar>
              <w:top w:type="dxa" w:w="60"/>
              <w:left w:type="dxa" w:w="100"/>
              <w:bottom w:type="dxa" w:w="60"/>
              <w:right w:type="dxa" w:w="100"/>
            </w:tcMar>
          </w:tcPr>
          <w:p>
            <w:r>
              <w:rPr>
                <w:b w:val="false"/>
                <w:bCs w:val="false"/>
              </w:rPr>
              <w:t xml:space="preserve">B9</w:t>
            </w:r>
          </w:p>
        </w:tc>
        <w:tc>
          <w:tcPr>
            <w:tcW w:type="dxa" w:w="2753"/>
            <w:tcMar>
              <w:top w:type="dxa" w:w="60"/>
              <w:left w:type="dxa" w:w="100"/>
              <w:bottom w:type="dxa" w:w="60"/>
              <w:right w:type="dxa" w:w="100"/>
            </w:tcMar>
          </w:tcPr>
          <w:p>
            <w:r>
              <w:rPr>
                <w:b w:val="false"/>
                <w:bCs w:val="false"/>
              </w:rPr>
              <w:t xml:space="preserve">07 — DXP Execute Payment</w:t>
            </w:r>
          </w:p>
        </w:tc>
        <w:tc>
          <w:tcPr>
            <w:tcW w:type="dxa" w:w="6056"/>
            <w:tcMar>
              <w:top w:type="dxa" w:w="60"/>
              <w:left w:type="dxa" w:w="100"/>
              <w:bottom w:type="dxa" w:w="60"/>
              <w:right w:type="dxa" w:w="100"/>
            </w:tcMar>
          </w:tcPr>
          <w:p>
            <w:r>
              <w:rPr>
                <w:b w:val="false"/>
                <w:bCs w:val="false"/>
              </w:rPr>
              <w:t xml:space="preserve">Three separately-maintained mechanisms exist for deciding whether a system override message is safe to proceed past. Are these known to be kept in sync today, or is there a risk they've drifted apart? Should they be consolidated?</w:t>
            </w:r>
          </w:p>
        </w:tc>
      </w:tr>
    </w:tbl>
    <w:p>
      <w:pPr>
        <w:pStyle w:val="Heading1"/>
        <w:pBdr>
          <w:bottom w:val="single" w:color="2E5395" w:sz="6" w:space="4"/>
        </w:pBdr>
        <w:spacing w:after="150" w:before="300"/>
      </w:pPr>
      <w:r>
        <w:t xml:space="preserve">5. Category C — Candidate Change Request Scope for TPH/IRIS</w:t>
      </w:r>
    </w:p>
    <w:p>
      <w:pPr>
        <w:spacing w:after="120"/>
      </w:pPr>
      <w:r>
        <w:rPr>
          <w:i/>
          <w:iCs/>
          <w:color w:val="1E7B34"/>
        </w:rPr>
        <w:t xml:space="preserve">These are genuine design/build items for the new platform — not fixes to existing bugs, but real engineering work: consolidating mechanisms that are currently duplicated or inconsistent across services, replacing legacy patterns with better ones, and building out capabilities the current system only partially or informally supports. This is the list that should form the actual priced scope of the Change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2"/>
        <w:gridCol w:w="2340"/>
        <w:gridCol w:w="6488"/>
      </w:tblGrid>
      <w:tr>
        <w:trPr>
          <w:tblHeader/>
        </w:trPr>
        <w:tc>
          <w:tcPr>
            <w:tcW w:type="dxa" w:w="532"/>
            <w:shd w:fill="2E5395" w:val="clear"/>
            <w:tcMar>
              <w:top w:type="dxa" w:w="80"/>
              <w:left w:type="dxa" w:w="100"/>
              <w:bottom w:type="dxa" w:w="80"/>
              <w:right w:type="dxa" w:w="100"/>
            </w:tcMar>
          </w:tcPr>
          <w:p>
            <w:r>
              <w:rPr>
                <w:b/>
                <w:bCs/>
                <w:color w:val="FFFFFF"/>
              </w:rPr>
              <w:t xml:space="preserve">#</w:t>
            </w:r>
          </w:p>
        </w:tc>
        <w:tc>
          <w:tcPr>
            <w:tcW w:type="dxa" w:w="2340"/>
            <w:shd w:fill="2E5395" w:val="clear"/>
            <w:tcMar>
              <w:top w:type="dxa" w:w="80"/>
              <w:left w:type="dxa" w:w="100"/>
              <w:bottom w:type="dxa" w:w="80"/>
              <w:right w:type="dxa" w:w="100"/>
            </w:tcMar>
          </w:tcPr>
          <w:p>
            <w:r>
              <w:rPr>
                <w:b/>
                <w:bCs/>
                <w:color w:val="FFFFFF"/>
              </w:rPr>
              <w:t xml:space="preserve">Area</w:t>
            </w:r>
          </w:p>
        </w:tc>
        <w:tc>
          <w:tcPr>
            <w:tcW w:type="dxa" w:w="6488"/>
            <w:shd w:fill="2E5395" w:val="clear"/>
            <w:tcMar>
              <w:top w:type="dxa" w:w="80"/>
              <w:left w:type="dxa" w:w="100"/>
              <w:bottom w:type="dxa" w:w="80"/>
              <w:right w:type="dxa" w:w="100"/>
            </w:tcMar>
          </w:tcPr>
          <w:p>
            <w:r>
              <w:rPr>
                <w:b/>
                <w:bCs/>
                <w:color w:val="FFFFFF"/>
              </w:rPr>
              <w:t xml:space="preserve">Candidate Scope Item</w:t>
            </w:r>
          </w:p>
        </w:tc>
      </w:tr>
      <w:tr>
        <w:tc>
          <w:tcPr>
            <w:tcW w:type="dxa" w:w="532"/>
            <w:tcMar>
              <w:top w:type="dxa" w:w="60"/>
              <w:left w:type="dxa" w:w="100"/>
              <w:bottom w:type="dxa" w:w="60"/>
              <w:right w:type="dxa" w:w="100"/>
            </w:tcMar>
          </w:tcPr>
          <w:p>
            <w:r>
              <w:rPr>
                <w:b w:val="false"/>
                <w:bCs w:val="false"/>
              </w:rPr>
              <w:t xml:space="preserve">C1</w:t>
            </w:r>
          </w:p>
        </w:tc>
        <w:tc>
          <w:tcPr>
            <w:tcW w:type="dxa" w:w="2340"/>
            <w:tcMar>
              <w:top w:type="dxa" w:w="60"/>
              <w:left w:type="dxa" w:w="100"/>
              <w:bottom w:type="dxa" w:w="60"/>
              <w:right w:type="dxa" w:w="100"/>
            </w:tcMar>
          </w:tcPr>
          <w:p>
            <w:r>
              <w:rPr>
                <w:b w:val="false"/>
                <w:bCs w:val="false"/>
              </w:rPr>
              <w:t xml:space="preserve">Cross-cutting</w:t>
            </w:r>
          </w:p>
        </w:tc>
        <w:tc>
          <w:tcPr>
            <w:tcW w:type="dxa" w:w="6488"/>
            <w:tcMar>
              <w:top w:type="dxa" w:w="60"/>
              <w:left w:type="dxa" w:w="100"/>
              <w:bottom w:type="dxa" w:w="60"/>
              <w:right w:type="dxa" w:w="100"/>
            </w:tcMar>
          </w:tcPr>
          <w:p>
            <w:r>
              <w:rPr>
                <w:b w:val="false"/>
                <w:bCs w:val="false"/>
              </w:rPr>
              <w:t xml:space="preserve">Design and build a single, shared idempotency/audit component for the whole transfer family, replacing the three different mechanisms currently in use (a MSG.ID-based table in some services, a composite date-type-ID key in DXP, and a version-control-triggered path for fraud logging).</w:t>
            </w:r>
          </w:p>
        </w:tc>
      </w:tr>
      <w:tr>
        <w:tc>
          <w:tcPr>
            <w:tcW w:type="dxa" w:w="532"/>
            <w:tcMar>
              <w:top w:type="dxa" w:w="60"/>
              <w:left w:type="dxa" w:w="100"/>
              <w:bottom w:type="dxa" w:w="60"/>
              <w:right w:type="dxa" w:w="100"/>
            </w:tcMar>
          </w:tcPr>
          <w:p>
            <w:r>
              <w:rPr>
                <w:b w:val="false"/>
                <w:bCs w:val="false"/>
              </w:rPr>
              <w:t xml:space="preserve">C2</w:t>
            </w:r>
          </w:p>
        </w:tc>
        <w:tc>
          <w:tcPr>
            <w:tcW w:type="dxa" w:w="2340"/>
            <w:tcMar>
              <w:top w:type="dxa" w:w="60"/>
              <w:left w:type="dxa" w:w="100"/>
              <w:bottom w:type="dxa" w:w="60"/>
              <w:right w:type="dxa" w:w="100"/>
            </w:tcMar>
          </w:tcPr>
          <w:p>
            <w:r>
              <w:rPr>
                <w:b w:val="false"/>
                <w:bCs w:val="false"/>
              </w:rPr>
              <w:t xml:space="preserve">Cross-cutting</w:t>
            </w:r>
          </w:p>
        </w:tc>
        <w:tc>
          <w:tcPr>
            <w:tcW w:type="dxa" w:w="6488"/>
            <w:tcMar>
              <w:top w:type="dxa" w:w="60"/>
              <w:left w:type="dxa" w:w="100"/>
              <w:bottom w:type="dxa" w:w="60"/>
              <w:right w:type="dxa" w:w="100"/>
            </w:tcMar>
          </w:tcPr>
          <w:p>
            <w:r>
              <w:rPr>
                <w:b w:val="false"/>
                <w:bCs w:val="false"/>
              </w:rPr>
              <w:t xml:space="preserve">Design and build a single, shared 'authorize a transfer' capability usable by every transfer-creating service, rather than each service either calling a separate authorize routine inconsistently or implementing its own inline authorization logic with a different posting mechanism.</w:t>
            </w:r>
          </w:p>
        </w:tc>
      </w:tr>
      <w:tr>
        <w:tc>
          <w:tcPr>
            <w:tcW w:type="dxa" w:w="532"/>
            <w:tcMar>
              <w:top w:type="dxa" w:w="60"/>
              <w:left w:type="dxa" w:w="100"/>
              <w:bottom w:type="dxa" w:w="60"/>
              <w:right w:type="dxa" w:w="100"/>
            </w:tcMar>
          </w:tcPr>
          <w:p>
            <w:r>
              <w:rPr>
                <w:b w:val="false"/>
                <w:bCs w:val="false"/>
              </w:rPr>
              <w:t xml:space="preserve">C3</w:t>
            </w:r>
          </w:p>
        </w:tc>
        <w:tc>
          <w:tcPr>
            <w:tcW w:type="dxa" w:w="2340"/>
            <w:tcMar>
              <w:top w:type="dxa" w:w="60"/>
              <w:left w:type="dxa" w:w="100"/>
              <w:bottom w:type="dxa" w:w="60"/>
              <w:right w:type="dxa" w:w="100"/>
            </w:tcMar>
          </w:tcPr>
          <w:p>
            <w:r>
              <w:rPr>
                <w:b w:val="false"/>
                <w:bCs w:val="false"/>
              </w:rPr>
              <w:t xml:space="preserve">Cross-cutting</w:t>
            </w:r>
          </w:p>
        </w:tc>
        <w:tc>
          <w:tcPr>
            <w:tcW w:type="dxa" w:w="6488"/>
            <w:tcMar>
              <w:top w:type="dxa" w:w="60"/>
              <w:left w:type="dxa" w:w="100"/>
              <w:bottom w:type="dxa" w:w="60"/>
              <w:right w:type="dxa" w:w="100"/>
            </w:tcMar>
          </w:tcPr>
          <w:p>
            <w:r>
              <w:rPr>
                <w:b w:val="false"/>
                <w:bCs w:val="false"/>
              </w:rPr>
              <w:t xml:space="preserve">Replace the various positional, pipe-delimited response formats (each service has its own field order and separator convention) with a consistent, structured/typed API response format across all seven services.</w:t>
            </w:r>
          </w:p>
        </w:tc>
      </w:tr>
      <w:tr>
        <w:tc>
          <w:tcPr>
            <w:tcW w:type="dxa" w:w="532"/>
            <w:tcMar>
              <w:top w:type="dxa" w:w="60"/>
              <w:left w:type="dxa" w:w="100"/>
              <w:bottom w:type="dxa" w:w="60"/>
              <w:right w:type="dxa" w:w="100"/>
            </w:tcMar>
          </w:tcPr>
          <w:p>
            <w:r>
              <w:rPr>
                <w:b w:val="false"/>
                <w:bCs w:val="false"/>
              </w:rPr>
              <w:t xml:space="preserve">C4</w:t>
            </w:r>
          </w:p>
        </w:tc>
        <w:tc>
          <w:tcPr>
            <w:tcW w:type="dxa" w:w="2340"/>
            <w:tcMar>
              <w:top w:type="dxa" w:w="60"/>
              <w:left w:type="dxa" w:w="100"/>
              <w:bottom w:type="dxa" w:w="60"/>
              <w:right w:type="dxa" w:w="100"/>
            </w:tcMar>
          </w:tcPr>
          <w:p>
            <w:r>
              <w:rPr>
                <w:b w:val="false"/>
                <w:bCs w:val="false"/>
              </w:rPr>
              <w:t xml:space="preserve">07 — DXP Execute Payment</w:t>
            </w:r>
          </w:p>
        </w:tc>
        <w:tc>
          <w:tcPr>
            <w:tcW w:type="dxa" w:w="6488"/>
            <w:tcMar>
              <w:top w:type="dxa" w:w="60"/>
              <w:left w:type="dxa" w:w="100"/>
              <w:bottom w:type="dxa" w:w="60"/>
              <w:right w:type="dxa" w:w="100"/>
            </w:tcMar>
          </w:tcPr>
          <w:p>
            <w:r>
              <w:rPr>
                <w:b w:val="false"/>
                <w:bCs w:val="false"/>
              </w:rPr>
              <w:t xml:space="preserve">Consolidate the three parallel override-classification mechanisms into one well-documented, single source of truth (pending the Category B decision on whether this is wanted).</w:t>
            </w:r>
          </w:p>
        </w:tc>
      </w:tr>
      <w:tr>
        <w:tc>
          <w:tcPr>
            <w:tcW w:type="dxa" w:w="532"/>
            <w:tcMar>
              <w:top w:type="dxa" w:w="60"/>
              <w:left w:type="dxa" w:w="100"/>
              <w:bottom w:type="dxa" w:w="60"/>
              <w:right w:type="dxa" w:w="100"/>
            </w:tcMar>
          </w:tcPr>
          <w:p>
            <w:r>
              <w:rPr>
                <w:b w:val="false"/>
                <w:bCs w:val="false"/>
              </w:rPr>
              <w:t xml:space="preserve">C5</w:t>
            </w:r>
          </w:p>
        </w:tc>
        <w:tc>
          <w:tcPr>
            <w:tcW w:type="dxa" w:w="2340"/>
            <w:tcMar>
              <w:top w:type="dxa" w:w="60"/>
              <w:left w:type="dxa" w:w="100"/>
              <w:bottom w:type="dxa" w:w="60"/>
              <w:right w:type="dxa" w:w="100"/>
            </w:tcMar>
          </w:tcPr>
          <w:p>
            <w:r>
              <w:rPr>
                <w:b w:val="false"/>
                <w:bCs w:val="false"/>
              </w:rPr>
              <w:t xml:space="preserve">08/09 — VASCO Integration</w:t>
            </w:r>
          </w:p>
        </w:tc>
        <w:tc>
          <w:tcPr>
            <w:tcW w:type="dxa" w:w="6488"/>
            <w:tcMar>
              <w:top w:type="dxa" w:w="60"/>
              <w:left w:type="dxa" w:w="100"/>
              <w:bottom w:type="dxa" w:w="60"/>
              <w:right w:type="dxa" w:w="100"/>
            </w:tcMar>
          </w:tcPr>
          <w:p>
            <w:r>
              <w:rPr>
                <w:b w:val="false"/>
                <w:bCs w:val="false"/>
              </w:rPr>
              <w:t xml:space="preserve">Redesign the VASCO fraud-monitoring integration as a structured, modern feed (e.g. an event or API-based integration) rather than the current mechanism of dropping individual XML files onto a shared filesystem folder for an external system to poll.</w:t>
            </w:r>
          </w:p>
        </w:tc>
      </w:tr>
      <w:tr>
        <w:tc>
          <w:tcPr>
            <w:tcW w:type="dxa" w:w="532"/>
            <w:tcMar>
              <w:top w:type="dxa" w:w="60"/>
              <w:left w:type="dxa" w:w="100"/>
              <w:bottom w:type="dxa" w:w="60"/>
              <w:right w:type="dxa" w:w="100"/>
            </w:tcMar>
          </w:tcPr>
          <w:p>
            <w:r>
              <w:rPr>
                <w:b w:val="false"/>
                <w:bCs w:val="false"/>
              </w:rPr>
              <w:t xml:space="preserve">C6</w:t>
            </w:r>
          </w:p>
        </w:tc>
        <w:tc>
          <w:tcPr>
            <w:tcW w:type="dxa" w:w="2340"/>
            <w:tcMar>
              <w:top w:type="dxa" w:w="60"/>
              <w:left w:type="dxa" w:w="100"/>
              <w:bottom w:type="dxa" w:w="60"/>
              <w:right w:type="dxa" w:w="100"/>
            </w:tcMar>
          </w:tcPr>
          <w:p>
            <w:r>
              <w:rPr>
                <w:b w:val="false"/>
                <w:bCs w:val="false"/>
              </w:rPr>
              <w:t xml:space="preserve">07 — DXP Execute Payment</w:t>
            </w:r>
          </w:p>
        </w:tc>
        <w:tc>
          <w:tcPr>
            <w:tcW w:type="dxa" w:w="6488"/>
            <w:tcMar>
              <w:top w:type="dxa" w:w="60"/>
              <w:left w:type="dxa" w:w="100"/>
              <w:bottom w:type="dxa" w:w="60"/>
              <w:right w:type="dxa" w:w="100"/>
            </w:tcMar>
          </w:tcPr>
          <w:p>
            <w:r>
              <w:rPr>
                <w:b w:val="false"/>
                <w:bCs w:val="false"/>
              </w:rPr>
              <w:t xml:space="preserve">Formally document and build the Instant Payment Network (IPN) routing rules and the domestic auto-authorization eligibility rules as first-class, explicitly specified business logic — these are currently embedded, undocumented decision trees inside the routine, and are business-critical enough to deserve their own specification and test suite.</w:t>
            </w:r>
          </w:p>
        </w:tc>
      </w:tr>
      <w:tr>
        <w:tc>
          <w:tcPr>
            <w:tcW w:type="dxa" w:w="532"/>
            <w:tcMar>
              <w:top w:type="dxa" w:w="60"/>
              <w:left w:type="dxa" w:w="100"/>
              <w:bottom w:type="dxa" w:w="60"/>
              <w:right w:type="dxa" w:w="100"/>
            </w:tcMar>
          </w:tcPr>
          <w:p>
            <w:r>
              <w:rPr>
                <w:b w:val="false"/>
                <w:bCs w:val="false"/>
              </w:rPr>
              <w:t xml:space="preserve">C7</w:t>
            </w:r>
          </w:p>
        </w:tc>
        <w:tc>
          <w:tcPr>
            <w:tcW w:type="dxa" w:w="2340"/>
            <w:tcMar>
              <w:top w:type="dxa" w:w="60"/>
              <w:left w:type="dxa" w:w="100"/>
              <w:bottom w:type="dxa" w:w="60"/>
              <w:right w:type="dxa" w:w="100"/>
            </w:tcMar>
          </w:tcPr>
          <w:p>
            <w:r>
              <w:rPr>
                <w:b w:val="false"/>
                <w:bCs w:val="false"/>
              </w:rPr>
              <w:t xml:space="preserve">06 — Get FT Details</w:t>
            </w:r>
          </w:p>
        </w:tc>
        <w:tc>
          <w:tcPr>
            <w:tcW w:type="dxa" w:w="6488"/>
            <w:tcMar>
              <w:top w:type="dxa" w:w="60"/>
              <w:left w:type="dxa" w:w="100"/>
              <w:bottom w:type="dxa" w:w="60"/>
              <w:right w:type="dxa" w:w="100"/>
            </w:tcMar>
          </w:tcPr>
          <w:p>
            <w:r>
              <w:rPr>
                <w:b w:val="false"/>
                <w:bCs w:val="false"/>
              </w:rPr>
              <w:t xml:space="preserve">Rebuild the transfer-detail response as a proper structured, configurable payload (following the pattern already used for Simulate Fees, Document 02) instead of the current hardcoded 49-field positional dump.</w:t>
            </w:r>
          </w:p>
        </w:tc>
      </w:tr>
      <w:tr>
        <w:tc>
          <w:tcPr>
            <w:tcW w:type="dxa" w:w="532"/>
            <w:tcMar>
              <w:top w:type="dxa" w:w="60"/>
              <w:left w:type="dxa" w:w="100"/>
              <w:bottom w:type="dxa" w:w="60"/>
              <w:right w:type="dxa" w:w="100"/>
            </w:tcMar>
          </w:tcPr>
          <w:p>
            <w:r>
              <w:rPr>
                <w:b w:val="false"/>
                <w:bCs w:val="false"/>
              </w:rPr>
              <w:t xml:space="preserve">C8</w:t>
            </w:r>
          </w:p>
        </w:tc>
        <w:tc>
          <w:tcPr>
            <w:tcW w:type="dxa" w:w="2340"/>
            <w:tcMar>
              <w:top w:type="dxa" w:w="60"/>
              <w:left w:type="dxa" w:w="100"/>
              <w:bottom w:type="dxa" w:w="60"/>
              <w:right w:type="dxa" w:w="100"/>
            </w:tcMar>
          </w:tcPr>
          <w:p>
            <w:r>
              <w:rPr>
                <w:b w:val="false"/>
                <w:bCs w:val="false"/>
              </w:rPr>
              <w:t xml:space="preserve">Cross-cutting</w:t>
            </w:r>
          </w:p>
        </w:tc>
        <w:tc>
          <w:tcPr>
            <w:tcW w:type="dxa" w:w="6488"/>
            <w:tcMar>
              <w:top w:type="dxa" w:w="60"/>
              <w:left w:type="dxa" w:w="100"/>
              <w:bottom w:type="dxa" w:w="60"/>
              <w:right w:type="dxa" w:w="100"/>
            </w:tcMar>
          </w:tcPr>
          <w:p>
            <w:r>
              <w:rPr>
                <w:b w:val="false"/>
                <w:bCs w:val="false"/>
              </w:rPr>
              <w:t xml:space="preserve">Build a consistent, documented error/status-code model across all services — several services currently reuse the same numeric code for different meanings, and one service uses an entirely different code shape (single-digit) from the rest.</w:t>
            </w:r>
          </w:p>
        </w:tc>
      </w:tr>
    </w:tbl>
    <w:p>
      <w:pPr>
        <w:pStyle w:val="Heading1"/>
        <w:pBdr>
          <w:bottom w:val="single" w:color="2E5395" w:sz="6" w:space="4"/>
        </w:pBdr>
        <w:spacing w:after="150" w:before="300"/>
      </w:pPr>
      <w:r>
        <w:t xml:space="preserve">6. Business Validation Session — Suggested Agenda</w:t>
      </w:r>
    </w:p>
    <w:p>
      <w:pPr>
        <w:spacing w:after="120"/>
      </w:pPr>
      <w:r>
        <w:t xml:space="preserve">A structure for the working session with the business, designed to move through all nine documents' findings efficiently without re-litigating the technical detail already captured in each one.</w:t>
      </w:r>
    </w:p>
    <w:p>
      <w:pPr>
        <w:spacing w:after="100"/>
      </w:pPr>
      <w:r>
        <w:rPr>
          <w:b/>
          <w:bCs/>
        </w:rPr>
        <w:t xml:space="preserve">1. </w:t>
      </w:r>
      <w:r>
        <w:t xml:space="preserve">Open with Section 3 (Category A) — confirm agreement that these are defects, not CR scope, and agree who raises them with the vendor as a defect list and on what timeline (flag A4, the hardcoded email, as needing to move faster than the rest).</w:t>
      </w:r>
    </w:p>
    <w:p>
      <w:pPr>
        <w:spacing w:after="100"/>
      </w:pPr>
      <w:r>
        <w:rPr>
          <w:b/>
          <w:bCs/>
        </w:rPr>
        <w:t xml:space="preserve">2. </w:t>
      </w:r>
      <w:r>
        <w:t xml:space="preserve">Work through Section 4 (Category B) question by question — for each, get a clear business answer (not just acknowledgment), and note it directly against the item so the decision is preserved in writing.</w:t>
      </w:r>
    </w:p>
    <w:p>
      <w:pPr>
        <w:spacing w:after="100"/>
      </w:pPr>
      <w:r>
        <w:rPr>
          <w:b/>
          <w:bCs/>
        </w:rPr>
        <w:t xml:space="preserve">3. </w:t>
      </w:r>
      <w:r>
        <w:t xml:space="preserve">Once B1–B9 are answered, revisit Section 5 (Category C) and adjust scope items C1–C8 in light of those answers — some Category B answers may add, remove, or reshape a Category C item (e.g. B1's answer affects how C6 should be specified).</w:t>
      </w:r>
    </w:p>
    <w:p>
      <w:pPr>
        <w:spacing w:after="100"/>
      </w:pPr>
      <w:r>
        <w:rPr>
          <w:b/>
          <w:bCs/>
        </w:rPr>
        <w:t xml:space="preserve">4. </w:t>
      </w:r>
      <w:r>
        <w:t xml:space="preserve">Confirm priority/sequencing across Category C items — not everything needs to land in the same CR or the same phase; Documents 01, 03, 05, and 07 (the highest business-criticality services) likely warrant earlier treatment than Document 06 (read-only enquiry).</w:t>
      </w:r>
    </w:p>
    <w:p>
      <w:pPr>
        <w:spacing w:after="100"/>
      </w:pPr>
      <w:r>
        <w:rPr>
          <w:b/>
          <w:bCs/>
        </w:rPr>
        <w:t xml:space="preserve">5. </w:t>
      </w:r>
      <w:r>
        <w:t xml:space="preserve">Agree who owns turning the validated Category C list into the formal CR document (Section 7) and the target date for sending it to the vendor.</w:t>
      </w:r>
    </w:p>
    <w:p>
      <w:pPr>
        <w:pStyle w:val="Heading1"/>
        <w:pBdr>
          <w:bottom w:val="single" w:color="2E5395" w:sz="6" w:space="4"/>
        </w:pBdr>
        <w:spacing w:after="150" w:before="300"/>
      </w:pPr>
      <w:r>
        <w:t xml:space="preserve">7. Draft Change Request — Ready to Adapt for the Vendor</w:t>
      </w:r>
    </w:p>
    <w:p>
      <w:pPr>
        <w:spacing w:after="120"/>
      </w:pPr>
      <w:r>
        <w:rPr>
          <w:i/>
          <w:iCs/>
          <w:color w:val="555555"/>
        </w:rPr>
        <w:t xml:space="preserve">The structure below is written to be lifted directly into your organization's own CR template. Placeholders in [brackets] should be filled in once Section 6's session is complete.</w:t>
      </w:r>
    </w:p>
    <w:p>
      <w:pPr>
        <w:pStyle w:val="Heading2"/>
        <w:spacing w:after="120" w:before="260"/>
      </w:pPr>
      <w:r>
        <w:t xml:space="preserve">7.1 Background</w:t>
      </w:r>
    </w:p>
    <w:p>
      <w:pPr>
        <w:spacing w:after="120"/>
      </w:pPr>
      <w:r>
        <w:t xml:space="preserve">As part of the T24 R20 to TPH R25 (FT to IRIS API) migration programme, a full code-level audit was conducted across [N] customer- and channel-facing funds transfer services, comparing current T24 custom-routine behavior against the target TPH/IRIS design. This audit identified a number of areas where the current system's behavior is inconsistent across services, relies on informal or undocumented mechanisms, or would benefit from consolidation and modernization as part of the platform migration, distinct from and in addition to standard functional parity.</w:t>
      </w:r>
    </w:p>
    <w:p>
      <w:pPr>
        <w:pStyle w:val="Heading2"/>
        <w:spacing w:after="120" w:before="260"/>
      </w:pPr>
      <w:r>
        <w:t xml:space="preserve">7.2 Objective</w:t>
      </w:r>
    </w:p>
    <w:p>
      <w:pPr>
        <w:spacing w:after="120"/>
      </w:pPr>
      <w:r>
        <w:t xml:space="preserve">To ensure the TPH/IRIS implementation of the funds transfer service family [does not simply replicate legacy inconsistencies, but instead delivers: [insert 2-3 sentence objective summarizing the Category C scope, e.g. a single consistent idempotency/authorization model, structured API responses, and a modernized fraud-monitoring integration]].</w:t>
      </w:r>
    </w:p>
    <w:p>
      <w:pPr>
        <w:pStyle w:val="Heading2"/>
        <w:spacing w:after="120" w:before="260"/>
      </w:pPr>
      <w:r>
        <w:t xml:space="preserve">7.3 Scope of Change</w:t>
      </w:r>
    </w:p>
    <w:p>
      <w:pPr>
        <w:spacing w:after="120"/>
      </w:pPr>
      <w:r>
        <w:t xml:space="preserve">[Insert the validated and finalized version of Category C, Section 5 above, as numbered scope items, each with enough detail for the vendor to estimate against — expand each one-line item into 3-5 sentences of concrete requirement once Section 6 is complete.]</w:t>
      </w:r>
    </w:p>
    <w:p>
      <w:pPr>
        <w:pStyle w:val="Heading2"/>
        <w:spacing w:after="120" w:before="260"/>
      </w:pPr>
      <w:r>
        <w:t xml:space="preserve">7.4 Explicitly Out of Scope / Vendor's Existing Responsibility</w:t>
      </w:r>
    </w:p>
    <w:p>
      <w:pPr>
        <w:spacing w:after="120"/>
      </w:pPr>
      <w:r>
        <w:t xml:space="preserve">The following items are defects identified in the course of this audit against the vendor's existing delivered T24 customizations, and are raised separately as defect reports under the existing support arrangement. They are explicitly NOT part of this Change Request's priced scope:</w:t>
      </w:r>
    </w:p>
    <w:p>
      <w:pPr>
        <w:spacing w:after="120"/>
      </w:pPr>
      <w:r>
        <w:rPr>
          <w:i/>
          <w:iCs/>
        </w:rPr>
        <w:t xml:space="preserve">[Insert the finalized Category A list, Section 3 above, by reference ("See Defect Report DR-xxx") rather than restating full detail here — keeps the CR itself focused on new scope only.]</w:t>
      </w:r>
    </w:p>
    <w:p>
      <w:pPr>
        <w:pStyle w:val="Heading2"/>
        <w:spacing w:after="120" w:before="260"/>
      </w:pPr>
      <w:r>
        <w:t xml:space="preserve">7.5 Assumptions &amp; Dependencies</w:t>
      </w:r>
    </w:p>
    <w:p>
      <w:pPr>
        <w:spacing w:after="120"/>
      </w:pPr>
      <w:r>
        <w:t xml:space="preserve">[Insert the finalized business decisions from Category B, Section 4 above, restated as assumptions the CR estimate is based on — e.g. "This CR assumes the OT03 IBAN-validation behavior (B1) is confirmed as intentional business policy and will be replicated as-is in the new design." Each assumption should be traceable back to its Category B answer.]</w:t>
      </w:r>
    </w:p>
    <w:p>
      <w:pPr>
        <w:pStyle w:val="Heading2"/>
        <w:spacing w:after="120" w:before="260"/>
      </w:pPr>
      <w:r>
        <w:t xml:space="preserve">7.6 Deliverables Expected</w:t>
      </w:r>
    </w:p>
    <w:p>
      <w:pPr>
        <w:pStyle w:val="ListParagraph"/>
        <w:numPr>
          <w:ilvl w:val="0"/>
          <w:numId w:val="1"/>
        </w:numPr>
        <w:spacing w:after="60"/>
      </w:pPr>
      <w:r>
        <w:t xml:space="preserve">[Design document(s) for each in-scope consolidated component — e.g. the shared idempotency/authorization model, C1/C2]</w:t>
      </w:r>
    </w:p>
    <w:p>
      <w:pPr>
        <w:pStyle w:val="ListParagraph"/>
        <w:numPr>
          <w:ilvl w:val="0"/>
          <w:numId w:val="1"/>
        </w:numPr>
        <w:spacing w:after="60"/>
      </w:pPr>
      <w:r>
        <w:t xml:space="preserve">[Updated API specification(s) reflecting the structured response format, C3]</w:t>
      </w:r>
    </w:p>
    <w:p>
      <w:pPr>
        <w:pStyle w:val="ListParagraph"/>
        <w:numPr>
          <w:ilvl w:val="0"/>
          <w:numId w:val="1"/>
        </w:numPr>
        <w:spacing w:after="60"/>
      </w:pPr>
      <w:r>
        <w:t xml:space="preserve">[Test evidence / UAT sign-off per in-scope item]</w:t>
      </w:r>
    </w:p>
    <w:p>
      <w:pPr>
        <w:pStyle w:val="ListParagraph"/>
        <w:numPr>
          <w:ilvl w:val="0"/>
          <w:numId w:val="1"/>
        </w:numPr>
        <w:spacing w:after="60"/>
      </w:pPr>
      <w:r>
        <w:t xml:space="preserve">[Updated technical documentation for any business logic formally specified as part of this CR, e.g. C6]</w:t>
      </w:r>
    </w:p>
    <w:p>
      <w:pPr>
        <w:pStyle w:val="Heading2"/>
        <w:spacing w:after="120" w:before="260"/>
      </w:pPr>
      <w:r>
        <w:t xml:space="preserve">7.7 Acceptance Criteria</w:t>
      </w:r>
    </w:p>
    <w:p>
      <w:pPr>
        <w:spacing w:after="120"/>
      </w:pPr>
      <w:r>
        <w:t xml:space="preserve">[Define, per scope item, what "done" looks like — e.g. for C1: "A single idempotency check, used identically by all seven transfer services, replacing the three current mechanisms, demonstrated via test cases covering duplicate-message replay for each service."]</w:t>
      </w:r>
    </w:p>
    <w:p>
      <w:pPr>
        <w:pStyle w:val="Heading1"/>
        <w:pBdr>
          <w:bottom w:val="single" w:color="2E5395" w:sz="6" w:space="4"/>
        </w:pBdr>
        <w:spacing w:after="150" w:before="300"/>
      </w:pPr>
      <w:r>
        <w:t xml:space="preserve">8. Source Document Cross-Reference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8"/>
        <w:gridCol w:w="8112"/>
      </w:tblGrid>
      <w:tr>
        <w:trPr>
          <w:tblHeader/>
        </w:trPr>
        <w:tc>
          <w:tcPr>
            <w:tcW w:type="dxa" w:w="1248"/>
            <w:shd w:fill="2E5395" w:val="clear"/>
            <w:tcMar>
              <w:top w:type="dxa" w:w="80"/>
              <w:left w:type="dxa" w:w="100"/>
              <w:bottom w:type="dxa" w:w="80"/>
              <w:right w:type="dxa" w:w="100"/>
            </w:tcMar>
          </w:tcPr>
          <w:p>
            <w:r>
              <w:rPr>
                <w:b/>
                <w:bCs/>
                <w:color w:val="FFFFFF"/>
              </w:rPr>
              <w:t xml:space="preserve">Doc #</w:t>
            </w:r>
          </w:p>
        </w:tc>
        <w:tc>
          <w:tcPr>
            <w:tcW w:type="dxa" w:w="8112"/>
            <w:shd w:fill="2E5395" w:val="clear"/>
            <w:tcMar>
              <w:top w:type="dxa" w:w="80"/>
              <w:left w:type="dxa" w:w="100"/>
              <w:bottom w:type="dxa" w:w="80"/>
              <w:right w:type="dxa" w:w="100"/>
            </w:tcMar>
          </w:tcPr>
          <w:p>
            <w:r>
              <w:rPr>
                <w:b/>
                <w:bCs/>
                <w:color w:val="FFFFFF"/>
              </w:rPr>
              <w:t xml:space="preserve">Full Title</w:t>
            </w:r>
          </w:p>
        </w:tc>
      </w:tr>
      <w:tr>
        <w:tc>
          <w:tcPr>
            <w:tcW w:type="dxa" w:w="1248"/>
            <w:tcMar>
              <w:top w:type="dxa" w:w="60"/>
              <w:left w:type="dxa" w:w="100"/>
              <w:bottom w:type="dxa" w:w="60"/>
              <w:right w:type="dxa" w:w="100"/>
            </w:tcMar>
          </w:tcPr>
          <w:p>
            <w:r>
              <w:rPr>
                <w:b w:val="false"/>
                <w:bCs w:val="false"/>
              </w:rPr>
              <w:t xml:space="preserve">01</w:t>
            </w:r>
          </w:p>
        </w:tc>
        <w:tc>
          <w:tcPr>
            <w:tcW w:type="dxa" w:w="8112"/>
            <w:tcMar>
              <w:top w:type="dxa" w:w="60"/>
              <w:left w:type="dxa" w:w="100"/>
              <w:bottom w:type="dxa" w:w="60"/>
              <w:right w:type="dxa" w:w="100"/>
            </w:tcMar>
          </w:tcPr>
          <w:p>
            <w:r>
              <w:rPr>
                <w:b w:val="false"/>
                <w:bCs w:val="false"/>
              </w:rPr>
              <w:t xml:space="preserve">Service Analysis — Create Outward Transfer (CIB.OT.FT / 1006)</w:t>
            </w:r>
          </w:p>
        </w:tc>
      </w:tr>
      <w:tr>
        <w:tc>
          <w:tcPr>
            <w:tcW w:type="dxa" w:w="1248"/>
            <w:tcMar>
              <w:top w:type="dxa" w:w="60"/>
              <w:left w:type="dxa" w:w="100"/>
              <w:bottom w:type="dxa" w:w="60"/>
              <w:right w:type="dxa" w:w="100"/>
            </w:tcMar>
          </w:tcPr>
          <w:p>
            <w:r>
              <w:rPr>
                <w:b w:val="false"/>
                <w:bCs w:val="false"/>
              </w:rPr>
              <w:t xml:space="preserve">02</w:t>
            </w:r>
          </w:p>
        </w:tc>
        <w:tc>
          <w:tcPr>
            <w:tcW w:type="dxa" w:w="8112"/>
            <w:tcMar>
              <w:top w:type="dxa" w:w="60"/>
              <w:left w:type="dxa" w:w="100"/>
              <w:bottom w:type="dxa" w:w="60"/>
              <w:right w:type="dxa" w:w="100"/>
            </w:tcMar>
          </w:tcPr>
          <w:p>
            <w:r>
              <w:rPr>
                <w:b w:val="false"/>
                <w:bCs w:val="false"/>
              </w:rPr>
              <w:t xml:space="preserve">Service Analysis — Simulate Fees &amp; Calculate Commission (CIB.SIMULATE.CALC.FT / FT08)</w:t>
            </w:r>
          </w:p>
        </w:tc>
      </w:tr>
      <w:tr>
        <w:tc>
          <w:tcPr>
            <w:tcW w:type="dxa" w:w="1248"/>
            <w:tcMar>
              <w:top w:type="dxa" w:w="60"/>
              <w:left w:type="dxa" w:w="100"/>
              <w:bottom w:type="dxa" w:w="60"/>
              <w:right w:type="dxa" w:w="100"/>
            </w:tcMar>
          </w:tcPr>
          <w:p>
            <w:r>
              <w:rPr>
                <w:b w:val="false"/>
                <w:bCs w:val="false"/>
              </w:rPr>
              <w:t xml:space="preserve">03</w:t>
            </w:r>
          </w:p>
        </w:tc>
        <w:tc>
          <w:tcPr>
            <w:tcW w:type="dxa" w:w="8112"/>
            <w:tcMar>
              <w:top w:type="dxa" w:w="60"/>
              <w:left w:type="dxa" w:w="100"/>
              <w:bottom w:type="dxa" w:w="60"/>
              <w:right w:type="dxa" w:w="100"/>
            </w:tcMar>
          </w:tcPr>
          <w:p>
            <w:r>
              <w:rPr>
                <w:b w:val="false"/>
                <w:bCs w:val="false"/>
              </w:rPr>
              <w:t xml:space="preserve">Service Analysis — Amend Outward Transfer (CIB.AMEND.OT / 1012)</w:t>
            </w:r>
          </w:p>
        </w:tc>
      </w:tr>
      <w:tr>
        <w:tc>
          <w:tcPr>
            <w:tcW w:type="dxa" w:w="1248"/>
            <w:tcMar>
              <w:top w:type="dxa" w:w="60"/>
              <w:left w:type="dxa" w:w="100"/>
              <w:bottom w:type="dxa" w:w="60"/>
              <w:right w:type="dxa" w:w="100"/>
            </w:tcMar>
          </w:tcPr>
          <w:p>
            <w:r>
              <w:rPr>
                <w:b w:val="false"/>
                <w:bCs w:val="false"/>
              </w:rPr>
              <w:t xml:space="preserve">04</w:t>
            </w:r>
          </w:p>
        </w:tc>
        <w:tc>
          <w:tcPr>
            <w:tcW w:type="dxa" w:w="8112"/>
            <w:tcMar>
              <w:top w:type="dxa" w:w="60"/>
              <w:left w:type="dxa" w:w="100"/>
              <w:bottom w:type="dxa" w:w="60"/>
              <w:right w:type="dxa" w:w="100"/>
            </w:tcMar>
          </w:tcPr>
          <w:p>
            <w:r>
              <w:rPr>
                <w:b w:val="false"/>
                <w:bCs w:val="false"/>
              </w:rPr>
              <w:t xml:space="preserve">Service Analysis — Authorise FT (CIB.MSG.AUTHORIZE.SC / SC02)</w:t>
            </w:r>
          </w:p>
        </w:tc>
      </w:tr>
      <w:tr>
        <w:tc>
          <w:tcPr>
            <w:tcW w:type="dxa" w:w="1248"/>
            <w:tcMar>
              <w:top w:type="dxa" w:w="60"/>
              <w:left w:type="dxa" w:w="100"/>
              <w:bottom w:type="dxa" w:w="60"/>
              <w:right w:type="dxa" w:w="100"/>
            </w:tcMar>
          </w:tcPr>
          <w:p>
            <w:r>
              <w:rPr>
                <w:b w:val="false"/>
                <w:bCs w:val="false"/>
              </w:rPr>
              <w:t xml:space="preserve">05</w:t>
            </w:r>
          </w:p>
        </w:tc>
        <w:tc>
          <w:tcPr>
            <w:tcW w:type="dxa" w:w="8112"/>
            <w:tcMar>
              <w:top w:type="dxa" w:w="60"/>
              <w:left w:type="dxa" w:w="100"/>
              <w:bottom w:type="dxa" w:w="60"/>
              <w:right w:type="dxa" w:w="100"/>
            </w:tcMar>
          </w:tcPr>
          <w:p>
            <w:r>
              <w:rPr>
                <w:b w:val="false"/>
                <w:bCs w:val="false"/>
              </w:rPr>
              <w:t xml:space="preserve">Service Analysis — Create Nostro Transfer (CIB.NOSTRO.OT.FT / NA02)</w:t>
            </w:r>
          </w:p>
        </w:tc>
      </w:tr>
      <w:tr>
        <w:tc>
          <w:tcPr>
            <w:tcW w:type="dxa" w:w="1248"/>
            <w:tcMar>
              <w:top w:type="dxa" w:w="60"/>
              <w:left w:type="dxa" w:w="100"/>
              <w:bottom w:type="dxa" w:w="60"/>
              <w:right w:type="dxa" w:w="100"/>
            </w:tcMar>
          </w:tcPr>
          <w:p>
            <w:r>
              <w:rPr>
                <w:b w:val="false"/>
                <w:bCs w:val="false"/>
              </w:rPr>
              <w:t xml:space="preserve">06</w:t>
            </w:r>
          </w:p>
        </w:tc>
        <w:tc>
          <w:tcPr>
            <w:tcW w:type="dxa" w:w="8112"/>
            <w:tcMar>
              <w:top w:type="dxa" w:w="60"/>
              <w:left w:type="dxa" w:w="100"/>
              <w:bottom w:type="dxa" w:w="60"/>
              <w:right w:type="dxa" w:w="100"/>
            </w:tcMar>
          </w:tcPr>
          <w:p>
            <w:r>
              <w:rPr>
                <w:b w:val="false"/>
                <w:bCs w:val="false"/>
              </w:rPr>
              <w:t xml:space="preserve">Service Analysis — Get FT Details (CIB.GET.FT.DETAILS / 1026)</w:t>
            </w:r>
          </w:p>
        </w:tc>
      </w:tr>
      <w:tr>
        <w:tc>
          <w:tcPr>
            <w:tcW w:type="dxa" w:w="1248"/>
            <w:tcMar>
              <w:top w:type="dxa" w:w="60"/>
              <w:left w:type="dxa" w:w="100"/>
              <w:bottom w:type="dxa" w:w="60"/>
              <w:right w:type="dxa" w:w="100"/>
            </w:tcMar>
          </w:tcPr>
          <w:p>
            <w:r>
              <w:rPr>
                <w:b w:val="false"/>
                <w:bCs w:val="false"/>
              </w:rPr>
              <w:t xml:space="preserve">07</w:t>
            </w:r>
          </w:p>
        </w:tc>
        <w:tc>
          <w:tcPr>
            <w:tcW w:type="dxa" w:w="8112"/>
            <w:tcMar>
              <w:top w:type="dxa" w:w="60"/>
              <w:left w:type="dxa" w:w="100"/>
              <w:bottom w:type="dxa" w:w="60"/>
              <w:right w:type="dxa" w:w="100"/>
            </w:tcMar>
          </w:tcPr>
          <w:p>
            <w:r>
              <w:rPr>
                <w:b w:val="false"/>
                <w:bCs w:val="false"/>
              </w:rPr>
              <w:t xml:space="preserve">Service Analysis — DXP Execute Payment (CIB.DXP.FT / DXPFT)</w:t>
            </w:r>
          </w:p>
        </w:tc>
      </w:tr>
      <w:tr>
        <w:tc>
          <w:tcPr>
            <w:tcW w:type="dxa" w:w="1248"/>
            <w:tcMar>
              <w:top w:type="dxa" w:w="60"/>
              <w:left w:type="dxa" w:w="100"/>
              <w:bottom w:type="dxa" w:w="60"/>
              <w:right w:type="dxa" w:w="100"/>
            </w:tcMar>
          </w:tcPr>
          <w:p>
            <w:r>
              <w:rPr>
                <w:b w:val="false"/>
                <w:bCs w:val="false"/>
              </w:rPr>
              <w:t xml:space="preserve">08</w:t>
            </w:r>
          </w:p>
        </w:tc>
        <w:tc>
          <w:tcPr>
            <w:tcW w:type="dxa" w:w="8112"/>
            <w:tcMar>
              <w:top w:type="dxa" w:w="60"/>
              <w:left w:type="dxa" w:w="100"/>
              <w:bottom w:type="dxa" w:w="60"/>
              <w:right w:type="dxa" w:w="100"/>
            </w:tcMar>
          </w:tcPr>
          <w:p>
            <w:r>
              <w:rPr>
                <w:b w:val="false"/>
                <w:bCs w:val="false"/>
              </w:rPr>
              <w:t xml:space="preserve">Deep Dive — The VASCO Fraud-Logging Chain (corrects Document 01)</w:t>
            </w:r>
          </w:p>
        </w:tc>
      </w:tr>
      <w:tr>
        <w:tc>
          <w:tcPr>
            <w:tcW w:type="dxa" w:w="1248"/>
            <w:tcMar>
              <w:top w:type="dxa" w:w="60"/>
              <w:left w:type="dxa" w:w="100"/>
              <w:bottom w:type="dxa" w:w="60"/>
              <w:right w:type="dxa" w:w="100"/>
            </w:tcMar>
          </w:tcPr>
          <w:p>
            <w:r>
              <w:rPr>
                <w:b w:val="false"/>
                <w:bCs w:val="false"/>
              </w:rPr>
              <w:t xml:space="preserve">09</w:t>
            </w:r>
          </w:p>
        </w:tc>
        <w:tc>
          <w:tcPr>
            <w:tcW w:type="dxa" w:w="8112"/>
            <w:tcMar>
              <w:top w:type="dxa" w:w="60"/>
              <w:left w:type="dxa" w:w="100"/>
              <w:bottom w:type="dxa" w:w="60"/>
              <w:right w:type="dxa" w:w="100"/>
            </w:tcMar>
          </w:tcPr>
          <w:p>
            <w:r>
              <w:rPr>
                <w:b w:val="false"/>
                <w:bCs w:val="false"/>
              </w:rPr>
              <w:t xml:space="preserve">VASCO / SMS Deep Dive — Part 2 (revises Document 08)</w:t>
            </w:r>
          </w:p>
        </w:tc>
      </w:tr>
    </w:tbl>
    <w:p>
      <w:pPr>
        <w:spacing w:after="120"/>
      </w:pPr>
      <w:r>
        <w:rPr>
          <w:i/>
          <w:iCs/>
        </w:rPr>
        <w:t xml:space="preserve">Every finding referenced in this document (Sections 3–5) traces back to a specific section of one of the nine documents above — refer back to the original for full technical detail, code excerpts, and (where available) real sample evidence before finalizing any CR line item or defect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888888"/>
        <w:sz w:val="16"/>
        <w:szCs w:val="16"/>
      </w:rPr>
      <w:t xml:space="preserve">Consolidated Migration Findings — Business Validation &amp; Vendor CR Package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2026-09-22T02:48:10.048Z</dcterms:created>
  <dcterms:modified xsi:type="dcterms:W3CDTF">2026-09-22T02:48:10.057Z</dcterms:modified>
</cp:coreProperties>
</file>

<file path=docProps/custom.xml><?xml version="1.0" encoding="utf-8"?>
<Properties xmlns="http://schemas.openxmlformats.org/officeDocument/2006/custom-properties" xmlns:vt="http://schemas.openxmlformats.org/officeDocument/2006/docPropsVTypes"/>
</file>