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F3864"/>
          <w:sz w:val="34"/>
          <w:szCs w:val="34"/>
        </w:rPr>
        <w:t xml:space="preserve">Service Analysis: Amend Outward Transfer (1012)</w:t>
      </w:r>
    </w:p>
    <w:p>
      <w:pPr>
        <w:spacing w:after="300"/>
      </w:pPr>
      <w:r>
        <w:rPr>
          <w:i/>
          <w:iCs/>
          <w:color w:val="555555"/>
          <w:sz w:val="22"/>
          <w:szCs w:val="22"/>
        </w:rPr>
        <w:t xml:space="preserve">T24 R20/FT → TPH R25/IRIS API Migration Audit</w:t>
      </w:r>
    </w:p>
    <w:p>
      <w:pPr>
        <w:spacing w:after="60"/>
      </w:pPr>
      <w:r>
        <w:rPr>
          <w:b/>
          <w:bCs/>
        </w:rPr>
        <w:t xml:space="preserve">Source Routine: </w:t>
      </w:r>
      <w:r>
        <w:t xml:space="preserve">CIB.AMEND.OT</w:t>
      </w:r>
    </w:p>
    <w:p>
      <w:pPr>
        <w:spacing w:after="60"/>
      </w:pPr>
      <w:r>
        <w:rPr>
          <w:b/>
          <w:bCs/>
        </w:rPr>
        <w:t xml:space="preserve">Type: </w:t>
      </w:r>
      <w:r>
        <w:t xml:space="preserve">OFS Wrapper Routine (Custom Call Routine)</w:t>
      </w:r>
    </w:p>
    <w:p>
      <w:pPr>
        <w:spacing w:after="60"/>
      </w:pPr>
      <w:r>
        <w:rPr>
          <w:b/>
          <w:bCs/>
        </w:rPr>
        <w:t xml:space="preserve">Current Version: </w:t>
      </w:r>
      <w:r>
        <w:t xml:space="preserve">T24 R20 / FT (OFS)</w:t>
      </w:r>
    </w:p>
    <w:p>
      <w:pPr>
        <w:spacing w:after="60"/>
      </w:pPr>
      <w:r>
        <w:rPr>
          <w:b/>
          <w:bCs/>
        </w:rPr>
        <w:t xml:space="preserve">Target: </w:t>
      </w:r>
      <w:r>
        <w:t xml:space="preserve">TPH R25 / IRIS API</w:t>
      </w:r>
    </w:p>
    <w:p>
      <w:pPr>
        <w:spacing w:after="60"/>
      </w:pPr>
      <w:r>
        <w:rPr>
          <w:b/>
          <w:bCs/>
        </w:rPr>
        <w:t xml:space="preserve">Service ID (SRVC.ID): </w:t>
      </w:r>
      <w:r>
        <w:t xml:space="preserve">1012 — confirmed by a real captured sample request (see §9)</w:t>
      </w:r>
    </w:p>
    <w:p>
      <w:pPr>
        <w:spacing w:after="60"/>
      </w:pPr>
      <w:r>
        <w:rPr>
          <w:b/>
          <w:bCs/>
        </w:rPr>
        <w:t xml:space="preserve">Used By: </w:t>
      </w:r>
      <w:r>
        <w:t xml:space="preserve">Channels amending an already-created (but not yet authorized) outward transfer — confirmed sample from channel BPM</w:t>
      </w:r>
    </w:p>
    <w:p>
      <w:pPr>
        <w:spacing w:after="60"/>
      </w:pPr>
      <w:r>
        <w:rPr>
          <w:b/>
          <w:bCs/>
        </w:rPr>
        <w:t xml:space="preserve">Sibling Documents: </w:t>
      </w:r>
      <w:r>
        <w:t xml:space="preserve">01 — Create Outward Transfer (CIB.OT.FT); 02 — Simulate Fees &amp; Calculate Commission (FT08)</w:t>
      </w:r>
    </w:p>
    <w:p>
      <w:pPr>
        <w:pStyle w:val="Heading1"/>
        <w:pBdr>
          <w:bottom w:val="single" w:color="2E5395" w:sz="6" w:space="4"/>
        </w:pBdr>
        <w:spacing w:after="150" w:before="3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5"/>
        <w:gridCol w:w="6465"/>
      </w:tblGrid>
      <w:tr>
        <w:trPr>
          <w:tblHeader/>
        </w:trPr>
        <w:tc>
          <w:tcPr>
            <w:tcW w:type="dxa" w:w="2895"/>
            <w:shd w:fill="2E5395" w:val="clear"/>
            <w:tcMar>
              <w:top w:type="dxa" w:w="80"/>
              <w:left w:type="dxa" w:w="100"/>
              <w:bottom w:type="dxa" w:w="80"/>
              <w:right w:type="dxa" w:w="100"/>
            </w:tcMar>
          </w:tcPr>
          <w:p>
            <w:r>
              <w:rPr>
                <w:b/>
                <w:bCs/>
                <w:color w:val="FFFFFF"/>
              </w:rPr>
              <w:t xml:space="preserve">Field</w:t>
            </w:r>
          </w:p>
        </w:tc>
        <w:tc>
          <w:tcPr>
            <w:tcW w:type="dxa" w:w="6465"/>
            <w:shd w:fill="2E5395" w:val="clear"/>
            <w:tcMar>
              <w:top w:type="dxa" w:w="80"/>
              <w:left w:type="dxa" w:w="100"/>
              <w:bottom w:type="dxa" w:w="80"/>
              <w:right w:type="dxa" w:w="100"/>
            </w:tcMar>
          </w:tcPr>
          <w:p>
            <w:r>
              <w:rPr>
                <w:b/>
                <w:bCs/>
                <w:color w:val="FFFFFF"/>
              </w:rPr>
              <w:t xml:space="preserve">Value</w:t>
            </w:r>
          </w:p>
        </w:tc>
      </w:tr>
      <w:tr>
        <w:tc>
          <w:tcPr>
            <w:tcW w:type="dxa" w:w="2895"/>
            <w:tcMar>
              <w:top w:type="dxa" w:w="60"/>
              <w:left w:type="dxa" w:w="100"/>
              <w:bottom w:type="dxa" w:w="60"/>
              <w:right w:type="dxa" w:w="100"/>
            </w:tcMar>
          </w:tcPr>
          <w:p>
            <w:r>
              <w:rPr>
                <w:b w:val="false"/>
                <w:bCs w:val="false"/>
              </w:rPr>
              <w:t xml:space="preserve">Document Title</w:t>
            </w:r>
          </w:p>
        </w:tc>
        <w:tc>
          <w:tcPr>
            <w:tcW w:type="dxa" w:w="6465"/>
            <w:tcMar>
              <w:top w:type="dxa" w:w="60"/>
              <w:left w:type="dxa" w:w="100"/>
              <w:bottom w:type="dxa" w:w="60"/>
              <w:right w:type="dxa" w:w="100"/>
            </w:tcMar>
          </w:tcPr>
          <w:p>
            <w:r>
              <w:rPr>
                <w:b w:val="false"/>
                <w:bCs w:val="false"/>
              </w:rPr>
              <w:t xml:space="preserve">Service Analysis — Amend Outward Transfer (CIB.AMEND.OT / 1012)</w:t>
            </w:r>
          </w:p>
        </w:tc>
      </w:tr>
      <w:tr>
        <w:tc>
          <w:tcPr>
            <w:tcW w:type="dxa" w:w="2895"/>
            <w:tcMar>
              <w:top w:type="dxa" w:w="60"/>
              <w:left w:type="dxa" w:w="100"/>
              <w:bottom w:type="dxa" w:w="60"/>
              <w:right w:type="dxa" w:w="100"/>
            </w:tcMar>
          </w:tcPr>
          <w:p>
            <w:r>
              <w:rPr>
                <w:b w:val="false"/>
                <w:bCs w:val="false"/>
              </w:rPr>
              <w:t xml:space="preserve">Version</w:t>
            </w:r>
          </w:p>
        </w:tc>
        <w:tc>
          <w:tcPr>
            <w:tcW w:type="dxa" w:w="6465"/>
            <w:tcMar>
              <w:top w:type="dxa" w:w="60"/>
              <w:left w:type="dxa" w:w="100"/>
              <w:bottom w:type="dxa" w:w="60"/>
              <w:right w:type="dxa" w:w="100"/>
            </w:tcMar>
          </w:tcPr>
          <w:p>
            <w:r>
              <w:rPr>
                <w:b w:val="false"/>
                <w:bCs w:val="false"/>
              </w:rPr>
              <w:t xml:space="preserve">1.0 — Draft, pending peer review</w:t>
            </w:r>
          </w:p>
        </w:tc>
      </w:tr>
      <w:tr>
        <w:tc>
          <w:tcPr>
            <w:tcW w:type="dxa" w:w="2895"/>
            <w:tcMar>
              <w:top w:type="dxa" w:w="60"/>
              <w:left w:type="dxa" w:w="100"/>
              <w:bottom w:type="dxa" w:w="60"/>
              <w:right w:type="dxa" w:w="100"/>
            </w:tcMar>
          </w:tcPr>
          <w:p>
            <w:r>
              <w:rPr>
                <w:b w:val="false"/>
                <w:bCs w:val="false"/>
              </w:rPr>
              <w:t xml:space="preserve">Prepared For</w:t>
            </w:r>
          </w:p>
        </w:tc>
        <w:tc>
          <w:tcPr>
            <w:tcW w:type="dxa" w:w="6465"/>
            <w:tcMar>
              <w:top w:type="dxa" w:w="60"/>
              <w:left w:type="dxa" w:w="100"/>
              <w:bottom w:type="dxa" w:w="60"/>
              <w:right w:type="dxa" w:w="100"/>
            </w:tcMar>
          </w:tcPr>
          <w:p>
            <w:r>
              <w:rPr>
                <w:b w:val="false"/>
                <w:bCs w:val="false"/>
              </w:rPr>
              <w:t xml:space="preserve">T24 R20→R25 / FT→TPH Migration Programme</w:t>
            </w:r>
          </w:p>
        </w:tc>
      </w:tr>
      <w:tr>
        <w:tc>
          <w:tcPr>
            <w:tcW w:type="dxa" w:w="2895"/>
            <w:tcMar>
              <w:top w:type="dxa" w:w="60"/>
              <w:left w:type="dxa" w:w="100"/>
              <w:bottom w:type="dxa" w:w="60"/>
              <w:right w:type="dxa" w:w="100"/>
            </w:tcMar>
          </w:tcPr>
          <w:p>
            <w:r>
              <w:rPr>
                <w:b w:val="false"/>
                <w:bCs w:val="false"/>
              </w:rPr>
              <w:t xml:space="preserve">Prepared Basis</w:t>
            </w:r>
          </w:p>
        </w:tc>
        <w:tc>
          <w:tcPr>
            <w:tcW w:type="dxa" w:w="6465"/>
            <w:tcMar>
              <w:top w:type="dxa" w:w="60"/>
              <w:left w:type="dxa" w:w="100"/>
              <w:bottom w:type="dxa" w:w="60"/>
              <w:right w:type="dxa" w:w="100"/>
            </w:tcMar>
          </w:tcPr>
          <w:p>
            <w:r>
              <w:rPr>
                <w:b w:val="false"/>
                <w:bCs w:val="false"/>
              </w:rPr>
              <w:t xml:space="preserve">Static code review of CIB.AMEND.OT, cross-checked against one real captured request (no response available for this service yet)</w:t>
            </w:r>
          </w:p>
        </w:tc>
      </w:tr>
      <w:tr>
        <w:tc>
          <w:tcPr>
            <w:tcW w:type="dxa" w:w="2895"/>
            <w:tcMar>
              <w:top w:type="dxa" w:w="60"/>
              <w:left w:type="dxa" w:w="100"/>
              <w:bottom w:type="dxa" w:w="60"/>
              <w:right w:type="dxa" w:w="100"/>
            </w:tcMar>
          </w:tcPr>
          <w:p>
            <w:r>
              <w:rPr>
                <w:b w:val="false"/>
                <w:bCs w:val="false"/>
              </w:rPr>
              <w:t xml:space="preserve">Last Updated</w:t>
            </w:r>
          </w:p>
        </w:tc>
        <w:tc>
          <w:tcPr>
            <w:tcW w:type="dxa" w:w="6465"/>
            <w:tcMar>
              <w:top w:type="dxa" w:w="60"/>
              <w:left w:type="dxa" w:w="100"/>
              <w:bottom w:type="dxa" w:w="60"/>
              <w:right w:type="dxa" w:w="100"/>
            </w:tcMar>
          </w:tcPr>
          <w:p>
            <w:r>
              <w:rPr>
                <w:b w:val="false"/>
                <w:bCs w:val="false"/>
              </w:rPr>
              <w:t xml:space="preserve">25-Aug-2026</w:t>
            </w:r>
          </w:p>
        </w:tc>
      </w:tr>
      <w:tr>
        <w:tc>
          <w:tcPr>
            <w:tcW w:type="dxa" w:w="2895"/>
            <w:tcMar>
              <w:top w:type="dxa" w:w="60"/>
              <w:left w:type="dxa" w:w="100"/>
              <w:bottom w:type="dxa" w:w="60"/>
              <w:right w:type="dxa" w:w="100"/>
            </w:tcMar>
          </w:tcPr>
          <w:p>
            <w:r>
              <w:rPr>
                <w:b w:val="false"/>
                <w:bCs w:val="false"/>
              </w:rPr>
              <w:t xml:space="preserve">Related Documents</w:t>
            </w:r>
          </w:p>
        </w:tc>
        <w:tc>
          <w:tcPr>
            <w:tcW w:type="dxa" w:w="6465"/>
            <w:tcMar>
              <w:top w:type="dxa" w:w="60"/>
              <w:left w:type="dxa" w:w="100"/>
              <w:bottom w:type="dxa" w:w="60"/>
              <w:right w:type="dxa" w:w="100"/>
            </w:tcMar>
          </w:tcPr>
          <w:p>
            <w:r>
              <w:rPr>
                <w:b w:val="false"/>
                <w:bCs w:val="false"/>
              </w:rPr>
              <w:t xml:space="preserve">01 — Create Outward Transfer (CIB.OT.FT); 02 — Simulate Fees &amp; Calculate Commission (FT08)</w:t>
            </w:r>
          </w:p>
        </w:tc>
      </w:tr>
    </w:tbl>
    <w:p>
      <w:pPr>
        <w:pStyle w:val="Heading1"/>
        <w:pBdr>
          <w:bottom w:val="single" w:color="2E5395" w:sz="6" w:space="4"/>
        </w:pBdr>
        <w:spacing w:after="150" w:before="300"/>
      </w:pPr>
      <w:r>
        <w:t xml:space="preserve">Executive Summary</w:t>
      </w:r>
    </w:p>
    <w:p>
      <w:pPr>
        <w:spacing w:after="120"/>
      </w:pPr>
      <w:r>
        <w:t xml:space="preserve">CIB.AMEND.OT is the counterpart to Create Outward Transfer (Document 01) for amending an already-created, not-yet-authorized FT record. Structurally it is simpler than the Create routine — it has none of the channel-restriction checks, industry-based posting restrictions, idempotency/audit logging, or auto-authorization logic found in CIB.OT.FT. However, this review uncovered a critical variable-naming defect affecting the debit account number — the single most important field in the routine — plus a second, lower-severity copy-paste bug affecting the (already largely unused) profit centre field. Both are detailed in §8 and must be resolved with the T24 team, ideally by tracing an actual live amend transaction, before this logic is treated as a reliable functional specification for the TPH/IRIS equivalent.</w:t>
      </w:r>
    </w:p>
    <w:p>
      <w:pPr>
        <w:pStyle w:val="Heading2"/>
        <w:spacing w:after="120" w:before="260"/>
      </w:pPr>
      <w:r>
        <w:t xml:space="preserve">Risk &amp; Priority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9"/>
        <w:gridCol w:w="1544"/>
        <w:gridCol w:w="5307"/>
      </w:tblGrid>
      <w:tr>
        <w:trPr>
          <w:tblHeader/>
        </w:trPr>
        <w:tc>
          <w:tcPr>
            <w:tcW w:type="dxa" w:w="2509"/>
            <w:shd w:fill="2E5395" w:val="clear"/>
            <w:tcMar>
              <w:top w:type="dxa" w:w="80"/>
              <w:left w:type="dxa" w:w="100"/>
              <w:bottom w:type="dxa" w:w="80"/>
              <w:right w:type="dxa" w:w="100"/>
            </w:tcMar>
          </w:tcPr>
          <w:p>
            <w:r>
              <w:rPr>
                <w:b/>
                <w:bCs/>
                <w:color w:val="FFFFFF"/>
              </w:rPr>
              <w:t xml:space="preserve">Dimension</w:t>
            </w:r>
          </w:p>
        </w:tc>
        <w:tc>
          <w:tcPr>
            <w:tcW w:type="dxa" w:w="1544"/>
            <w:shd w:fill="2E5395" w:val="clear"/>
            <w:tcMar>
              <w:top w:type="dxa" w:w="80"/>
              <w:left w:type="dxa" w:w="100"/>
              <w:bottom w:type="dxa" w:w="80"/>
              <w:right w:type="dxa" w:w="100"/>
            </w:tcMar>
          </w:tcPr>
          <w:p>
            <w:r>
              <w:rPr>
                <w:b/>
                <w:bCs/>
                <w:color w:val="FFFFFF"/>
              </w:rPr>
              <w:t xml:space="preserve">Rating</w:t>
            </w:r>
          </w:p>
        </w:tc>
        <w:tc>
          <w:tcPr>
            <w:tcW w:type="dxa" w:w="5307"/>
            <w:shd w:fill="2E5395" w:val="clear"/>
            <w:tcMar>
              <w:top w:type="dxa" w:w="80"/>
              <w:left w:type="dxa" w:w="100"/>
              <w:bottom w:type="dxa" w:w="80"/>
              <w:right w:type="dxa" w:w="100"/>
            </w:tcMar>
          </w:tcPr>
          <w:p>
            <w:r>
              <w:rPr>
                <w:b/>
                <w:bCs/>
                <w:color w:val="FFFFFF"/>
              </w:rPr>
              <w:t xml:space="preserve">Rationale</w:t>
            </w:r>
          </w:p>
        </w:tc>
      </w:tr>
      <w:tr>
        <w:tc>
          <w:tcPr>
            <w:tcW w:type="dxa" w:w="2509"/>
            <w:tcMar>
              <w:top w:type="dxa" w:w="60"/>
              <w:left w:type="dxa" w:w="100"/>
              <w:bottom w:type="dxa" w:w="60"/>
              <w:right w:type="dxa" w:w="100"/>
            </w:tcMar>
          </w:tcPr>
          <w:p>
            <w:r>
              <w:rPr>
                <w:b w:val="false"/>
                <w:bCs w:val="false"/>
              </w:rPr>
              <w:t xml:space="preserve">Business Criticality</w:t>
            </w:r>
          </w:p>
        </w:tc>
        <w:tc>
          <w:tcPr>
            <w:tcW w:type="dxa" w:w="1544"/>
            <w:tcMar>
              <w:top w:type="dxa" w:w="60"/>
              <w:left w:type="dxa" w:w="100"/>
              <w:bottom w:type="dxa" w:w="60"/>
              <w:right w:type="dxa" w:w="100"/>
            </w:tcMar>
          </w:tcPr>
          <w:p>
            <w:r>
              <w:rPr>
                <w:b w:val="false"/>
                <w:bCs w:val="false"/>
              </w:rPr>
              <w:t xml:space="preserve">High</w:t>
            </w:r>
          </w:p>
        </w:tc>
        <w:tc>
          <w:tcPr>
            <w:tcW w:type="dxa" w:w="5307"/>
            <w:tcMar>
              <w:top w:type="dxa" w:w="60"/>
              <w:left w:type="dxa" w:w="100"/>
              <w:bottom w:type="dxa" w:w="60"/>
              <w:right w:type="dxa" w:w="100"/>
            </w:tcMar>
          </w:tcPr>
          <w:p>
            <w:r>
              <w:rPr>
                <w:b w:val="false"/>
                <w:bCs w:val="false"/>
              </w:rPr>
              <w:t xml:space="preserve">Amends a live, pending outward-transfer instruction — incorrect behavior could silently amend the wrong account or corrupt in-flight payment data</w:t>
            </w:r>
          </w:p>
        </w:tc>
      </w:tr>
      <w:tr>
        <w:tc>
          <w:tcPr>
            <w:tcW w:type="dxa" w:w="2509"/>
            <w:tcMar>
              <w:top w:type="dxa" w:w="60"/>
              <w:left w:type="dxa" w:w="100"/>
              <w:bottom w:type="dxa" w:w="60"/>
              <w:right w:type="dxa" w:w="100"/>
            </w:tcMar>
          </w:tcPr>
          <w:p>
            <w:r>
              <w:rPr>
                <w:b w:val="false"/>
                <w:bCs w:val="false"/>
              </w:rPr>
              <w:t xml:space="preserve">Migration Complexity</w:t>
            </w:r>
          </w:p>
        </w:tc>
        <w:tc>
          <w:tcPr>
            <w:tcW w:type="dxa" w:w="1544"/>
            <w:tcMar>
              <w:top w:type="dxa" w:w="60"/>
              <w:left w:type="dxa" w:w="100"/>
              <w:bottom w:type="dxa" w:w="60"/>
              <w:right w:type="dxa" w:w="100"/>
            </w:tcMar>
          </w:tcPr>
          <w:p>
            <w:r>
              <w:rPr>
                <w:b w:val="false"/>
                <w:bCs w:val="false"/>
              </w:rPr>
              <w:t xml:space="preserve">High</w:t>
            </w:r>
          </w:p>
        </w:tc>
        <w:tc>
          <w:tcPr>
            <w:tcW w:type="dxa" w:w="5307"/>
            <w:tcMar>
              <w:top w:type="dxa" w:w="60"/>
              <w:left w:type="dxa" w:w="100"/>
              <w:bottom w:type="dxa" w:w="60"/>
              <w:right w:type="dxa" w:w="100"/>
            </w:tcMar>
          </w:tcPr>
          <w:p>
            <w:r>
              <w:rPr>
                <w:b w:val="false"/>
                <w:bCs w:val="false"/>
              </w:rPr>
              <w:t xml:space="preserve">55 input fields, two-stage OFS posting (main amend + conditional rate-only follow-up call), several routine-specific escaping/default rules not shared with the Create routine</w:t>
            </w:r>
          </w:p>
        </w:tc>
      </w:tr>
      <w:tr>
        <w:tc>
          <w:tcPr>
            <w:tcW w:type="dxa" w:w="2509"/>
            <w:tcMar>
              <w:top w:type="dxa" w:w="60"/>
              <w:left w:type="dxa" w:w="100"/>
              <w:bottom w:type="dxa" w:w="60"/>
              <w:right w:type="dxa" w:w="100"/>
            </w:tcMar>
          </w:tcPr>
          <w:p>
            <w:r>
              <w:rPr>
                <w:b w:val="false"/>
                <w:bCs w:val="false"/>
              </w:rPr>
              <w:t xml:space="preserve">Code Integrity Risk</w:t>
            </w:r>
          </w:p>
        </w:tc>
        <w:tc>
          <w:tcPr>
            <w:tcW w:type="dxa" w:w="1544"/>
            <w:tcMar>
              <w:top w:type="dxa" w:w="60"/>
              <w:left w:type="dxa" w:w="100"/>
              <w:bottom w:type="dxa" w:w="60"/>
              <w:right w:type="dxa" w:w="100"/>
            </w:tcMar>
          </w:tcPr>
          <w:p>
            <w:r>
              <w:rPr>
                <w:b w:val="false"/>
                <w:bCs w:val="false"/>
              </w:rPr>
              <w:t xml:space="preserve">Critical</w:t>
            </w:r>
          </w:p>
        </w:tc>
        <w:tc>
          <w:tcPr>
            <w:tcW w:type="dxa" w:w="5307"/>
            <w:tcMar>
              <w:top w:type="dxa" w:w="60"/>
              <w:left w:type="dxa" w:w="100"/>
              <w:bottom w:type="dxa" w:w="60"/>
              <w:right w:type="dxa" w:w="100"/>
            </w:tcMar>
          </w:tcPr>
          <w:p>
            <w:r>
              <w:rPr>
                <w:b w:val="false"/>
                <w:bCs w:val="false"/>
              </w:rPr>
              <w:t xml:space="preserve">A confirmed variable-naming defect affects how the debit account number reaches the OFS post (§8) — this must be resolved with the live system before being treated as correct behavior to replicate</w:t>
            </w:r>
          </w:p>
        </w:tc>
      </w:tr>
      <w:tr>
        <w:tc>
          <w:tcPr>
            <w:tcW w:type="dxa" w:w="2509"/>
            <w:tcMar>
              <w:top w:type="dxa" w:w="60"/>
              <w:left w:type="dxa" w:w="100"/>
              <w:bottom w:type="dxa" w:w="60"/>
              <w:right w:type="dxa" w:w="100"/>
            </w:tcMar>
          </w:tcPr>
          <w:p>
            <w:r>
              <w:rPr>
                <w:b w:val="false"/>
                <w:bCs w:val="false"/>
              </w:rPr>
              <w:t xml:space="preserve">Testing Priority</w:t>
            </w:r>
          </w:p>
        </w:tc>
        <w:tc>
          <w:tcPr>
            <w:tcW w:type="dxa" w:w="1544"/>
            <w:tcMar>
              <w:top w:type="dxa" w:w="60"/>
              <w:left w:type="dxa" w:w="100"/>
              <w:bottom w:type="dxa" w:w="60"/>
              <w:right w:type="dxa" w:w="100"/>
            </w:tcMar>
          </w:tcPr>
          <w:p>
            <w:r>
              <w:rPr>
                <w:b w:val="false"/>
                <w:bCs w:val="false"/>
              </w:rPr>
              <w:t xml:space="preserve">P0 — resolve the §8 finding before any other testing</w:t>
            </w:r>
          </w:p>
        </w:tc>
        <w:tc>
          <w:tcPr>
            <w:tcW w:type="dxa" w:w="5307"/>
            <w:tcMar>
              <w:top w:type="dxa" w:w="60"/>
              <w:left w:type="dxa" w:w="100"/>
              <w:bottom w:type="dxa" w:w="60"/>
              <w:right w:type="dxa" w:w="100"/>
            </w:tcMar>
          </w:tcPr>
          <w:p>
            <w:r>
              <w:rPr>
                <w:b w:val="false"/>
                <w:bCs w:val="false"/>
              </w:rPr>
              <w:t xml:space="preserve">Until it's confirmed whether SRC.ACC.ID is being silently populated by a COMMON-block leftover from an earlier call in the same session, the debit-account behavior of this service cannot be considered understood</w:t>
            </w:r>
          </w:p>
        </w:tc>
      </w:tr>
    </w:tbl>
    <w:p>
      <w:pPr>
        <w:pStyle w:val="Heading1"/>
        <w:pBdr>
          <w:bottom w:val="single" w:color="2E5395" w:sz="6" w:space="4"/>
        </w:pBdr>
        <w:spacing w:after="150" w:before="300"/>
      </w:pPr>
      <w:r>
        <w:t xml:space="preserve">Service Description (Business View)</w:t>
      </w:r>
    </w:p>
    <w:p>
      <w:pPr>
        <w:spacing w:after="120"/>
      </w:pPr>
      <w:r>
        <w:t xml:space="preserve">This service lets a channel go back and change details of an outward transfer that has already been submitted (an FT record already exists, identified by its FT ID) but has not yet been fully authorized in T24 — a bank's own pending-transaction window. Rather than creating a brand-new transfer, it updates the same underlying record: beneficiary details, payment details, charges arrangement, commission handling, dates, and the customer's FX rate can all be corrected before the transfer is finally authorized.</w:t>
      </w:r>
    </w:p>
    <w:p>
      <w:pPr>
        <w:spacing w:after="120"/>
      </w:pPr>
      <w:r>
        <w:t xml:space="preserve">In plain terms, when this service is called it:</w:t>
      </w:r>
    </w:p>
    <w:p>
      <w:pPr>
        <w:pStyle w:val="ListParagraph"/>
        <w:numPr>
          <w:ilvl w:val="0"/>
          <w:numId w:val="1"/>
        </w:numPr>
        <w:spacing w:after="60"/>
      </w:pPr>
      <w:r>
        <w:t xml:space="preserve">Confirms the sending account still has enough available funds to cover the (possibly changed) transfer amount, or that an overdraft is explicitly allowed for this call.</w:t>
      </w:r>
    </w:p>
    <w:p>
      <w:pPr>
        <w:pStyle w:val="ListParagraph"/>
        <w:numPr>
          <w:ilvl w:val="0"/>
          <w:numId w:val="1"/>
        </w:numPr>
        <w:spacing w:after="60"/>
      </w:pPr>
      <w:r>
        <w:t xml:space="preserve">Re-applies the same beneficiary-name and IBAN-handling rules used when the transfer was first created, so the amended values are formatted consistently.</w:t>
      </w:r>
    </w:p>
    <w:p>
      <w:pPr>
        <w:pStyle w:val="ListParagraph"/>
        <w:numPr>
          <w:ilvl w:val="0"/>
          <w:numId w:val="1"/>
        </w:numPr>
        <w:spacing w:after="60"/>
      </w:pPr>
      <w:r>
        <w:t xml:space="preserve">Re-derives the commission code and, in one specific case, can auto-waive the commission entirely (see §5.4) — a rule unique to amendment, not present when a transfer is first created.</w:t>
      </w:r>
    </w:p>
    <w:p>
      <w:pPr>
        <w:pStyle w:val="ListParagraph"/>
        <w:numPr>
          <w:ilvl w:val="0"/>
          <w:numId w:val="1"/>
        </w:numPr>
        <w:spacing w:after="60"/>
      </w:pPr>
      <w:r>
        <w:t xml:space="preserve">Explicitly clears any field the amendment doesn't set (posting a literal 'blank' marker), rather than just leaving it out — appropriate for an amend, where a leftover old value must be actively overwritten, not just skipped.</w:t>
      </w:r>
    </w:p>
    <w:p>
      <w:pPr>
        <w:pStyle w:val="ListParagraph"/>
        <w:numPr>
          <w:ilvl w:val="0"/>
          <w:numId w:val="1"/>
        </w:numPr>
        <w:spacing w:after="60"/>
      </w:pPr>
      <w:r>
        <w:t xml:space="preserve">Submits the amendment to T24 against the existing record.</w:t>
      </w:r>
    </w:p>
    <w:p>
      <w:pPr>
        <w:pStyle w:val="ListParagraph"/>
        <w:numPr>
          <w:ilvl w:val="0"/>
          <w:numId w:val="1"/>
        </w:numPr>
        <w:spacing w:after="60"/>
      </w:pPr>
      <w:r>
        <w:t xml:space="preserve">If the customer's FX rate on the amended record ends up different from what's on file, fires a second, separate update specifically to correct the rate — a two-step amendment process unique to this service.</w:t>
      </w:r>
    </w:p>
    <w:p>
      <w:pPr>
        <w:spacing w:after="120"/>
      </w:pPr>
      <w:r>
        <w:rPr>
          <w:i/>
          <w:iCs/>
        </w:rPr>
        <w:t xml:space="preserve">Who uses it: channels or back-office systems correcting an outward transfer's details after initial submission but before final authorization — confirmed live usage from the Business Process Manager (BPM) channel.</w:t>
      </w:r>
    </w:p>
    <w:p>
      <w:pPr>
        <w:pStyle w:val="Heading1"/>
        <w:pBdr>
          <w:bottom w:val="single" w:color="2E5395" w:sz="6" w:space="4"/>
        </w:pBdr>
        <w:spacing w:after="150" w:before="300"/>
      </w:pPr>
      <w:r>
        <w:t xml:space="preserve">1. Purpose</w:t>
      </w:r>
    </w:p>
    <w:p>
      <w:pPr>
        <w:spacing w:after="120"/>
      </w:pPr>
      <w:r>
        <w:t xml:space="preserve">CIB.AMEND.OT parses a 55-field pipe-delimited input string (I.PARAM), reformats it into an OFS amendment call against the existing FUNDS.TRANSFER record identified by FT.ID, posts it, and — if the customer rate changed — fires a second OFS call solely to correct the rate. It returns a pipe-delimited response with status, FT ID, the OFS record, paid amount, and any overrides.</w:t>
      </w:r>
    </w:p>
    <w:p>
      <w:pPr>
        <w:spacing w:after="120"/>
      </w:pPr>
      <w:r>
        <w:t xml:space="preserve">This routine shares roughly 90% of its field list and logic patterns with Create Outward Transfer (Document 01), but is NOT simply a copy — it has its own distinct default rules, its own character-escaping quirks, and is missing several of the control-layer checks present in the Create routine. Each difference is called out explicitly in the sections below, since a migration approach that assumes "Amend = Create with an FT.ID" would miss real behavioral differences.</w:t>
      </w:r>
    </w:p>
    <w:p>
      <w:pPr>
        <w:pStyle w:val="Heading1"/>
        <w:pBdr>
          <w:bottom w:val="single" w:color="2E5395" w:sz="6" w:space="4"/>
        </w:pBdr>
        <w:spacing w:after="150" w:before="300"/>
      </w:pPr>
      <w:r>
        <w:t xml:space="preserve">2. Input Contract (55 Positional Fields, Pipe-Delimited)</w:t>
      </w:r>
    </w:p>
    <w:p>
      <w:pPr>
        <w:spacing w:after="120"/>
      </w:pPr>
      <w:r>
        <w:rPr>
          <w:i/>
          <w:iCs/>
          <w:color w:val="555555"/>
        </w:rPr>
        <w:t xml:space="preserve">Category legend: A = posted to OFS as a named data field; B = used only in the OFS service-call header/routing segment, not as a named field; C = used only for internal control-flow, never posted; D = parsed but no downstream reference found in this routine (needs verification, same convention as Document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7"/>
        <w:gridCol w:w="1907"/>
        <w:gridCol w:w="1907"/>
        <w:gridCol w:w="4940"/>
      </w:tblGrid>
      <w:tr>
        <w:trPr>
          <w:tblHeader/>
        </w:trPr>
        <w:tc>
          <w:tcPr>
            <w:tcW w:type="dxa" w:w="607"/>
            <w:shd w:fill="2E5395" w:val="clear"/>
            <w:tcMar>
              <w:top w:type="dxa" w:w="80"/>
              <w:left w:type="dxa" w:w="100"/>
              <w:bottom w:type="dxa" w:w="80"/>
              <w:right w:type="dxa" w:w="100"/>
            </w:tcMar>
          </w:tcPr>
          <w:p>
            <w:r>
              <w:rPr>
                <w:b/>
                <w:bCs/>
                <w:color w:val="FFFFFF"/>
              </w:rPr>
              <w:t xml:space="preserve">#</w:t>
            </w:r>
          </w:p>
        </w:tc>
        <w:tc>
          <w:tcPr>
            <w:tcW w:type="dxa" w:w="1907"/>
            <w:shd w:fill="2E5395" w:val="clear"/>
            <w:tcMar>
              <w:top w:type="dxa" w:w="80"/>
              <w:left w:type="dxa" w:w="100"/>
              <w:bottom w:type="dxa" w:w="80"/>
              <w:right w:type="dxa" w:w="100"/>
            </w:tcMar>
          </w:tcPr>
          <w:p>
            <w:r>
              <w:rPr>
                <w:b/>
                <w:bCs/>
                <w:color w:val="FFFFFF"/>
              </w:rPr>
              <w:t xml:space="preserve">Field</w:t>
            </w:r>
          </w:p>
        </w:tc>
        <w:tc>
          <w:tcPr>
            <w:tcW w:type="dxa" w:w="1907"/>
            <w:shd w:fill="2E5395" w:val="clear"/>
            <w:tcMar>
              <w:top w:type="dxa" w:w="80"/>
              <w:left w:type="dxa" w:w="100"/>
              <w:bottom w:type="dxa" w:w="80"/>
              <w:right w:type="dxa" w:w="100"/>
            </w:tcMar>
          </w:tcPr>
          <w:p>
            <w:r>
              <w:rPr>
                <w:b/>
                <w:bCs/>
                <w:color w:val="FFFFFF"/>
              </w:rPr>
              <w:t xml:space="preserve">Category</w:t>
            </w:r>
          </w:p>
        </w:tc>
        <w:tc>
          <w:tcPr>
            <w:tcW w:type="dxa" w:w="4940"/>
            <w:shd w:fill="2E5395" w:val="clear"/>
            <w:tcMar>
              <w:top w:type="dxa" w:w="80"/>
              <w:left w:type="dxa" w:w="100"/>
              <w:bottom w:type="dxa" w:w="80"/>
              <w:right w:type="dxa" w:w="100"/>
            </w:tcMar>
          </w:tcPr>
          <w:p>
            <w:r>
              <w:rPr>
                <w:b/>
                <w:bCs/>
                <w:color w:val="FFFFFF"/>
              </w:rPr>
              <w:t xml:space="preserve">Posted to OFS? / Treatment</w:t>
            </w:r>
          </w:p>
        </w:tc>
      </w:tr>
      <w:tr>
        <w:tc>
          <w:tcPr>
            <w:tcW w:type="dxa" w:w="607"/>
            <w:tcMar>
              <w:top w:type="dxa" w:w="60"/>
              <w:left w:type="dxa" w:w="100"/>
              <w:bottom w:type="dxa" w:w="60"/>
              <w:right w:type="dxa" w:w="100"/>
            </w:tcMar>
          </w:tcPr>
          <w:p>
            <w:r>
              <w:rPr>
                <w:b w:val="false"/>
                <w:bCs w:val="false"/>
              </w:rPr>
              <w:t xml:space="preserve">1 (header)</w:t>
            </w:r>
          </w:p>
        </w:tc>
        <w:tc>
          <w:tcPr>
            <w:tcW w:type="dxa" w:w="1907"/>
            <w:tcMar>
              <w:top w:type="dxa" w:w="60"/>
              <w:left w:type="dxa" w:w="100"/>
              <w:bottom w:type="dxa" w:w="60"/>
              <w:right w:type="dxa" w:w="100"/>
            </w:tcMar>
          </w:tcPr>
          <w:p>
            <w:r>
              <w:rPr>
                <w:b w:val="false"/>
                <w:bCs w:val="false"/>
              </w:rPr>
              <w:t xml:space="preserve">SRVC.ID#CHNL.CODE#MSG.ID#TOKEN.ID</w:t>
            </w:r>
          </w:p>
        </w:tc>
        <w:tc>
          <w:tcPr>
            <w:tcW w:type="dxa" w:w="1907"/>
            <w:tcMar>
              <w:top w:type="dxa" w:w="60"/>
              <w:left w:type="dxa" w:w="100"/>
              <w:bottom w:type="dxa" w:w="60"/>
              <w:right w:type="dxa" w:w="100"/>
            </w:tcMar>
          </w:tcPr>
          <w:p>
            <w:r>
              <w:rPr>
                <w:b w:val="false"/>
                <w:bCs w:val="false"/>
              </w:rPr>
              <w:t xml:space="preserve">N/A</w:t>
            </w:r>
          </w:p>
        </w:tc>
        <w:tc>
          <w:tcPr>
            <w:tcW w:type="dxa" w:w="4940"/>
            <w:tcMar>
              <w:top w:type="dxa" w:w="60"/>
              <w:left w:type="dxa" w:w="100"/>
              <w:bottom w:type="dxa" w:w="60"/>
              <w:right w:type="dxa" w:w="100"/>
            </w:tcMar>
          </w:tcPr>
          <w:p>
            <w:r>
              <w:rPr>
                <w:b w:val="false"/>
                <w:bCs w:val="false"/>
              </w:rPr>
              <w:t xml:space="preserve">'#'-delimited sub-header; format differs if starts with 'XML'</w:t>
            </w:r>
          </w:p>
        </w:tc>
      </w:tr>
      <w:tr>
        <w:tc>
          <w:tcPr>
            <w:tcW w:type="dxa" w:w="607"/>
            <w:tcMar>
              <w:top w:type="dxa" w:w="60"/>
              <w:left w:type="dxa" w:w="100"/>
              <w:bottom w:type="dxa" w:w="60"/>
              <w:right w:type="dxa" w:w="100"/>
            </w:tcMar>
          </w:tcPr>
          <w:p>
            <w:r>
              <w:rPr>
                <w:b w:val="false"/>
                <w:bCs w:val="false"/>
              </w:rPr>
              <w:t xml:space="preserve">2</w:t>
            </w:r>
          </w:p>
        </w:tc>
        <w:tc>
          <w:tcPr>
            <w:tcW w:type="dxa" w:w="1907"/>
            <w:tcMar>
              <w:top w:type="dxa" w:w="60"/>
              <w:left w:type="dxa" w:w="100"/>
              <w:bottom w:type="dxa" w:w="60"/>
              <w:right w:type="dxa" w:w="100"/>
            </w:tcMar>
          </w:tcPr>
          <w:p>
            <w:r>
              <w:rPr>
                <w:b w:val="false"/>
                <w:bCs w:val="false"/>
              </w:rPr>
              <w:t xml:space="preserve">FT.ID</w:t>
            </w:r>
          </w:p>
        </w:tc>
        <w:tc>
          <w:tcPr>
            <w:tcW w:type="dxa" w:w="1907"/>
            <w:tcMar>
              <w:top w:type="dxa" w:w="60"/>
              <w:left w:type="dxa" w:w="100"/>
              <w:bottom w:type="dxa" w:w="60"/>
              <w:right w:type="dxa" w:w="100"/>
            </w:tcMar>
          </w:tcPr>
          <w:p>
            <w:r>
              <w:rPr>
                <w:b w:val="false"/>
                <w:bCs w:val="false"/>
              </w:rPr>
              <w:t xml:space="preserve">B — header/routing</w:t>
            </w:r>
          </w:p>
        </w:tc>
        <w:tc>
          <w:tcPr>
            <w:tcW w:type="dxa" w:w="4940"/>
            <w:tcMar>
              <w:top w:type="dxa" w:w="60"/>
              <w:left w:type="dxa" w:w="100"/>
              <w:bottom w:type="dxa" w:w="60"/>
              <w:right w:type="dxa" w:w="100"/>
            </w:tcMar>
          </w:tcPr>
          <w:p>
            <w:r>
              <w:rPr>
                <w:b w:val="false"/>
                <w:bCs w:val="false"/>
              </w:rPr>
              <w:t xml:space="preserve">The EXISTING FT record being amended — used directly as the OFS record key (not a named field); this is the defining structural difference from Create Outward Transfer</w:t>
            </w:r>
          </w:p>
        </w:tc>
      </w:tr>
      <w:tr>
        <w:tc>
          <w:tcPr>
            <w:tcW w:type="dxa" w:w="607"/>
            <w:tcMar>
              <w:top w:type="dxa" w:w="60"/>
              <w:left w:type="dxa" w:w="100"/>
              <w:bottom w:type="dxa" w:w="60"/>
              <w:right w:type="dxa" w:w="100"/>
            </w:tcMar>
          </w:tcPr>
          <w:p>
            <w:r>
              <w:rPr>
                <w:b w:val="false"/>
                <w:bCs w:val="false"/>
              </w:rPr>
              <w:t xml:space="preserve">3</w:t>
            </w:r>
          </w:p>
        </w:tc>
        <w:tc>
          <w:tcPr>
            <w:tcW w:type="dxa" w:w="1907"/>
            <w:tcMar>
              <w:top w:type="dxa" w:w="60"/>
              <w:left w:type="dxa" w:w="100"/>
              <w:bottom w:type="dxa" w:w="60"/>
              <w:right w:type="dxa" w:w="100"/>
            </w:tcMar>
          </w:tcPr>
          <w:p>
            <w:r>
              <w:rPr>
                <w:b w:val="false"/>
                <w:bCs w:val="false"/>
              </w:rPr>
              <w:t xml:space="preserve">TXN.TYPE</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 anywhere in this routine — confirmed dead by the real sample (see §9)</w:t>
            </w:r>
          </w:p>
        </w:tc>
      </w:tr>
      <w:tr>
        <w:tc>
          <w:tcPr>
            <w:tcW w:type="dxa" w:w="607"/>
            <w:tcMar>
              <w:top w:type="dxa" w:w="60"/>
              <w:left w:type="dxa" w:w="100"/>
              <w:bottom w:type="dxa" w:w="60"/>
              <w:right w:type="dxa" w:w="100"/>
            </w:tcMar>
          </w:tcPr>
          <w:p>
            <w:r>
              <w:rPr>
                <w:b w:val="false"/>
                <w:bCs w:val="false"/>
              </w:rPr>
              <w:t xml:space="preserve">4</w:t>
            </w:r>
          </w:p>
        </w:tc>
        <w:tc>
          <w:tcPr>
            <w:tcW w:type="dxa" w:w="1907"/>
            <w:tcMar>
              <w:top w:type="dxa" w:w="60"/>
              <w:left w:type="dxa" w:w="100"/>
              <w:bottom w:type="dxa" w:w="60"/>
              <w:right w:type="dxa" w:w="100"/>
            </w:tcMar>
          </w:tcPr>
          <w:p>
            <w:r>
              <w:rPr>
                <w:b w:val="false"/>
                <w:bCs w:val="false"/>
              </w:rPr>
              <w:t xml:space="preserve">BOOK.DATE</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w:t>
            </w:r>
          </w:p>
        </w:tc>
      </w:tr>
      <w:tr>
        <w:tc>
          <w:tcPr>
            <w:tcW w:type="dxa" w:w="607"/>
            <w:tcMar>
              <w:top w:type="dxa" w:w="60"/>
              <w:left w:type="dxa" w:w="100"/>
              <w:bottom w:type="dxa" w:w="60"/>
              <w:right w:type="dxa" w:w="100"/>
            </w:tcMar>
          </w:tcPr>
          <w:p>
            <w:r>
              <w:rPr>
                <w:b w:val="false"/>
                <w:bCs w:val="false"/>
              </w:rPr>
              <w:t xml:space="preserve">5</w:t>
            </w:r>
          </w:p>
        </w:tc>
        <w:tc>
          <w:tcPr>
            <w:tcW w:type="dxa" w:w="1907"/>
            <w:tcMar>
              <w:top w:type="dxa" w:w="60"/>
              <w:left w:type="dxa" w:w="100"/>
              <w:bottom w:type="dxa" w:w="60"/>
              <w:right w:type="dxa" w:w="100"/>
            </w:tcMar>
          </w:tcPr>
          <w:p>
            <w:r>
              <w:rPr>
                <w:b w:val="false"/>
                <w:bCs w:val="false"/>
              </w:rPr>
              <w:t xml:space="preserve">VALUE.DATE</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CREDIT.VALUE.DATE</w:t>
            </w:r>
          </w:p>
        </w:tc>
      </w:tr>
      <w:tr>
        <w:tc>
          <w:tcPr>
            <w:tcW w:type="dxa" w:w="607"/>
            <w:tcMar>
              <w:top w:type="dxa" w:w="60"/>
              <w:left w:type="dxa" w:w="100"/>
              <w:bottom w:type="dxa" w:w="60"/>
              <w:right w:type="dxa" w:w="100"/>
            </w:tcMar>
          </w:tcPr>
          <w:p>
            <w:r>
              <w:rPr>
                <w:b w:val="false"/>
                <w:bCs w:val="false"/>
              </w:rPr>
              <w:t xml:space="preserve">6</w:t>
            </w:r>
          </w:p>
        </w:tc>
        <w:tc>
          <w:tcPr>
            <w:tcW w:type="dxa" w:w="1907"/>
            <w:tcMar>
              <w:top w:type="dxa" w:w="60"/>
              <w:left w:type="dxa" w:w="100"/>
              <w:bottom w:type="dxa" w:w="60"/>
              <w:right w:type="dxa" w:w="100"/>
            </w:tcMar>
          </w:tcPr>
          <w:p>
            <w:r>
              <w:rPr>
                <w:b w:val="false"/>
                <w:bCs w:val="false"/>
              </w:rPr>
              <w:t xml:space="preserve">BRANCH.CODE</w:t>
            </w:r>
          </w:p>
        </w:tc>
        <w:tc>
          <w:tcPr>
            <w:tcW w:type="dxa" w:w="1907"/>
            <w:tcMar>
              <w:top w:type="dxa" w:w="60"/>
              <w:left w:type="dxa" w:w="100"/>
              <w:bottom w:type="dxa" w:w="60"/>
              <w:right w:type="dxa" w:w="100"/>
            </w:tcMar>
          </w:tcPr>
          <w:p>
            <w:r>
              <w:rPr>
                <w:b w:val="false"/>
                <w:bCs w:val="false"/>
              </w:rPr>
              <w:t xml:space="preserve">B — header + reused (buggily)</w:t>
            </w:r>
          </w:p>
        </w:tc>
        <w:tc>
          <w:tcPr>
            <w:tcW w:type="dxa" w:w="4940"/>
            <w:tcMar>
              <w:top w:type="dxa" w:w="60"/>
              <w:left w:type="dxa" w:w="100"/>
              <w:bottom w:type="dxa" w:w="60"/>
              <w:right w:type="dxa" w:w="100"/>
            </w:tcMar>
          </w:tcPr>
          <w:p>
            <w:r>
              <w:rPr>
                <w:b w:val="false"/>
                <w:bCs w:val="false"/>
              </w:rPr>
              <w:t xml:space="preserve">Used in the OFS header/routing segment (auto-prefixed EG0010 if 3 chars); ALSO mistakenly read again in place of PROFIT.CNTR (see §8 Critical Finding #2)</w:t>
            </w:r>
          </w:p>
        </w:tc>
      </w:tr>
      <w:tr>
        <w:tc>
          <w:tcPr>
            <w:tcW w:type="dxa" w:w="607"/>
            <w:tcMar>
              <w:top w:type="dxa" w:w="60"/>
              <w:left w:type="dxa" w:w="100"/>
              <w:bottom w:type="dxa" w:w="60"/>
              <w:right w:type="dxa" w:w="100"/>
            </w:tcMar>
          </w:tcPr>
          <w:p>
            <w:r>
              <w:rPr>
                <w:b w:val="false"/>
                <w:bCs w:val="false"/>
              </w:rPr>
              <w:t xml:space="preserve">7</w:t>
            </w:r>
          </w:p>
        </w:tc>
        <w:tc>
          <w:tcPr>
            <w:tcW w:type="dxa" w:w="1907"/>
            <w:tcMar>
              <w:top w:type="dxa" w:w="60"/>
              <w:left w:type="dxa" w:w="100"/>
              <w:bottom w:type="dxa" w:w="60"/>
              <w:right w:type="dxa" w:w="100"/>
            </w:tcMar>
          </w:tcPr>
          <w:p>
            <w:r>
              <w:rPr>
                <w:b w:val="false"/>
                <w:bCs w:val="false"/>
              </w:rPr>
              <w:t xml:space="preserve">PROFIT.CNTR</w:t>
            </w:r>
          </w:p>
        </w:tc>
        <w:tc>
          <w:tcPr>
            <w:tcW w:type="dxa" w:w="1907"/>
            <w:tcMar>
              <w:top w:type="dxa" w:w="60"/>
              <w:left w:type="dxa" w:w="100"/>
              <w:bottom w:type="dxa" w:w="60"/>
              <w:right w:type="dxa" w:w="100"/>
            </w:tcMar>
          </w:tcPr>
          <w:p>
            <w:r>
              <w:rPr>
                <w:b w:val="false"/>
                <w:bCs w:val="false"/>
              </w:rPr>
              <w:t xml:space="preserve">D — unreferenced (bug)</w:t>
            </w:r>
          </w:p>
        </w:tc>
        <w:tc>
          <w:tcPr>
            <w:tcW w:type="dxa" w:w="4940"/>
            <w:tcMar>
              <w:top w:type="dxa" w:w="60"/>
              <w:left w:type="dxa" w:w="100"/>
              <w:bottom w:type="dxa" w:w="60"/>
              <w:right w:type="dxa" w:w="100"/>
            </w:tcMar>
          </w:tcPr>
          <w:p>
            <w:r>
              <w:rPr>
                <w:b w:val="false"/>
                <w:bCs w:val="false"/>
              </w:rPr>
              <w:t xml:space="preserve">Never actually read for its intended purpose — the code checks BRANCH.CODE's first character instead (copy-paste bug from a similar block); the resulting PROFIT.CNTR.CUST/DEBT variables are also never used downstream</w:t>
            </w:r>
          </w:p>
        </w:tc>
      </w:tr>
      <w:tr>
        <w:tc>
          <w:tcPr>
            <w:tcW w:type="dxa" w:w="607"/>
            <w:shd w:fill="FDEAEA" w:val="clear"/>
            <w:tcMar>
              <w:top w:type="dxa" w:w="60"/>
              <w:left w:type="dxa" w:w="100"/>
              <w:bottom w:type="dxa" w:w="60"/>
              <w:right w:type="dxa" w:w="100"/>
            </w:tcMar>
          </w:tcPr>
          <w:p>
            <w:r>
              <w:rPr>
                <w:b w:val="false"/>
                <w:bCs w:val="false"/>
              </w:rPr>
              <w:t xml:space="preserve">8</w:t>
            </w:r>
          </w:p>
        </w:tc>
        <w:tc>
          <w:tcPr>
            <w:tcW w:type="dxa" w:w="1907"/>
            <w:shd w:fill="FDEAEA" w:val="clear"/>
            <w:tcMar>
              <w:top w:type="dxa" w:w="60"/>
              <w:left w:type="dxa" w:w="100"/>
              <w:bottom w:type="dxa" w:w="60"/>
              <w:right w:type="dxa" w:w="100"/>
            </w:tcMar>
          </w:tcPr>
          <w:p>
            <w:r>
              <w:rPr>
                <w:b w:val="false"/>
                <w:bCs w:val="false"/>
              </w:rPr>
              <w:t xml:space="preserve">SRC.ACC.ID (debit account)</w:t>
            </w:r>
          </w:p>
        </w:tc>
        <w:tc>
          <w:tcPr>
            <w:tcW w:type="dxa" w:w="1907"/>
            <w:shd w:fill="FDEAEA" w:val="clear"/>
            <w:tcMar>
              <w:top w:type="dxa" w:w="60"/>
              <w:left w:type="dxa" w:w="100"/>
              <w:bottom w:type="dxa" w:w="60"/>
              <w:right w:type="dxa" w:w="100"/>
            </w:tcMar>
          </w:tcPr>
          <w:p>
            <w:r>
              <w:rPr>
                <w:b w:val="false"/>
                <w:bCs w:val="false"/>
              </w:rPr>
              <w:t xml:space="preserve">⚠ CRITICAL — see §8</w:t>
            </w:r>
          </w:p>
        </w:tc>
        <w:tc>
          <w:tcPr>
            <w:tcW w:type="dxa" w:w="4940"/>
            <w:shd w:fill="FDEAEA" w:val="clear"/>
            <w:tcMar>
              <w:top w:type="dxa" w:w="60"/>
              <w:left w:type="dxa" w:w="100"/>
              <w:bottom w:type="dxa" w:w="60"/>
              <w:right w:type="dxa" w:w="100"/>
            </w:tcMar>
          </w:tcPr>
          <w:p>
            <w:r>
              <w:rPr>
                <w:b w:val="false"/>
                <w:bCs w:val="false"/>
              </w:rPr>
              <w:t xml:space="preserve">Assigned into a variable named SRC_ACC.ID (underscore), but every downstream use of the debit account reads a DIFFERENT variable, SRC.ACC.ID (dot), which is never populated from this input at all</w:t>
            </w:r>
          </w:p>
        </w:tc>
      </w:tr>
      <w:tr>
        <w:tc>
          <w:tcPr>
            <w:tcW w:type="dxa" w:w="607"/>
            <w:tcMar>
              <w:top w:type="dxa" w:w="60"/>
              <w:left w:type="dxa" w:w="100"/>
              <w:bottom w:type="dxa" w:w="60"/>
              <w:right w:type="dxa" w:w="100"/>
            </w:tcMar>
          </w:tcPr>
          <w:p>
            <w:r>
              <w:rPr>
                <w:b w:val="false"/>
                <w:bCs w:val="false"/>
              </w:rPr>
              <w:t xml:space="preserve">9</w:t>
            </w:r>
          </w:p>
        </w:tc>
        <w:tc>
          <w:tcPr>
            <w:tcW w:type="dxa" w:w="1907"/>
            <w:tcMar>
              <w:top w:type="dxa" w:w="60"/>
              <w:left w:type="dxa" w:w="100"/>
              <w:bottom w:type="dxa" w:w="60"/>
              <w:right w:type="dxa" w:w="100"/>
            </w:tcMar>
          </w:tcPr>
          <w:p>
            <w:r>
              <w:rPr>
                <w:b w:val="false"/>
                <w:bCs w:val="false"/>
              </w:rPr>
              <w:t xml:space="preserve">SRC.CURR</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CREDIT.CURRENCY; also used for cross-currency balance conversion</w:t>
            </w:r>
          </w:p>
        </w:tc>
      </w:tr>
      <w:tr>
        <w:tc>
          <w:tcPr>
            <w:tcW w:type="dxa" w:w="607"/>
            <w:tcMar>
              <w:top w:type="dxa" w:w="60"/>
              <w:left w:type="dxa" w:w="100"/>
              <w:bottom w:type="dxa" w:w="60"/>
              <w:right w:type="dxa" w:w="100"/>
            </w:tcMar>
          </w:tcPr>
          <w:p>
            <w:r>
              <w:rPr>
                <w:b w:val="false"/>
                <w:bCs w:val="false"/>
              </w:rPr>
              <w:t xml:space="preserve">10</w:t>
            </w:r>
          </w:p>
        </w:tc>
        <w:tc>
          <w:tcPr>
            <w:tcW w:type="dxa" w:w="1907"/>
            <w:tcMar>
              <w:top w:type="dxa" w:w="60"/>
              <w:left w:type="dxa" w:w="100"/>
              <w:bottom w:type="dxa" w:w="60"/>
              <w:right w:type="dxa" w:w="100"/>
            </w:tcMar>
          </w:tcPr>
          <w:p>
            <w:r>
              <w:rPr>
                <w:b w:val="false"/>
                <w:bCs w:val="false"/>
              </w:rPr>
              <w:t xml:space="preserve">SRC.AMT</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CREDIT.AMOUNT (rounded via DROUND); also used in the balance check</w:t>
            </w:r>
          </w:p>
        </w:tc>
      </w:tr>
      <w:tr>
        <w:tc>
          <w:tcPr>
            <w:tcW w:type="dxa" w:w="607"/>
            <w:tcMar>
              <w:top w:type="dxa" w:w="60"/>
              <w:left w:type="dxa" w:w="100"/>
              <w:bottom w:type="dxa" w:w="60"/>
              <w:right w:type="dxa" w:w="100"/>
            </w:tcMar>
          </w:tcPr>
          <w:p>
            <w:r>
              <w:rPr>
                <w:b w:val="false"/>
                <w:bCs w:val="false"/>
              </w:rPr>
              <w:t xml:space="preserve">11</w:t>
            </w:r>
          </w:p>
        </w:tc>
        <w:tc>
          <w:tcPr>
            <w:tcW w:type="dxa" w:w="1907"/>
            <w:tcMar>
              <w:top w:type="dxa" w:w="60"/>
              <w:left w:type="dxa" w:w="100"/>
              <w:bottom w:type="dxa" w:w="60"/>
              <w:right w:type="dxa" w:w="100"/>
            </w:tcMar>
          </w:tcPr>
          <w:p>
            <w:r>
              <w:rPr>
                <w:b w:val="false"/>
                <w:bCs w:val="false"/>
              </w:rPr>
              <w:t xml:space="preserve">SRC.NARR</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w:t>
            </w:r>
          </w:p>
        </w:tc>
      </w:tr>
      <w:tr>
        <w:tc>
          <w:tcPr>
            <w:tcW w:type="dxa" w:w="607"/>
            <w:tcMar>
              <w:top w:type="dxa" w:w="60"/>
              <w:left w:type="dxa" w:w="100"/>
              <w:bottom w:type="dxa" w:w="60"/>
              <w:right w:type="dxa" w:w="100"/>
            </w:tcMar>
          </w:tcPr>
          <w:p>
            <w:r>
              <w:rPr>
                <w:b w:val="false"/>
                <w:bCs w:val="false"/>
              </w:rPr>
              <w:t xml:space="preserve">12</w:t>
            </w:r>
          </w:p>
        </w:tc>
        <w:tc>
          <w:tcPr>
            <w:tcW w:type="dxa" w:w="1907"/>
            <w:tcMar>
              <w:top w:type="dxa" w:w="60"/>
              <w:left w:type="dxa" w:w="100"/>
              <w:bottom w:type="dxa" w:w="60"/>
              <w:right w:type="dxa" w:w="100"/>
            </w:tcMar>
          </w:tcPr>
          <w:p>
            <w:r>
              <w:rPr>
                <w:b w:val="false"/>
                <w:bCs w:val="false"/>
              </w:rPr>
              <w:t xml:space="preserve">BEN.NAME</w:t>
            </w:r>
          </w:p>
        </w:tc>
        <w:tc>
          <w:tcPr>
            <w:tcW w:type="dxa" w:w="1907"/>
            <w:tcMar>
              <w:top w:type="dxa" w:w="60"/>
              <w:left w:type="dxa" w:w="100"/>
              <w:bottom w:type="dxa" w:w="60"/>
              <w:right w:type="dxa" w:w="100"/>
            </w:tcMar>
          </w:tcPr>
          <w:p>
            <w:r>
              <w:rPr>
                <w:b w:val="false"/>
                <w:bCs w:val="false"/>
              </w:rPr>
              <w:t xml:space="preserve">A — posted, recalculated</w:t>
            </w:r>
          </w:p>
        </w:tc>
        <w:tc>
          <w:tcPr>
            <w:tcW w:type="dxa" w:w="4940"/>
            <w:tcMar>
              <w:top w:type="dxa" w:w="60"/>
              <w:left w:type="dxa" w:w="100"/>
              <w:bottom w:type="dxa" w:w="60"/>
              <w:right w:type="dxa" w:w="100"/>
            </w:tcMar>
          </w:tcPr>
          <w:p>
            <w:r>
              <w:rPr>
                <w:b w:val="false"/>
                <w:bCs w:val="false"/>
              </w:rPr>
              <w:t xml:space="preserve">→ BEN.CUSTOMER (multi-part, MT→MX transliteration for non-EGP) — same reformatting logic as Create Outward Transfer, independently re-implemented in this routine</w:t>
            </w:r>
          </w:p>
        </w:tc>
      </w:tr>
      <w:tr>
        <w:tc>
          <w:tcPr>
            <w:tcW w:type="dxa" w:w="607"/>
            <w:tcMar>
              <w:top w:type="dxa" w:w="60"/>
              <w:left w:type="dxa" w:w="100"/>
              <w:bottom w:type="dxa" w:w="60"/>
              <w:right w:type="dxa" w:w="100"/>
            </w:tcMar>
          </w:tcPr>
          <w:p>
            <w:r>
              <w:rPr>
                <w:b w:val="false"/>
                <w:bCs w:val="false"/>
              </w:rPr>
              <w:t xml:space="preserve">13</w:t>
            </w:r>
          </w:p>
        </w:tc>
        <w:tc>
          <w:tcPr>
            <w:tcW w:type="dxa" w:w="1907"/>
            <w:tcMar>
              <w:top w:type="dxa" w:w="60"/>
              <w:left w:type="dxa" w:w="100"/>
              <w:bottom w:type="dxa" w:w="60"/>
              <w:right w:type="dxa" w:w="100"/>
            </w:tcMar>
          </w:tcPr>
          <w:p>
            <w:r>
              <w:rPr>
                <w:b w:val="false"/>
                <w:bCs w:val="false"/>
              </w:rPr>
              <w:t xml:space="preserve">BEN.ACC</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IBAN.BEN or BEN.ACCT.NO depending on IBAN validation; UNLIKE Create Outward Transfer, this routine explicitly posts 'NULL' for whichever of the two fields is NOT used</w:t>
            </w:r>
          </w:p>
        </w:tc>
      </w:tr>
      <w:tr>
        <w:tc>
          <w:tcPr>
            <w:tcW w:type="dxa" w:w="607"/>
            <w:tcMar>
              <w:top w:type="dxa" w:w="60"/>
              <w:left w:type="dxa" w:w="100"/>
              <w:bottom w:type="dxa" w:w="60"/>
              <w:right w:type="dxa" w:w="100"/>
            </w:tcMar>
          </w:tcPr>
          <w:p>
            <w:r>
              <w:rPr>
                <w:b w:val="false"/>
                <w:bCs w:val="false"/>
              </w:rPr>
              <w:t xml:space="preserve">14–16</w:t>
            </w:r>
          </w:p>
        </w:tc>
        <w:tc>
          <w:tcPr>
            <w:tcW w:type="dxa" w:w="1907"/>
            <w:tcMar>
              <w:top w:type="dxa" w:w="60"/>
              <w:left w:type="dxa" w:w="100"/>
              <w:bottom w:type="dxa" w:w="60"/>
              <w:right w:type="dxa" w:w="100"/>
            </w:tcMar>
          </w:tcPr>
          <w:p>
            <w:r>
              <w:rPr>
                <w:b w:val="false"/>
                <w:bCs w:val="false"/>
              </w:rPr>
              <w:t xml:space="preserve">BEN.ADDR.1/2/3</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w:t>
            </w:r>
          </w:p>
        </w:tc>
      </w:tr>
      <w:tr>
        <w:tc>
          <w:tcPr>
            <w:tcW w:type="dxa" w:w="607"/>
            <w:tcMar>
              <w:top w:type="dxa" w:w="60"/>
              <w:left w:type="dxa" w:w="100"/>
              <w:bottom w:type="dxa" w:w="60"/>
              <w:right w:type="dxa" w:w="100"/>
            </w:tcMar>
          </w:tcPr>
          <w:p>
            <w:r>
              <w:rPr>
                <w:b w:val="false"/>
                <w:bCs w:val="false"/>
              </w:rPr>
              <w:t xml:space="preserve">17</w:t>
            </w:r>
          </w:p>
        </w:tc>
        <w:tc>
          <w:tcPr>
            <w:tcW w:type="dxa" w:w="1907"/>
            <w:tcMar>
              <w:top w:type="dxa" w:w="60"/>
              <w:left w:type="dxa" w:w="100"/>
              <w:bottom w:type="dxa" w:w="60"/>
              <w:right w:type="dxa" w:w="100"/>
            </w:tcMar>
          </w:tcPr>
          <w:p>
            <w:r>
              <w:rPr>
                <w:b w:val="false"/>
                <w:bCs w:val="false"/>
              </w:rPr>
              <w:t xml:space="preserve">BEN.ADDR.CITY</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 — this field doesn't even exist in Create Outward Transfer's input contract (structural difference)</w:t>
            </w:r>
          </w:p>
        </w:tc>
      </w:tr>
      <w:tr>
        <w:tc>
          <w:tcPr>
            <w:tcW w:type="dxa" w:w="607"/>
            <w:tcMar>
              <w:top w:type="dxa" w:w="60"/>
              <w:left w:type="dxa" w:w="100"/>
              <w:bottom w:type="dxa" w:w="60"/>
              <w:right w:type="dxa" w:w="100"/>
            </w:tcMar>
          </w:tcPr>
          <w:p>
            <w:r>
              <w:rPr>
                <w:b w:val="false"/>
                <w:bCs w:val="false"/>
              </w:rPr>
              <w:t xml:space="preserve">18</w:t>
            </w:r>
          </w:p>
        </w:tc>
        <w:tc>
          <w:tcPr>
            <w:tcW w:type="dxa" w:w="1907"/>
            <w:tcMar>
              <w:top w:type="dxa" w:w="60"/>
              <w:left w:type="dxa" w:w="100"/>
              <w:bottom w:type="dxa" w:w="60"/>
              <w:right w:type="dxa" w:w="100"/>
            </w:tcMar>
          </w:tcPr>
          <w:p>
            <w:r>
              <w:rPr>
                <w:b w:val="false"/>
                <w:bCs w:val="false"/>
              </w:rPr>
              <w:t xml:space="preserve">BEN.ADDR.CNTRY</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Same as above — new field vs Create Outward Transfer, still unused</w:t>
            </w:r>
          </w:p>
        </w:tc>
      </w:tr>
      <w:tr>
        <w:tc>
          <w:tcPr>
            <w:tcW w:type="dxa" w:w="607"/>
            <w:tcMar>
              <w:top w:type="dxa" w:w="60"/>
              <w:left w:type="dxa" w:w="100"/>
              <w:bottom w:type="dxa" w:w="60"/>
              <w:right w:type="dxa" w:w="100"/>
            </w:tcMar>
          </w:tcPr>
          <w:p>
            <w:r>
              <w:rPr>
                <w:b w:val="false"/>
                <w:bCs w:val="false"/>
              </w:rPr>
              <w:t xml:space="preserve">19</w:t>
            </w:r>
          </w:p>
        </w:tc>
        <w:tc>
          <w:tcPr>
            <w:tcW w:type="dxa" w:w="1907"/>
            <w:tcMar>
              <w:top w:type="dxa" w:w="60"/>
              <w:left w:type="dxa" w:w="100"/>
              <w:bottom w:type="dxa" w:w="60"/>
              <w:right w:type="dxa" w:w="100"/>
            </w:tcMar>
          </w:tcPr>
          <w:p>
            <w:r>
              <w:rPr>
                <w:b w:val="false"/>
                <w:bCs w:val="false"/>
              </w:rPr>
              <w:t xml:space="preserve">CHARGE.IND</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w:t>
            </w:r>
          </w:p>
        </w:tc>
      </w:tr>
      <w:tr>
        <w:tc>
          <w:tcPr>
            <w:tcW w:type="dxa" w:w="607"/>
            <w:tcMar>
              <w:top w:type="dxa" w:w="60"/>
              <w:left w:type="dxa" w:w="100"/>
              <w:bottom w:type="dxa" w:w="60"/>
              <w:right w:type="dxa" w:w="100"/>
            </w:tcMar>
          </w:tcPr>
          <w:p>
            <w:r>
              <w:rPr>
                <w:b w:val="false"/>
                <w:bCs w:val="false"/>
              </w:rPr>
              <w:t xml:space="preserve">20</w:t>
            </w:r>
          </w:p>
        </w:tc>
        <w:tc>
          <w:tcPr>
            <w:tcW w:type="dxa" w:w="1907"/>
            <w:tcMar>
              <w:top w:type="dxa" w:w="60"/>
              <w:left w:type="dxa" w:w="100"/>
              <w:bottom w:type="dxa" w:w="60"/>
              <w:right w:type="dxa" w:w="100"/>
            </w:tcMar>
          </w:tcPr>
          <w:p>
            <w:r>
              <w:rPr>
                <w:b w:val="false"/>
                <w:bCs w:val="false"/>
              </w:rPr>
              <w:t xml:space="preserve">BEN.BK.NAME</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w:t>
            </w:r>
          </w:p>
        </w:tc>
      </w:tr>
      <w:tr>
        <w:tc>
          <w:tcPr>
            <w:tcW w:type="dxa" w:w="607"/>
            <w:tcMar>
              <w:top w:type="dxa" w:w="60"/>
              <w:left w:type="dxa" w:w="100"/>
              <w:bottom w:type="dxa" w:w="60"/>
              <w:right w:type="dxa" w:w="100"/>
            </w:tcMar>
          </w:tcPr>
          <w:p>
            <w:r>
              <w:rPr>
                <w:b w:val="false"/>
                <w:bCs w:val="false"/>
              </w:rPr>
              <w:t xml:space="preserve">21</w:t>
            </w:r>
          </w:p>
        </w:tc>
        <w:tc>
          <w:tcPr>
            <w:tcW w:type="dxa" w:w="1907"/>
            <w:tcMar>
              <w:top w:type="dxa" w:w="60"/>
              <w:left w:type="dxa" w:w="100"/>
              <w:bottom w:type="dxa" w:w="60"/>
              <w:right w:type="dxa" w:w="100"/>
            </w:tcMar>
          </w:tcPr>
          <w:p>
            <w:r>
              <w:rPr>
                <w:b w:val="false"/>
                <w:bCs w:val="false"/>
              </w:rPr>
              <w:t xml:space="preserve">BEN.BIC.CD</w:t>
            </w:r>
          </w:p>
        </w:tc>
        <w:tc>
          <w:tcPr>
            <w:tcW w:type="dxa" w:w="1907"/>
            <w:tcMar>
              <w:top w:type="dxa" w:w="60"/>
              <w:left w:type="dxa" w:w="100"/>
              <w:bottom w:type="dxa" w:w="60"/>
              <w:right w:type="dxa" w:w="100"/>
            </w:tcMar>
          </w:tcPr>
          <w:p>
            <w:r>
              <w:rPr>
                <w:b w:val="false"/>
                <w:bCs w:val="false"/>
              </w:rPr>
              <w:t xml:space="preserve">D — unreferenced (gap vs Create)</w:t>
            </w:r>
          </w:p>
        </w:tc>
        <w:tc>
          <w:tcPr>
            <w:tcW w:type="dxa" w:w="4940"/>
            <w:tcMar>
              <w:top w:type="dxa" w:w="60"/>
              <w:left w:type="dxa" w:w="100"/>
              <w:bottom w:type="dxa" w:w="60"/>
              <w:right w:type="dxa" w:w="100"/>
            </w:tcMar>
          </w:tcPr>
          <w:p>
            <w:r>
              <w:rPr>
                <w:b w:val="false"/>
                <w:bCs w:val="false"/>
              </w:rPr>
              <w:t xml:space="preserve">Parsed, but NO downstream use at all in this routine — not even mapped to BNK.NME.57 the way Create Outward Transfer does. A functional gap: this AMEND service cannot change the beneficiary BIC code, unlike its Create counterpart</w:t>
            </w:r>
          </w:p>
        </w:tc>
      </w:tr>
      <w:tr>
        <w:tc>
          <w:tcPr>
            <w:tcW w:type="dxa" w:w="607"/>
            <w:tcMar>
              <w:top w:type="dxa" w:w="60"/>
              <w:left w:type="dxa" w:w="100"/>
              <w:bottom w:type="dxa" w:w="60"/>
              <w:right w:type="dxa" w:w="100"/>
            </w:tcMar>
          </w:tcPr>
          <w:p>
            <w:r>
              <w:rPr>
                <w:b w:val="false"/>
                <w:bCs w:val="false"/>
              </w:rPr>
              <w:t xml:space="preserve">22</w:t>
            </w:r>
          </w:p>
        </w:tc>
        <w:tc>
          <w:tcPr>
            <w:tcW w:type="dxa" w:w="1907"/>
            <w:tcMar>
              <w:top w:type="dxa" w:w="60"/>
              <w:left w:type="dxa" w:w="100"/>
              <w:bottom w:type="dxa" w:w="60"/>
              <w:right w:type="dxa" w:w="100"/>
            </w:tcMar>
          </w:tcPr>
          <w:p>
            <w:r>
              <w:rPr>
                <w:b w:val="false"/>
                <w:bCs w:val="false"/>
              </w:rPr>
              <w:t xml:space="preserve">BEN.BK.SORT.CD</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w:t>
            </w:r>
          </w:p>
        </w:tc>
      </w:tr>
      <w:tr>
        <w:tc>
          <w:tcPr>
            <w:tcW w:type="dxa" w:w="607"/>
            <w:tcMar>
              <w:top w:type="dxa" w:w="60"/>
              <w:left w:type="dxa" w:w="100"/>
              <w:bottom w:type="dxa" w:w="60"/>
              <w:right w:type="dxa" w:w="100"/>
            </w:tcMar>
          </w:tcPr>
          <w:p>
            <w:r>
              <w:rPr>
                <w:b w:val="false"/>
                <w:bCs w:val="false"/>
              </w:rPr>
              <w:t xml:space="preserve">23</w:t>
            </w:r>
          </w:p>
        </w:tc>
        <w:tc>
          <w:tcPr>
            <w:tcW w:type="dxa" w:w="1907"/>
            <w:tcMar>
              <w:top w:type="dxa" w:w="60"/>
              <w:left w:type="dxa" w:w="100"/>
              <w:bottom w:type="dxa" w:w="60"/>
              <w:right w:type="dxa" w:w="100"/>
            </w:tcMar>
          </w:tcPr>
          <w:p>
            <w:r>
              <w:rPr>
                <w:b w:val="false"/>
                <w:bCs w:val="false"/>
              </w:rPr>
              <w:t xml:space="preserve">BEN.BK.BRANCH</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w:t>
            </w:r>
          </w:p>
        </w:tc>
      </w:tr>
      <w:tr>
        <w:tc>
          <w:tcPr>
            <w:tcW w:type="dxa" w:w="607"/>
            <w:tcMar>
              <w:top w:type="dxa" w:w="60"/>
              <w:left w:type="dxa" w:w="100"/>
              <w:bottom w:type="dxa" w:w="60"/>
              <w:right w:type="dxa" w:w="100"/>
            </w:tcMar>
          </w:tcPr>
          <w:p>
            <w:r>
              <w:rPr>
                <w:b w:val="false"/>
                <w:bCs w:val="false"/>
              </w:rPr>
              <w:t xml:space="preserve">24</w:t>
            </w:r>
          </w:p>
        </w:tc>
        <w:tc>
          <w:tcPr>
            <w:tcW w:type="dxa" w:w="1907"/>
            <w:tcMar>
              <w:top w:type="dxa" w:w="60"/>
              <w:left w:type="dxa" w:w="100"/>
              <w:bottom w:type="dxa" w:w="60"/>
              <w:right w:type="dxa" w:w="100"/>
            </w:tcMar>
          </w:tcPr>
          <w:p>
            <w:r>
              <w:rPr>
                <w:b w:val="false"/>
                <w:bCs w:val="false"/>
              </w:rPr>
              <w:t xml:space="preserve">BEN.BK.BRN.CD</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w:t>
            </w:r>
          </w:p>
        </w:tc>
      </w:tr>
      <w:tr>
        <w:tc>
          <w:tcPr>
            <w:tcW w:type="dxa" w:w="607"/>
            <w:tcMar>
              <w:top w:type="dxa" w:w="60"/>
              <w:left w:type="dxa" w:w="100"/>
              <w:bottom w:type="dxa" w:w="60"/>
              <w:right w:type="dxa" w:w="100"/>
            </w:tcMar>
          </w:tcPr>
          <w:p>
            <w:r>
              <w:rPr>
                <w:b w:val="false"/>
                <w:bCs w:val="false"/>
              </w:rPr>
              <w:t xml:space="preserve">25</w:t>
            </w:r>
          </w:p>
        </w:tc>
        <w:tc>
          <w:tcPr>
            <w:tcW w:type="dxa" w:w="1907"/>
            <w:tcMar>
              <w:top w:type="dxa" w:w="60"/>
              <w:left w:type="dxa" w:w="100"/>
              <w:bottom w:type="dxa" w:w="60"/>
              <w:right w:type="dxa" w:w="100"/>
            </w:tcMar>
          </w:tcPr>
          <w:p>
            <w:r>
              <w:rPr>
                <w:b w:val="false"/>
                <w:bCs w:val="false"/>
              </w:rPr>
              <w:t xml:space="preserve">BEN.NARRATIVE</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 (distinct from FT.NARRATIVE, which IS posted)</w:t>
            </w:r>
          </w:p>
        </w:tc>
      </w:tr>
      <w:tr>
        <w:tc>
          <w:tcPr>
            <w:tcW w:type="dxa" w:w="607"/>
            <w:tcMar>
              <w:top w:type="dxa" w:w="60"/>
              <w:left w:type="dxa" w:w="100"/>
              <w:bottom w:type="dxa" w:w="60"/>
              <w:right w:type="dxa" w:w="100"/>
            </w:tcMar>
          </w:tcPr>
          <w:p>
            <w:r>
              <w:rPr>
                <w:b w:val="false"/>
                <w:bCs w:val="false"/>
              </w:rPr>
              <w:t xml:space="preserve">26</w:t>
            </w:r>
          </w:p>
        </w:tc>
        <w:tc>
          <w:tcPr>
            <w:tcW w:type="dxa" w:w="1907"/>
            <w:tcMar>
              <w:top w:type="dxa" w:w="60"/>
              <w:left w:type="dxa" w:w="100"/>
              <w:bottom w:type="dxa" w:w="60"/>
              <w:right w:type="dxa" w:w="100"/>
            </w:tcMar>
          </w:tcPr>
          <w:p>
            <w:r>
              <w:rPr>
                <w:b w:val="false"/>
                <w:bCs w:val="false"/>
              </w:rPr>
              <w:t xml:space="preserve">BEN.OUR.CHARGES</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Posted as-is; drives COMMISSION.CODE default logic and the CHRG.ACCT.NO=NULL rule</w:t>
            </w:r>
          </w:p>
        </w:tc>
      </w:tr>
      <w:tr>
        <w:tc>
          <w:tcPr>
            <w:tcW w:type="dxa" w:w="607"/>
            <w:tcMar>
              <w:top w:type="dxa" w:w="60"/>
              <w:left w:type="dxa" w:w="100"/>
              <w:bottom w:type="dxa" w:w="60"/>
              <w:right w:type="dxa" w:w="100"/>
            </w:tcMar>
          </w:tcPr>
          <w:p>
            <w:r>
              <w:rPr>
                <w:b w:val="false"/>
                <w:bCs w:val="false"/>
              </w:rPr>
              <w:t xml:space="preserve">27</w:t>
            </w:r>
          </w:p>
        </w:tc>
        <w:tc>
          <w:tcPr>
            <w:tcW w:type="dxa" w:w="1907"/>
            <w:tcMar>
              <w:top w:type="dxa" w:w="60"/>
              <w:left w:type="dxa" w:w="100"/>
              <w:bottom w:type="dxa" w:w="60"/>
              <w:right w:type="dxa" w:w="100"/>
            </w:tcMar>
          </w:tcPr>
          <w:p>
            <w:r>
              <w:rPr>
                <w:b w:val="false"/>
                <w:bCs w:val="false"/>
              </w:rPr>
              <w:t xml:space="preserve">COMMISSION.CODE</w:t>
            </w:r>
          </w:p>
        </w:tc>
        <w:tc>
          <w:tcPr>
            <w:tcW w:type="dxa" w:w="1907"/>
            <w:tcMar>
              <w:top w:type="dxa" w:w="60"/>
              <w:left w:type="dxa" w:w="100"/>
              <w:bottom w:type="dxa" w:w="60"/>
              <w:right w:type="dxa" w:w="100"/>
            </w:tcMar>
          </w:tcPr>
          <w:p>
            <w:r>
              <w:rPr>
                <w:b w:val="false"/>
                <w:bCs w:val="false"/>
              </w:rPr>
              <w:t xml:space="preserve">A — posted, conditional</w:t>
            </w:r>
          </w:p>
        </w:tc>
        <w:tc>
          <w:tcPr>
            <w:tcW w:type="dxa" w:w="4940"/>
            <w:tcMar>
              <w:top w:type="dxa" w:w="60"/>
              <w:left w:type="dxa" w:w="100"/>
              <w:bottom w:type="dxa" w:w="60"/>
              <w:right w:type="dxa" w:w="100"/>
            </w:tcMar>
          </w:tcPr>
          <w:p>
            <w:r>
              <w:rPr>
                <w:b w:val="false"/>
                <w:bCs w:val="false"/>
              </w:rPr>
              <w:t xml:space="preserve">Posted, but may be auto-defaulted or auto-set to 'WAIVE' by rules unique to this routine (see §5.4)</w:t>
            </w:r>
          </w:p>
        </w:tc>
      </w:tr>
      <w:tr>
        <w:tc>
          <w:tcPr>
            <w:tcW w:type="dxa" w:w="607"/>
            <w:tcMar>
              <w:top w:type="dxa" w:w="60"/>
              <w:left w:type="dxa" w:w="100"/>
              <w:bottom w:type="dxa" w:w="60"/>
              <w:right w:type="dxa" w:w="100"/>
            </w:tcMar>
          </w:tcPr>
          <w:p>
            <w:r>
              <w:rPr>
                <w:b w:val="false"/>
                <w:bCs w:val="false"/>
              </w:rPr>
              <w:t xml:space="preserve">28</w:t>
            </w:r>
          </w:p>
        </w:tc>
        <w:tc>
          <w:tcPr>
            <w:tcW w:type="dxa" w:w="1907"/>
            <w:tcMar>
              <w:top w:type="dxa" w:w="60"/>
              <w:left w:type="dxa" w:w="100"/>
              <w:bottom w:type="dxa" w:w="60"/>
              <w:right w:type="dxa" w:w="100"/>
            </w:tcMar>
          </w:tcPr>
          <w:p>
            <w:r>
              <w:rPr>
                <w:b w:val="false"/>
                <w:bCs w:val="false"/>
              </w:rPr>
              <w:t xml:space="preserve">COMMISSION.TYPE</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COMMISSION.TYPE:n (via generic FILL.MULTI, NULL-safe)</w:t>
            </w:r>
          </w:p>
        </w:tc>
      </w:tr>
      <w:tr>
        <w:tc>
          <w:tcPr>
            <w:tcW w:type="dxa" w:w="607"/>
            <w:tcMar>
              <w:top w:type="dxa" w:w="60"/>
              <w:left w:type="dxa" w:w="100"/>
              <w:bottom w:type="dxa" w:w="60"/>
              <w:right w:type="dxa" w:w="100"/>
            </w:tcMar>
          </w:tcPr>
          <w:p>
            <w:r>
              <w:rPr>
                <w:b w:val="false"/>
                <w:bCs w:val="false"/>
              </w:rPr>
              <w:t xml:space="preserve">29</w:t>
            </w:r>
          </w:p>
        </w:tc>
        <w:tc>
          <w:tcPr>
            <w:tcW w:type="dxa" w:w="1907"/>
            <w:tcMar>
              <w:top w:type="dxa" w:w="60"/>
              <w:left w:type="dxa" w:w="100"/>
              <w:bottom w:type="dxa" w:w="60"/>
              <w:right w:type="dxa" w:w="100"/>
            </w:tcMar>
          </w:tcPr>
          <w:p>
            <w:r>
              <w:rPr>
                <w:b w:val="false"/>
                <w:bCs w:val="false"/>
              </w:rPr>
              <w:t xml:space="preserve">COMMISSION.AMOUNT</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COMMISSION.AMT:n (via generic FILL.MULTI, NULL-safe)</w:t>
            </w:r>
          </w:p>
        </w:tc>
      </w:tr>
      <w:tr>
        <w:tc>
          <w:tcPr>
            <w:tcW w:type="dxa" w:w="607"/>
            <w:tcMar>
              <w:top w:type="dxa" w:w="60"/>
              <w:left w:type="dxa" w:w="100"/>
              <w:bottom w:type="dxa" w:w="60"/>
              <w:right w:type="dxa" w:w="100"/>
            </w:tcMar>
          </w:tcPr>
          <w:p>
            <w:r>
              <w:rPr>
                <w:b w:val="false"/>
                <w:bCs w:val="false"/>
              </w:rPr>
              <w:t xml:space="preserve">30</w:t>
            </w:r>
          </w:p>
        </w:tc>
        <w:tc>
          <w:tcPr>
            <w:tcW w:type="dxa" w:w="1907"/>
            <w:tcMar>
              <w:top w:type="dxa" w:w="60"/>
              <w:left w:type="dxa" w:w="100"/>
              <w:bottom w:type="dxa" w:w="60"/>
              <w:right w:type="dxa" w:w="100"/>
            </w:tcMar>
          </w:tcPr>
          <w:p>
            <w:r>
              <w:rPr>
                <w:b w:val="false"/>
                <w:bCs w:val="false"/>
              </w:rPr>
              <w:t xml:space="preserve">GTS.CONTROL</w:t>
            </w:r>
          </w:p>
        </w:tc>
        <w:tc>
          <w:tcPr>
            <w:tcW w:type="dxa" w:w="1907"/>
            <w:tcMar>
              <w:top w:type="dxa" w:w="60"/>
              <w:left w:type="dxa" w:w="100"/>
              <w:bottom w:type="dxa" w:w="60"/>
              <w:right w:type="dxa" w:w="100"/>
            </w:tcMar>
          </w:tcPr>
          <w:p>
            <w:r>
              <w:rPr>
                <w:b w:val="false"/>
                <w:bCs w:val="false"/>
              </w:rPr>
              <w:t xml:space="preserve">B — header only</w:t>
            </w:r>
          </w:p>
        </w:tc>
        <w:tc>
          <w:tcPr>
            <w:tcW w:type="dxa" w:w="4940"/>
            <w:tcMar>
              <w:top w:type="dxa" w:w="60"/>
              <w:left w:type="dxa" w:w="100"/>
              <w:bottom w:type="dxa" w:w="60"/>
              <w:right w:type="dxa" w:w="100"/>
            </w:tcMar>
          </w:tcPr>
          <w:p>
            <w:r>
              <w:rPr>
                <w:b w:val="false"/>
                <w:bCs w:val="false"/>
              </w:rPr>
              <w:t xml:space="preserve">Used in the OFS header/routing segment — no default-fill logic in this routine (unlike FT08), so a literal 'NULL' string sent by the channel passes straight through into the header as-is</w:t>
            </w:r>
          </w:p>
        </w:tc>
      </w:tr>
      <w:tr>
        <w:tc>
          <w:tcPr>
            <w:tcW w:type="dxa" w:w="607"/>
            <w:tcMar>
              <w:top w:type="dxa" w:w="60"/>
              <w:left w:type="dxa" w:w="100"/>
              <w:bottom w:type="dxa" w:w="60"/>
              <w:right w:type="dxa" w:w="100"/>
            </w:tcMar>
          </w:tcPr>
          <w:p>
            <w:r>
              <w:rPr>
                <w:b w:val="false"/>
                <w:bCs w:val="false"/>
              </w:rPr>
              <w:t xml:space="preserve">31</w:t>
            </w:r>
          </w:p>
        </w:tc>
        <w:tc>
          <w:tcPr>
            <w:tcW w:type="dxa" w:w="1907"/>
            <w:tcMar>
              <w:top w:type="dxa" w:w="60"/>
              <w:left w:type="dxa" w:w="100"/>
              <w:bottom w:type="dxa" w:w="60"/>
              <w:right w:type="dxa" w:w="100"/>
            </w:tcMar>
          </w:tcPr>
          <w:p>
            <w:r>
              <w:rPr>
                <w:b w:val="false"/>
                <w:bCs w:val="false"/>
              </w:rPr>
              <w:t xml:space="preserve">AUTH.FLAG</w:t>
            </w:r>
          </w:p>
        </w:tc>
        <w:tc>
          <w:tcPr>
            <w:tcW w:type="dxa" w:w="1907"/>
            <w:tcMar>
              <w:top w:type="dxa" w:w="60"/>
              <w:left w:type="dxa" w:w="100"/>
              <w:bottom w:type="dxa" w:w="60"/>
              <w:right w:type="dxa" w:w="100"/>
            </w:tcMar>
          </w:tcPr>
          <w:p>
            <w:r>
              <w:rPr>
                <w:b w:val="false"/>
                <w:bCs w:val="false"/>
              </w:rPr>
              <w:t xml:space="preserve">B — header only</w:t>
            </w:r>
          </w:p>
        </w:tc>
        <w:tc>
          <w:tcPr>
            <w:tcW w:type="dxa" w:w="4940"/>
            <w:tcMar>
              <w:top w:type="dxa" w:w="60"/>
              <w:left w:type="dxa" w:w="100"/>
              <w:bottom w:type="dxa" w:w="60"/>
              <w:right w:type="dxa" w:w="100"/>
            </w:tcMar>
          </w:tcPr>
          <w:p>
            <w:r>
              <w:rPr>
                <w:b w:val="false"/>
                <w:bCs w:val="false"/>
              </w:rPr>
              <w:t xml:space="preserve">Used in the OFS header/routing segment</w:t>
            </w:r>
          </w:p>
        </w:tc>
      </w:tr>
      <w:tr>
        <w:tc>
          <w:tcPr>
            <w:tcW w:type="dxa" w:w="607"/>
            <w:tcMar>
              <w:top w:type="dxa" w:w="60"/>
              <w:left w:type="dxa" w:w="100"/>
              <w:bottom w:type="dxa" w:w="60"/>
              <w:right w:type="dxa" w:w="100"/>
            </w:tcMar>
          </w:tcPr>
          <w:p>
            <w:r>
              <w:rPr>
                <w:b w:val="false"/>
                <w:bCs w:val="false"/>
              </w:rPr>
              <w:t xml:space="preserve">32</w:t>
            </w:r>
          </w:p>
        </w:tc>
        <w:tc>
          <w:tcPr>
            <w:tcW w:type="dxa" w:w="1907"/>
            <w:tcMar>
              <w:top w:type="dxa" w:w="60"/>
              <w:left w:type="dxa" w:w="100"/>
              <w:bottom w:type="dxa" w:w="60"/>
              <w:right w:type="dxa" w:w="100"/>
            </w:tcMar>
          </w:tcPr>
          <w:p>
            <w:r>
              <w:rPr>
                <w:b w:val="false"/>
                <w:bCs w:val="false"/>
              </w:rPr>
              <w:t xml:space="preserve">OD.TYPE</w:t>
            </w:r>
          </w:p>
        </w:tc>
        <w:tc>
          <w:tcPr>
            <w:tcW w:type="dxa" w:w="1907"/>
            <w:tcMar>
              <w:top w:type="dxa" w:w="60"/>
              <w:left w:type="dxa" w:w="100"/>
              <w:bottom w:type="dxa" w:w="60"/>
              <w:right w:type="dxa" w:w="100"/>
            </w:tcMar>
          </w:tcPr>
          <w:p>
            <w:r>
              <w:rPr>
                <w:b w:val="false"/>
                <w:bCs w:val="false"/>
              </w:rPr>
              <w:t xml:space="preserve">C — control-flow only</w:t>
            </w:r>
          </w:p>
        </w:tc>
        <w:tc>
          <w:tcPr>
            <w:tcW w:type="dxa" w:w="4940"/>
            <w:tcMar>
              <w:top w:type="dxa" w:w="60"/>
              <w:left w:type="dxa" w:w="100"/>
              <w:bottom w:type="dxa" w:w="60"/>
              <w:right w:type="dxa" w:w="100"/>
            </w:tcMar>
          </w:tcPr>
          <w:p>
            <w:r>
              <w:rPr>
                <w:b w:val="false"/>
                <w:bCs w:val="false"/>
              </w:rPr>
              <w:t xml:space="preserve">Gates the balance check (AVAL.BALANCE &gt;= SRC.AMT OR OD.TYPE='Y') — never written to OFS</w:t>
            </w:r>
          </w:p>
        </w:tc>
      </w:tr>
      <w:tr>
        <w:tc>
          <w:tcPr>
            <w:tcW w:type="dxa" w:w="607"/>
            <w:tcMar>
              <w:top w:type="dxa" w:w="60"/>
              <w:left w:type="dxa" w:w="100"/>
              <w:bottom w:type="dxa" w:w="60"/>
              <w:right w:type="dxa" w:w="100"/>
            </w:tcMar>
          </w:tcPr>
          <w:p>
            <w:r>
              <w:rPr>
                <w:b w:val="false"/>
                <w:bCs w:val="false"/>
              </w:rPr>
              <w:t xml:space="preserve">33</w:t>
            </w:r>
          </w:p>
        </w:tc>
        <w:tc>
          <w:tcPr>
            <w:tcW w:type="dxa" w:w="1907"/>
            <w:tcMar>
              <w:top w:type="dxa" w:w="60"/>
              <w:left w:type="dxa" w:w="100"/>
              <w:bottom w:type="dxa" w:w="60"/>
              <w:right w:type="dxa" w:w="100"/>
            </w:tcMar>
          </w:tcPr>
          <w:p>
            <w:r>
              <w:rPr>
                <w:b w:val="false"/>
                <w:bCs w:val="false"/>
              </w:rPr>
              <w:t xml:space="preserve">ORDERING.CUST</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ORDERING.CUST:n (via FILL.MULTI, NULL-safe)</w:t>
            </w:r>
          </w:p>
        </w:tc>
      </w:tr>
      <w:tr>
        <w:tc>
          <w:tcPr>
            <w:tcW w:type="dxa" w:w="607"/>
            <w:tcMar>
              <w:top w:type="dxa" w:w="60"/>
              <w:left w:type="dxa" w:w="100"/>
              <w:bottom w:type="dxa" w:w="60"/>
              <w:right w:type="dxa" w:w="100"/>
            </w:tcMar>
          </w:tcPr>
          <w:p>
            <w:r>
              <w:rPr>
                <w:b w:val="false"/>
                <w:bCs w:val="false"/>
              </w:rPr>
              <w:t xml:space="preserve">34</w:t>
            </w:r>
          </w:p>
        </w:tc>
        <w:tc>
          <w:tcPr>
            <w:tcW w:type="dxa" w:w="1907"/>
            <w:tcMar>
              <w:top w:type="dxa" w:w="60"/>
              <w:left w:type="dxa" w:w="100"/>
              <w:bottom w:type="dxa" w:w="60"/>
              <w:right w:type="dxa" w:w="100"/>
            </w:tcMar>
          </w:tcPr>
          <w:p>
            <w:r>
              <w:rPr>
                <w:b w:val="false"/>
                <w:bCs w:val="false"/>
              </w:rPr>
              <w:t xml:space="preserve">ORDERING.BANK</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ORDERING.BANK:n (via FILL.MULTI, NULL-safe)</w:t>
            </w:r>
          </w:p>
        </w:tc>
      </w:tr>
      <w:tr>
        <w:tc>
          <w:tcPr>
            <w:tcW w:type="dxa" w:w="607"/>
            <w:tcMar>
              <w:top w:type="dxa" w:w="60"/>
              <w:left w:type="dxa" w:w="100"/>
              <w:bottom w:type="dxa" w:w="60"/>
              <w:right w:type="dxa" w:w="100"/>
            </w:tcMar>
          </w:tcPr>
          <w:p>
            <w:r>
              <w:rPr>
                <w:b w:val="false"/>
                <w:bCs w:val="false"/>
              </w:rPr>
              <w:t xml:space="preserve">35</w:t>
            </w:r>
          </w:p>
        </w:tc>
        <w:tc>
          <w:tcPr>
            <w:tcW w:type="dxa" w:w="1907"/>
            <w:tcMar>
              <w:top w:type="dxa" w:w="60"/>
              <w:left w:type="dxa" w:w="100"/>
              <w:bottom w:type="dxa" w:w="60"/>
              <w:right w:type="dxa" w:w="100"/>
            </w:tcMar>
          </w:tcPr>
          <w:p>
            <w:r>
              <w:rPr>
                <w:b w:val="false"/>
                <w:bCs w:val="false"/>
              </w:rPr>
              <w:t xml:space="preserve">CREDIT.ACCT.NO</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Posted as-is (beneficiary/credit account)</w:t>
            </w:r>
          </w:p>
        </w:tc>
      </w:tr>
      <w:tr>
        <w:tc>
          <w:tcPr>
            <w:tcW w:type="dxa" w:w="607"/>
            <w:tcMar>
              <w:top w:type="dxa" w:w="60"/>
              <w:left w:type="dxa" w:w="100"/>
              <w:bottom w:type="dxa" w:w="60"/>
              <w:right w:type="dxa" w:w="100"/>
            </w:tcMar>
          </w:tcPr>
          <w:p>
            <w:r>
              <w:rPr>
                <w:b w:val="false"/>
                <w:bCs w:val="false"/>
              </w:rPr>
              <w:t xml:space="preserve">36</w:t>
            </w:r>
          </w:p>
        </w:tc>
        <w:tc>
          <w:tcPr>
            <w:tcW w:type="dxa" w:w="1907"/>
            <w:tcMar>
              <w:top w:type="dxa" w:w="60"/>
              <w:left w:type="dxa" w:w="100"/>
              <w:bottom w:type="dxa" w:w="60"/>
              <w:right w:type="dxa" w:w="100"/>
            </w:tcMar>
          </w:tcPr>
          <w:p>
            <w:r>
              <w:rPr>
                <w:b w:val="false"/>
                <w:bCs w:val="false"/>
              </w:rPr>
              <w:t xml:space="preserve">CUSTOMER.SPREAD</w:t>
            </w:r>
          </w:p>
        </w:tc>
        <w:tc>
          <w:tcPr>
            <w:tcW w:type="dxa" w:w="1907"/>
            <w:tcMar>
              <w:top w:type="dxa" w:w="60"/>
              <w:left w:type="dxa" w:w="100"/>
              <w:bottom w:type="dxa" w:w="60"/>
              <w:right w:type="dxa" w:w="100"/>
            </w:tcMar>
          </w:tcPr>
          <w:p>
            <w:r>
              <w:rPr>
                <w:b w:val="false"/>
                <w:bCs w:val="false"/>
              </w:rPr>
              <w:t xml:space="preserve">D — unreferenced</w:t>
            </w:r>
          </w:p>
        </w:tc>
        <w:tc>
          <w:tcPr>
            <w:tcW w:type="dxa" w:w="4940"/>
            <w:tcMar>
              <w:top w:type="dxa" w:w="60"/>
              <w:left w:type="dxa" w:w="100"/>
              <w:bottom w:type="dxa" w:w="60"/>
              <w:right w:type="dxa" w:w="100"/>
            </w:tcMar>
          </w:tcPr>
          <w:p>
            <w:r>
              <w:rPr>
                <w:b w:val="false"/>
                <w:bCs w:val="false"/>
              </w:rPr>
              <w:t xml:space="preserve">Parsed, no downstream reference found</w:t>
            </w:r>
          </w:p>
        </w:tc>
      </w:tr>
      <w:tr>
        <w:tc>
          <w:tcPr>
            <w:tcW w:type="dxa" w:w="607"/>
            <w:tcMar>
              <w:top w:type="dxa" w:w="60"/>
              <w:left w:type="dxa" w:w="100"/>
              <w:bottom w:type="dxa" w:w="60"/>
              <w:right w:type="dxa" w:w="100"/>
            </w:tcMar>
          </w:tcPr>
          <w:p>
            <w:r>
              <w:rPr>
                <w:b w:val="false"/>
                <w:bCs w:val="false"/>
              </w:rPr>
              <w:t xml:space="preserve">37</w:t>
            </w:r>
          </w:p>
        </w:tc>
        <w:tc>
          <w:tcPr>
            <w:tcW w:type="dxa" w:w="1907"/>
            <w:tcMar>
              <w:top w:type="dxa" w:w="60"/>
              <w:left w:type="dxa" w:w="100"/>
              <w:bottom w:type="dxa" w:w="60"/>
              <w:right w:type="dxa" w:w="100"/>
            </w:tcMar>
          </w:tcPr>
          <w:p>
            <w:r>
              <w:rPr>
                <w:b w:val="false"/>
                <w:bCs w:val="false"/>
              </w:rPr>
              <w:t xml:space="preserve">CUSTOMER.RATE</w:t>
            </w:r>
          </w:p>
        </w:tc>
        <w:tc>
          <w:tcPr>
            <w:tcW w:type="dxa" w:w="1907"/>
            <w:tcMar>
              <w:top w:type="dxa" w:w="60"/>
              <w:left w:type="dxa" w:w="100"/>
              <w:bottom w:type="dxa" w:w="60"/>
              <w:right w:type="dxa" w:w="100"/>
            </w:tcMar>
          </w:tcPr>
          <w:p>
            <w:r>
              <w:rPr>
                <w:b w:val="false"/>
                <w:bCs w:val="false"/>
              </w:rPr>
              <w:t xml:space="preserve">A — posted, conditional</w:t>
            </w:r>
          </w:p>
        </w:tc>
        <w:tc>
          <w:tcPr>
            <w:tcW w:type="dxa" w:w="4940"/>
            <w:tcMar>
              <w:top w:type="dxa" w:w="60"/>
              <w:left w:type="dxa" w:w="100"/>
              <w:bottom w:type="dxa" w:w="60"/>
              <w:right w:type="dxa" w:w="100"/>
            </w:tcMar>
          </w:tcPr>
          <w:p>
            <w:r>
              <w:rPr>
                <w:b w:val="false"/>
                <w:bCs w:val="false"/>
              </w:rPr>
              <w:t xml:space="preserve">Posted; blanked if channel=BPM and value='0' (narrower rule than Create Outward Transfer's currency-match rule); also drives the separate two-stage CUST.RATE.CHANGES follow-up call (§5.5)</w:t>
            </w:r>
          </w:p>
        </w:tc>
      </w:tr>
      <w:tr>
        <w:tc>
          <w:tcPr>
            <w:tcW w:type="dxa" w:w="607"/>
            <w:tcMar>
              <w:top w:type="dxa" w:w="60"/>
              <w:left w:type="dxa" w:w="100"/>
              <w:bottom w:type="dxa" w:w="60"/>
              <w:right w:type="dxa" w:w="100"/>
            </w:tcMar>
          </w:tcPr>
          <w:p>
            <w:r>
              <w:rPr>
                <w:b w:val="false"/>
                <w:bCs w:val="false"/>
              </w:rPr>
              <w:t xml:space="preserve">38</w:t>
            </w:r>
          </w:p>
        </w:tc>
        <w:tc>
          <w:tcPr>
            <w:tcW w:type="dxa" w:w="1907"/>
            <w:tcMar>
              <w:top w:type="dxa" w:w="60"/>
              <w:left w:type="dxa" w:w="100"/>
              <w:bottom w:type="dxa" w:w="60"/>
              <w:right w:type="dxa" w:w="100"/>
            </w:tcMar>
          </w:tcPr>
          <w:p>
            <w:r>
              <w:rPr>
                <w:b w:val="false"/>
                <w:bCs w:val="false"/>
              </w:rPr>
              <w:t xml:space="preserve">FREE.MARKT.CODE</w:t>
            </w:r>
          </w:p>
        </w:tc>
        <w:tc>
          <w:tcPr>
            <w:tcW w:type="dxa" w:w="1907"/>
            <w:tcMar>
              <w:top w:type="dxa" w:w="60"/>
              <w:left w:type="dxa" w:w="100"/>
              <w:bottom w:type="dxa" w:w="60"/>
              <w:right w:type="dxa" w:w="100"/>
            </w:tcMar>
          </w:tcPr>
          <w:p>
            <w:r>
              <w:rPr>
                <w:b w:val="false"/>
                <w:bCs w:val="false"/>
              </w:rPr>
              <w:t xml:space="preserve">A — posted, conditional</w:t>
            </w:r>
          </w:p>
        </w:tc>
        <w:tc>
          <w:tcPr>
            <w:tcW w:type="dxa" w:w="4940"/>
            <w:tcMar>
              <w:top w:type="dxa" w:w="60"/>
              <w:left w:type="dxa" w:w="100"/>
              <w:bottom w:type="dxa" w:w="60"/>
              <w:right w:type="dxa" w:w="100"/>
            </w:tcMar>
          </w:tcPr>
          <w:p>
            <w:r>
              <w:rPr>
                <w:b w:val="false"/>
                <w:bCs w:val="false"/>
              </w:rPr>
              <w:t xml:space="preserve">Posted; auto-set to literal 'NULL' if channel=BPM and blank</w:t>
            </w:r>
          </w:p>
        </w:tc>
      </w:tr>
      <w:tr>
        <w:tc>
          <w:tcPr>
            <w:tcW w:type="dxa" w:w="607"/>
            <w:tcMar>
              <w:top w:type="dxa" w:w="60"/>
              <w:left w:type="dxa" w:w="100"/>
              <w:bottom w:type="dxa" w:w="60"/>
              <w:right w:type="dxa" w:w="100"/>
            </w:tcMar>
          </w:tcPr>
          <w:p>
            <w:r>
              <w:rPr>
                <w:b w:val="false"/>
                <w:bCs w:val="false"/>
              </w:rPr>
              <w:t xml:space="preserve">39</w:t>
            </w:r>
          </w:p>
        </w:tc>
        <w:tc>
          <w:tcPr>
            <w:tcW w:type="dxa" w:w="1907"/>
            <w:tcMar>
              <w:top w:type="dxa" w:w="60"/>
              <w:left w:type="dxa" w:w="100"/>
              <w:bottom w:type="dxa" w:w="60"/>
              <w:right w:type="dxa" w:w="100"/>
            </w:tcMar>
          </w:tcPr>
          <w:p>
            <w:r>
              <w:rPr>
                <w:b w:val="false"/>
                <w:bCs w:val="false"/>
              </w:rPr>
              <w:t xml:space="preserve">FT.NARRATIVE</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DEBIT.THEIR.REF — no blank/NULL substitution logic here, so a literal 'NULL' string sent by the channel is posted verbatim (confirmed live in §9)</w:t>
            </w:r>
          </w:p>
        </w:tc>
      </w:tr>
      <w:tr>
        <w:tc>
          <w:tcPr>
            <w:tcW w:type="dxa" w:w="607"/>
            <w:tcMar>
              <w:top w:type="dxa" w:w="60"/>
              <w:left w:type="dxa" w:w="100"/>
              <w:bottom w:type="dxa" w:w="60"/>
              <w:right w:type="dxa" w:w="100"/>
            </w:tcMar>
          </w:tcPr>
          <w:p>
            <w:r>
              <w:rPr>
                <w:b w:val="false"/>
                <w:bCs w:val="false"/>
              </w:rPr>
              <w:t xml:space="preserve">40</w:t>
            </w:r>
          </w:p>
        </w:tc>
        <w:tc>
          <w:tcPr>
            <w:tcW w:type="dxa" w:w="1907"/>
            <w:tcMar>
              <w:top w:type="dxa" w:w="60"/>
              <w:left w:type="dxa" w:w="100"/>
              <w:bottom w:type="dxa" w:w="60"/>
              <w:right w:type="dxa" w:w="100"/>
            </w:tcMar>
          </w:tcPr>
          <w:p>
            <w:r>
              <w:rPr>
                <w:b w:val="false"/>
                <w:bCs w:val="false"/>
              </w:rPr>
              <w:t xml:space="preserve">INTERMED.BANK.ACCT</w:t>
            </w:r>
          </w:p>
        </w:tc>
        <w:tc>
          <w:tcPr>
            <w:tcW w:type="dxa" w:w="1907"/>
            <w:tcMar>
              <w:top w:type="dxa" w:w="60"/>
              <w:left w:type="dxa" w:w="100"/>
              <w:bottom w:type="dxa" w:w="60"/>
              <w:right w:type="dxa" w:w="100"/>
            </w:tcMar>
          </w:tcPr>
          <w:p>
            <w:r>
              <w:rPr>
                <w:b w:val="false"/>
                <w:bCs w:val="false"/>
              </w:rPr>
              <w:t xml:space="preserve">A — posted, conditional</w:t>
            </w:r>
          </w:p>
        </w:tc>
        <w:tc>
          <w:tcPr>
            <w:tcW w:type="dxa" w:w="4940"/>
            <w:tcMar>
              <w:top w:type="dxa" w:w="60"/>
              <w:left w:type="dxa" w:w="100"/>
              <w:bottom w:type="dxa" w:w="60"/>
              <w:right w:type="dxa" w:w="100"/>
            </w:tcMar>
          </w:tcPr>
          <w:p>
            <w:r>
              <w:rPr>
                <w:b w:val="false"/>
                <w:bCs w:val="false"/>
              </w:rPr>
              <w:t xml:space="preserve">→ INTERMED.BANK.ACC, NULL-safe placeholder</w:t>
            </w:r>
          </w:p>
        </w:tc>
      </w:tr>
      <w:tr>
        <w:tc>
          <w:tcPr>
            <w:tcW w:type="dxa" w:w="607"/>
            <w:tcMar>
              <w:top w:type="dxa" w:w="60"/>
              <w:left w:type="dxa" w:w="100"/>
              <w:bottom w:type="dxa" w:w="60"/>
              <w:right w:type="dxa" w:w="100"/>
            </w:tcMar>
          </w:tcPr>
          <w:p>
            <w:r>
              <w:rPr>
                <w:b w:val="false"/>
                <w:bCs w:val="false"/>
              </w:rPr>
              <w:t xml:space="preserve">41</w:t>
            </w:r>
          </w:p>
        </w:tc>
        <w:tc>
          <w:tcPr>
            <w:tcW w:type="dxa" w:w="1907"/>
            <w:tcMar>
              <w:top w:type="dxa" w:w="60"/>
              <w:left w:type="dxa" w:w="100"/>
              <w:bottom w:type="dxa" w:w="60"/>
              <w:right w:type="dxa" w:w="100"/>
            </w:tcMar>
          </w:tcPr>
          <w:p>
            <w:r>
              <w:rPr>
                <w:b w:val="false"/>
                <w:bCs w:val="false"/>
              </w:rPr>
              <w:t xml:space="preserve">INTERMED.BANK</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INTERMED.BANK:n (via FILL.MULTI, NULL-safe)</w:t>
            </w:r>
          </w:p>
        </w:tc>
      </w:tr>
      <w:tr>
        <w:tc>
          <w:tcPr>
            <w:tcW w:type="dxa" w:w="607"/>
            <w:tcMar>
              <w:top w:type="dxa" w:w="60"/>
              <w:left w:type="dxa" w:w="100"/>
              <w:bottom w:type="dxa" w:w="60"/>
              <w:right w:type="dxa" w:w="100"/>
            </w:tcMar>
          </w:tcPr>
          <w:p>
            <w:r>
              <w:rPr>
                <w:b w:val="false"/>
                <w:bCs w:val="false"/>
              </w:rPr>
              <w:t xml:space="preserve">42</w:t>
            </w:r>
          </w:p>
        </w:tc>
        <w:tc>
          <w:tcPr>
            <w:tcW w:type="dxa" w:w="1907"/>
            <w:tcMar>
              <w:top w:type="dxa" w:w="60"/>
              <w:left w:type="dxa" w:w="100"/>
              <w:bottom w:type="dxa" w:w="60"/>
              <w:right w:type="dxa" w:w="100"/>
            </w:tcMar>
          </w:tcPr>
          <w:p>
            <w:r>
              <w:rPr>
                <w:b w:val="false"/>
                <w:bCs w:val="false"/>
              </w:rPr>
              <w:t xml:space="preserve">ACCT.WITH.BANK.ACC</w:t>
            </w:r>
          </w:p>
        </w:tc>
        <w:tc>
          <w:tcPr>
            <w:tcW w:type="dxa" w:w="1907"/>
            <w:tcMar>
              <w:top w:type="dxa" w:w="60"/>
              <w:left w:type="dxa" w:w="100"/>
              <w:bottom w:type="dxa" w:w="60"/>
              <w:right w:type="dxa" w:w="100"/>
            </w:tcMar>
          </w:tcPr>
          <w:p>
            <w:r>
              <w:rPr>
                <w:b w:val="false"/>
                <w:bCs w:val="false"/>
              </w:rPr>
              <w:t xml:space="preserve">A — posted, conditional</w:t>
            </w:r>
          </w:p>
        </w:tc>
        <w:tc>
          <w:tcPr>
            <w:tcW w:type="dxa" w:w="4940"/>
            <w:tcMar>
              <w:top w:type="dxa" w:w="60"/>
              <w:left w:type="dxa" w:w="100"/>
              <w:bottom w:type="dxa" w:w="60"/>
              <w:right w:type="dxa" w:w="100"/>
            </w:tcMar>
          </w:tcPr>
          <w:p>
            <w:r>
              <w:rPr>
                <w:b w:val="false"/>
                <w:bCs w:val="false"/>
              </w:rPr>
              <w:t xml:space="preserve">Posted, NULL-safe placeholder</w:t>
            </w:r>
          </w:p>
        </w:tc>
      </w:tr>
      <w:tr>
        <w:tc>
          <w:tcPr>
            <w:tcW w:type="dxa" w:w="607"/>
            <w:tcMar>
              <w:top w:type="dxa" w:w="60"/>
              <w:left w:type="dxa" w:w="100"/>
              <w:bottom w:type="dxa" w:w="60"/>
              <w:right w:type="dxa" w:w="100"/>
            </w:tcMar>
          </w:tcPr>
          <w:p>
            <w:r>
              <w:rPr>
                <w:b w:val="false"/>
                <w:bCs w:val="false"/>
              </w:rPr>
              <w:t xml:space="preserve">43</w:t>
            </w:r>
          </w:p>
        </w:tc>
        <w:tc>
          <w:tcPr>
            <w:tcW w:type="dxa" w:w="1907"/>
            <w:tcMar>
              <w:top w:type="dxa" w:w="60"/>
              <w:left w:type="dxa" w:w="100"/>
              <w:bottom w:type="dxa" w:w="60"/>
              <w:right w:type="dxa" w:w="100"/>
            </w:tcMar>
          </w:tcPr>
          <w:p>
            <w:r>
              <w:rPr>
                <w:b w:val="false"/>
                <w:bCs w:val="false"/>
              </w:rPr>
              <w:t xml:space="preserve">ACCT.WITH.BANK</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ACCT.WITH.BANK:n (via FILL.MULTI, NULL-safe) — UNLIKE Create Outward Transfer, no SC/BL/CH/FW prefix-escaping logic exists here (confirmed live in §9)</w:t>
            </w:r>
          </w:p>
        </w:tc>
      </w:tr>
      <w:tr>
        <w:tc>
          <w:tcPr>
            <w:tcW w:type="dxa" w:w="607"/>
            <w:tcMar>
              <w:top w:type="dxa" w:w="60"/>
              <w:left w:type="dxa" w:w="100"/>
              <w:bottom w:type="dxa" w:w="60"/>
              <w:right w:type="dxa" w:w="100"/>
            </w:tcMar>
          </w:tcPr>
          <w:p>
            <w:r>
              <w:rPr>
                <w:b w:val="false"/>
                <w:bCs w:val="false"/>
              </w:rPr>
              <w:t xml:space="preserve">44</w:t>
            </w:r>
          </w:p>
        </w:tc>
        <w:tc>
          <w:tcPr>
            <w:tcW w:type="dxa" w:w="1907"/>
            <w:tcMar>
              <w:top w:type="dxa" w:w="60"/>
              <w:left w:type="dxa" w:w="100"/>
              <w:bottom w:type="dxa" w:w="60"/>
              <w:right w:type="dxa" w:w="100"/>
            </w:tcMar>
          </w:tcPr>
          <w:p>
            <w:r>
              <w:rPr>
                <w:b w:val="false"/>
                <w:bCs w:val="false"/>
              </w:rPr>
              <w:t xml:space="preserve">PAYMENT.DETAILS</w:t>
            </w:r>
          </w:p>
        </w:tc>
        <w:tc>
          <w:tcPr>
            <w:tcW w:type="dxa" w:w="1907"/>
            <w:tcMar>
              <w:top w:type="dxa" w:w="60"/>
              <w:left w:type="dxa" w:w="100"/>
              <w:bottom w:type="dxa" w:w="60"/>
              <w:right w:type="dxa" w:w="100"/>
            </w:tcMar>
          </w:tcPr>
          <w:p>
            <w:r>
              <w:rPr>
                <w:b w:val="false"/>
                <w:bCs w:val="false"/>
              </w:rPr>
              <w:t xml:space="preserve">A — posted, specially escaped</w:t>
            </w:r>
          </w:p>
        </w:tc>
        <w:tc>
          <w:tcPr>
            <w:tcW w:type="dxa" w:w="4940"/>
            <w:tcMar>
              <w:top w:type="dxa" w:w="60"/>
              <w:left w:type="dxa" w:w="100"/>
              <w:bottom w:type="dxa" w:w="60"/>
              <w:right w:type="dxa" w:w="100"/>
            </w:tcMar>
          </w:tcPr>
          <w:p>
            <w:r>
              <w:rPr>
                <w:b w:val="false"/>
                <w:bCs w:val="false"/>
              </w:rPr>
              <w:t xml:space="preserve">Subject to a routine-specific character-remapping scheme (/, comma, quotes, parentheses each mapped to different substitute characters) not seen in Create Outward Transfer's handling of this field</w:t>
            </w:r>
          </w:p>
        </w:tc>
      </w:tr>
      <w:tr>
        <w:tc>
          <w:tcPr>
            <w:tcW w:type="dxa" w:w="607"/>
            <w:tcMar>
              <w:top w:type="dxa" w:w="60"/>
              <w:left w:type="dxa" w:w="100"/>
              <w:bottom w:type="dxa" w:w="60"/>
              <w:right w:type="dxa" w:w="100"/>
            </w:tcMar>
          </w:tcPr>
          <w:p>
            <w:r>
              <w:rPr>
                <w:b w:val="false"/>
                <w:bCs w:val="false"/>
              </w:rPr>
              <w:t xml:space="preserve">45</w:t>
            </w:r>
          </w:p>
        </w:tc>
        <w:tc>
          <w:tcPr>
            <w:tcW w:type="dxa" w:w="1907"/>
            <w:tcMar>
              <w:top w:type="dxa" w:w="60"/>
              <w:left w:type="dxa" w:w="100"/>
              <w:bottom w:type="dxa" w:w="60"/>
              <w:right w:type="dxa" w:w="100"/>
            </w:tcMar>
          </w:tcPr>
          <w:p>
            <w:r>
              <w:rPr>
                <w:b w:val="false"/>
                <w:bCs w:val="false"/>
              </w:rPr>
              <w:t xml:space="preserve">BK.TO.BK.OUT</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Posted via FILL.SUB.VALUE merge against the target FT record's existing value</w:t>
            </w:r>
          </w:p>
        </w:tc>
      </w:tr>
      <w:tr>
        <w:tc>
          <w:tcPr>
            <w:tcW w:type="dxa" w:w="607"/>
            <w:tcMar>
              <w:top w:type="dxa" w:w="60"/>
              <w:left w:type="dxa" w:w="100"/>
              <w:bottom w:type="dxa" w:w="60"/>
              <w:right w:type="dxa" w:w="100"/>
            </w:tcMar>
          </w:tcPr>
          <w:p>
            <w:r>
              <w:rPr>
                <w:b w:val="false"/>
                <w:bCs w:val="false"/>
              </w:rPr>
              <w:t xml:space="preserve">46</w:t>
            </w:r>
          </w:p>
        </w:tc>
        <w:tc>
          <w:tcPr>
            <w:tcW w:type="dxa" w:w="1907"/>
            <w:tcMar>
              <w:top w:type="dxa" w:w="60"/>
              <w:left w:type="dxa" w:w="100"/>
              <w:bottom w:type="dxa" w:w="60"/>
              <w:right w:type="dxa" w:w="100"/>
            </w:tcMar>
          </w:tcPr>
          <w:p>
            <w:r>
              <w:rPr>
                <w:b w:val="false"/>
                <w:bCs w:val="false"/>
              </w:rPr>
              <w:t xml:space="preserve">FUNCTION.ID</w:t>
            </w:r>
          </w:p>
        </w:tc>
        <w:tc>
          <w:tcPr>
            <w:tcW w:type="dxa" w:w="1907"/>
            <w:tcMar>
              <w:top w:type="dxa" w:w="60"/>
              <w:left w:type="dxa" w:w="100"/>
              <w:bottom w:type="dxa" w:w="60"/>
              <w:right w:type="dxa" w:w="100"/>
            </w:tcMar>
          </w:tcPr>
          <w:p>
            <w:r>
              <w:rPr>
                <w:b w:val="false"/>
                <w:bCs w:val="false"/>
              </w:rPr>
              <w:t xml:space="preserve">B — header only</w:t>
            </w:r>
          </w:p>
        </w:tc>
        <w:tc>
          <w:tcPr>
            <w:tcW w:type="dxa" w:w="4940"/>
            <w:tcMar>
              <w:top w:type="dxa" w:w="60"/>
              <w:left w:type="dxa" w:w="100"/>
              <w:bottom w:type="dxa" w:w="60"/>
              <w:right w:type="dxa" w:w="100"/>
            </w:tcMar>
          </w:tcPr>
          <w:p>
            <w:r>
              <w:rPr>
                <w:b w:val="false"/>
                <w:bCs w:val="false"/>
              </w:rPr>
              <w:t xml:space="preserve">V→VALIDATE, I/blank→PROCESS; no U/VU amend-specific variant handling (unlike FT08's routine, which has one)</w:t>
            </w:r>
          </w:p>
        </w:tc>
      </w:tr>
      <w:tr>
        <w:tc>
          <w:tcPr>
            <w:tcW w:type="dxa" w:w="607"/>
            <w:tcMar>
              <w:top w:type="dxa" w:w="60"/>
              <w:left w:type="dxa" w:w="100"/>
              <w:bottom w:type="dxa" w:w="60"/>
              <w:right w:type="dxa" w:w="100"/>
            </w:tcMar>
          </w:tcPr>
          <w:p>
            <w:r>
              <w:rPr>
                <w:b w:val="false"/>
                <w:bCs w:val="false"/>
              </w:rPr>
              <w:t xml:space="preserve">47</w:t>
            </w:r>
          </w:p>
        </w:tc>
        <w:tc>
          <w:tcPr>
            <w:tcW w:type="dxa" w:w="1907"/>
            <w:tcMar>
              <w:top w:type="dxa" w:w="60"/>
              <w:left w:type="dxa" w:w="100"/>
              <w:bottom w:type="dxa" w:w="60"/>
              <w:right w:type="dxa" w:w="100"/>
            </w:tcMar>
          </w:tcPr>
          <w:p>
            <w:r>
              <w:rPr>
                <w:b w:val="false"/>
                <w:bCs w:val="false"/>
              </w:rPr>
              <w:t xml:space="preserve">FT.TXN.NARR</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 FT.TXN.NARR::</w:t>
            </w:r>
          </w:p>
        </w:tc>
      </w:tr>
      <w:tr>
        <w:tc>
          <w:tcPr>
            <w:tcW w:type="dxa" w:w="607"/>
            <w:tcMar>
              <w:top w:type="dxa" w:w="60"/>
              <w:left w:type="dxa" w:w="100"/>
              <w:bottom w:type="dxa" w:w="60"/>
              <w:right w:type="dxa" w:w="100"/>
            </w:tcMar>
          </w:tcPr>
          <w:p>
            <w:r>
              <w:rPr>
                <w:b w:val="false"/>
                <w:bCs w:val="false"/>
              </w:rPr>
              <w:t xml:space="preserve">48</w:t>
            </w:r>
          </w:p>
        </w:tc>
        <w:tc>
          <w:tcPr>
            <w:tcW w:type="dxa" w:w="1907"/>
            <w:tcMar>
              <w:top w:type="dxa" w:w="60"/>
              <w:left w:type="dxa" w:w="100"/>
              <w:bottom w:type="dxa" w:w="60"/>
              <w:right w:type="dxa" w:w="100"/>
            </w:tcMar>
          </w:tcPr>
          <w:p>
            <w:r>
              <w:rPr>
                <w:b w:val="false"/>
                <w:bCs w:val="false"/>
              </w:rPr>
              <w:t xml:space="preserve">CHRG.ACCT.NO</w:t>
            </w:r>
          </w:p>
        </w:tc>
        <w:tc>
          <w:tcPr>
            <w:tcW w:type="dxa" w:w="1907"/>
            <w:tcMar>
              <w:top w:type="dxa" w:w="60"/>
              <w:left w:type="dxa" w:w="100"/>
              <w:bottom w:type="dxa" w:w="60"/>
              <w:right w:type="dxa" w:w="100"/>
            </w:tcMar>
          </w:tcPr>
          <w:p>
            <w:r>
              <w:rPr>
                <w:b w:val="false"/>
                <w:bCs w:val="false"/>
              </w:rPr>
              <w:t xml:space="preserve">A — posted, conditional</w:t>
            </w:r>
          </w:p>
        </w:tc>
        <w:tc>
          <w:tcPr>
            <w:tcW w:type="dxa" w:w="4940"/>
            <w:tcMar>
              <w:top w:type="dxa" w:w="60"/>
              <w:left w:type="dxa" w:w="100"/>
              <w:bottom w:type="dxa" w:w="60"/>
              <w:right w:type="dxa" w:w="100"/>
            </w:tcMar>
          </w:tcPr>
          <w:p>
            <w:r>
              <w:rPr>
                <w:b w:val="false"/>
                <w:bCs w:val="false"/>
              </w:rPr>
              <w:t xml:space="preserve">Posted; forced to 'NULL' if BEN.OUR.CHARGES='BEN' (rule not present in Create Outward Transfer)</w:t>
            </w:r>
          </w:p>
        </w:tc>
      </w:tr>
      <w:tr>
        <w:tc>
          <w:tcPr>
            <w:tcW w:type="dxa" w:w="607"/>
            <w:tcMar>
              <w:top w:type="dxa" w:w="60"/>
              <w:left w:type="dxa" w:w="100"/>
              <w:bottom w:type="dxa" w:w="60"/>
              <w:right w:type="dxa" w:w="100"/>
            </w:tcMar>
          </w:tcPr>
          <w:p>
            <w:r>
              <w:rPr>
                <w:b w:val="false"/>
                <w:bCs w:val="false"/>
              </w:rPr>
              <w:t xml:space="preserve">49</w:t>
            </w:r>
          </w:p>
        </w:tc>
        <w:tc>
          <w:tcPr>
            <w:tcW w:type="dxa" w:w="1907"/>
            <w:tcMar>
              <w:top w:type="dxa" w:w="60"/>
              <w:left w:type="dxa" w:w="100"/>
              <w:bottom w:type="dxa" w:w="60"/>
              <w:right w:type="dxa" w:w="100"/>
            </w:tcMar>
          </w:tcPr>
          <w:p>
            <w:r>
              <w:rPr>
                <w:b w:val="false"/>
                <w:bCs w:val="false"/>
              </w:rPr>
              <w:t xml:space="preserve">CREDIT.THEIR.REF</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Posted as-is</w:t>
            </w:r>
          </w:p>
        </w:tc>
      </w:tr>
      <w:tr>
        <w:tc>
          <w:tcPr>
            <w:tcW w:type="dxa" w:w="607"/>
            <w:tcMar>
              <w:top w:type="dxa" w:w="60"/>
              <w:left w:type="dxa" w:w="100"/>
              <w:bottom w:type="dxa" w:w="60"/>
              <w:right w:type="dxa" w:w="100"/>
            </w:tcMar>
          </w:tcPr>
          <w:p>
            <w:r>
              <w:rPr>
                <w:b w:val="false"/>
                <w:bCs w:val="false"/>
              </w:rPr>
              <w:t xml:space="preserve">50</w:t>
            </w:r>
          </w:p>
        </w:tc>
        <w:tc>
          <w:tcPr>
            <w:tcW w:type="dxa" w:w="1907"/>
            <w:tcMar>
              <w:top w:type="dxa" w:w="60"/>
              <w:left w:type="dxa" w:w="100"/>
              <w:bottom w:type="dxa" w:w="60"/>
              <w:right w:type="dxa" w:w="100"/>
            </w:tcMar>
          </w:tcPr>
          <w:p>
            <w:r>
              <w:rPr>
                <w:b w:val="false"/>
                <w:bCs w:val="false"/>
              </w:rPr>
              <w:t xml:space="preserve">DEBIT.VALUE.DATE</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Defaults to VALUE.DATE if blank</w:t>
            </w:r>
          </w:p>
        </w:tc>
      </w:tr>
      <w:tr>
        <w:tc>
          <w:tcPr>
            <w:tcW w:type="dxa" w:w="607"/>
            <w:tcMar>
              <w:top w:type="dxa" w:w="60"/>
              <w:left w:type="dxa" w:w="100"/>
              <w:bottom w:type="dxa" w:w="60"/>
              <w:right w:type="dxa" w:w="100"/>
            </w:tcMar>
          </w:tcPr>
          <w:p>
            <w:r>
              <w:rPr>
                <w:b w:val="false"/>
                <w:bCs w:val="false"/>
              </w:rPr>
              <w:t xml:space="preserve">51</w:t>
            </w:r>
          </w:p>
        </w:tc>
        <w:tc>
          <w:tcPr>
            <w:tcW w:type="dxa" w:w="1907"/>
            <w:tcMar>
              <w:top w:type="dxa" w:w="60"/>
              <w:left w:type="dxa" w:w="100"/>
              <w:bottom w:type="dxa" w:w="60"/>
              <w:right w:type="dxa" w:w="100"/>
            </w:tcMar>
          </w:tcPr>
          <w:p>
            <w:r>
              <w:rPr>
                <w:b w:val="false"/>
                <w:bCs w:val="false"/>
              </w:rPr>
              <w:t xml:space="preserve">VERSION.NAME</w:t>
            </w:r>
          </w:p>
        </w:tc>
        <w:tc>
          <w:tcPr>
            <w:tcW w:type="dxa" w:w="1907"/>
            <w:tcMar>
              <w:top w:type="dxa" w:w="60"/>
              <w:left w:type="dxa" w:w="100"/>
              <w:bottom w:type="dxa" w:w="60"/>
              <w:right w:type="dxa" w:w="100"/>
            </w:tcMar>
          </w:tcPr>
          <w:p>
            <w:r>
              <w:rPr>
                <w:b w:val="false"/>
                <w:bCs w:val="false"/>
              </w:rPr>
              <w:t xml:space="preserve">B — header only</w:t>
            </w:r>
          </w:p>
        </w:tc>
        <w:tc>
          <w:tcPr>
            <w:tcW w:type="dxa" w:w="4940"/>
            <w:tcMar>
              <w:top w:type="dxa" w:w="60"/>
              <w:left w:type="dxa" w:w="100"/>
              <w:bottom w:type="dxa" w:w="60"/>
              <w:right w:type="dxa" w:w="100"/>
            </w:tcMar>
          </w:tcPr>
          <w:p>
            <w:r>
              <w:rPr>
                <w:b w:val="false"/>
                <w:bCs w:val="false"/>
              </w:rPr>
              <w:t xml:space="preserve">Defaults to 'FUNDS.TRANSFER,TAM.OT103.OFS' if blank — a DIFFERENT default template than Create Outward Transfer uses, and with no VOS/UETR-specific branch</w:t>
            </w:r>
          </w:p>
        </w:tc>
      </w:tr>
      <w:tr>
        <w:tc>
          <w:tcPr>
            <w:tcW w:type="dxa" w:w="607"/>
            <w:tcMar>
              <w:top w:type="dxa" w:w="60"/>
              <w:left w:type="dxa" w:w="100"/>
              <w:bottom w:type="dxa" w:w="60"/>
              <w:right w:type="dxa" w:w="100"/>
            </w:tcMar>
          </w:tcPr>
          <w:p>
            <w:r>
              <w:rPr>
                <w:b w:val="false"/>
                <w:bCs w:val="false"/>
              </w:rPr>
              <w:t xml:space="preserve">52</w:t>
            </w:r>
          </w:p>
        </w:tc>
        <w:tc>
          <w:tcPr>
            <w:tcW w:type="dxa" w:w="1907"/>
            <w:tcMar>
              <w:top w:type="dxa" w:w="60"/>
              <w:left w:type="dxa" w:w="100"/>
              <w:bottom w:type="dxa" w:w="60"/>
              <w:right w:type="dxa" w:w="100"/>
            </w:tcMar>
          </w:tcPr>
          <w:p>
            <w:r>
              <w:rPr>
                <w:b w:val="false"/>
                <w:bCs w:val="false"/>
              </w:rPr>
              <w:t xml:space="preserve">OLD.CBE.CODE</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CBE regulatory reporting field</w:t>
            </w:r>
          </w:p>
        </w:tc>
      </w:tr>
      <w:tr>
        <w:tc>
          <w:tcPr>
            <w:tcW w:type="dxa" w:w="607"/>
            <w:tcMar>
              <w:top w:type="dxa" w:w="60"/>
              <w:left w:type="dxa" w:w="100"/>
              <w:bottom w:type="dxa" w:w="60"/>
              <w:right w:type="dxa" w:w="100"/>
            </w:tcMar>
          </w:tcPr>
          <w:p>
            <w:r>
              <w:rPr>
                <w:b w:val="false"/>
                <w:bCs w:val="false"/>
              </w:rPr>
              <w:t xml:space="preserve">53</w:t>
            </w:r>
          </w:p>
        </w:tc>
        <w:tc>
          <w:tcPr>
            <w:tcW w:type="dxa" w:w="1907"/>
            <w:tcMar>
              <w:top w:type="dxa" w:w="60"/>
              <w:left w:type="dxa" w:w="100"/>
              <w:bottom w:type="dxa" w:w="60"/>
              <w:right w:type="dxa" w:w="100"/>
            </w:tcMar>
          </w:tcPr>
          <w:p>
            <w:r>
              <w:rPr>
                <w:b w:val="false"/>
                <w:bCs w:val="false"/>
              </w:rPr>
              <w:t xml:space="preserve">NEW.CBE.CODE</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CBE regulatory reporting field</w:t>
            </w:r>
          </w:p>
        </w:tc>
      </w:tr>
      <w:tr>
        <w:tc>
          <w:tcPr>
            <w:tcW w:type="dxa" w:w="607"/>
            <w:tcMar>
              <w:top w:type="dxa" w:w="60"/>
              <w:left w:type="dxa" w:w="100"/>
              <w:bottom w:type="dxa" w:w="60"/>
              <w:right w:type="dxa" w:w="100"/>
            </w:tcMar>
          </w:tcPr>
          <w:p>
            <w:r>
              <w:rPr>
                <w:b w:val="false"/>
                <w:bCs w:val="false"/>
              </w:rPr>
              <w:t xml:space="preserve">54</w:t>
            </w:r>
          </w:p>
        </w:tc>
        <w:tc>
          <w:tcPr>
            <w:tcW w:type="dxa" w:w="1907"/>
            <w:tcMar>
              <w:top w:type="dxa" w:w="60"/>
              <w:left w:type="dxa" w:w="100"/>
              <w:bottom w:type="dxa" w:w="60"/>
              <w:right w:type="dxa" w:w="100"/>
            </w:tcMar>
          </w:tcPr>
          <w:p>
            <w:r>
              <w:rPr>
                <w:b w:val="false"/>
                <w:bCs w:val="false"/>
              </w:rPr>
              <w:t xml:space="preserve">SELL.CODE</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CBE regulatory reporting field</w:t>
            </w:r>
          </w:p>
        </w:tc>
      </w:tr>
      <w:tr>
        <w:tc>
          <w:tcPr>
            <w:tcW w:type="dxa" w:w="607"/>
            <w:tcMar>
              <w:top w:type="dxa" w:w="60"/>
              <w:left w:type="dxa" w:w="100"/>
              <w:bottom w:type="dxa" w:w="60"/>
              <w:right w:type="dxa" w:w="100"/>
            </w:tcMar>
          </w:tcPr>
          <w:p>
            <w:r>
              <w:rPr>
                <w:b w:val="false"/>
                <w:bCs w:val="false"/>
              </w:rPr>
              <w:t xml:space="preserve">55</w:t>
            </w:r>
          </w:p>
        </w:tc>
        <w:tc>
          <w:tcPr>
            <w:tcW w:type="dxa" w:w="1907"/>
            <w:tcMar>
              <w:top w:type="dxa" w:w="60"/>
              <w:left w:type="dxa" w:w="100"/>
              <w:bottom w:type="dxa" w:w="60"/>
              <w:right w:type="dxa" w:w="100"/>
            </w:tcMar>
          </w:tcPr>
          <w:p>
            <w:r>
              <w:rPr>
                <w:b w:val="false"/>
                <w:bCs w:val="false"/>
              </w:rPr>
              <w:t xml:space="preserve">CBE.NAR.AR</w:t>
            </w:r>
          </w:p>
        </w:tc>
        <w:tc>
          <w:tcPr>
            <w:tcW w:type="dxa" w:w="1907"/>
            <w:tcMar>
              <w:top w:type="dxa" w:w="60"/>
              <w:left w:type="dxa" w:w="100"/>
              <w:bottom w:type="dxa" w:w="60"/>
              <w:right w:type="dxa" w:w="100"/>
            </w:tcMar>
          </w:tcPr>
          <w:p>
            <w:r>
              <w:rPr>
                <w:b w:val="false"/>
                <w:bCs w:val="false"/>
              </w:rPr>
              <w:t xml:space="preserve">A — posted</w:t>
            </w:r>
          </w:p>
        </w:tc>
        <w:tc>
          <w:tcPr>
            <w:tcW w:type="dxa" w:w="4940"/>
            <w:tcMar>
              <w:top w:type="dxa" w:w="60"/>
              <w:left w:type="dxa" w:w="100"/>
              <w:bottom w:type="dxa" w:w="60"/>
              <w:right w:type="dxa" w:w="100"/>
            </w:tcMar>
          </w:tcPr>
          <w:p>
            <w:r>
              <w:rPr>
                <w:b w:val="false"/>
                <w:bCs w:val="false"/>
              </w:rPr>
              <w:t xml:space="preserve">CBE regulatory reporting field (Arabic narrative) — confirmed live with real Arabic text in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 CRITICAL FINDING #1 — Debit Account Variable Name Mismatch (SRC_ACC.ID vs SRC.ACC.ID)</w:t>
            </w:r>
          </w:p>
          <w:p>
            <w:pPr>
              <w:spacing w:after="80"/>
            </w:pPr>
            <w:r>
              <w:rPr>
                <w:color w:val="444444"/>
              </w:rPr>
              <w:t xml:space="preserve">This routine reads the debit account number from input position 8 into a variable named SRC_ACC.ID (underscore between SRC and ACC). Every single subsequent use of the debit account number — the length check, the account lookup, the balance calculation, the currency lookup, and critically the line that posts DEBIT.ACCT.NO into the OFS record — references a DIFFERENT variable named SRC.ACC.ID (dot between SRC and ACC, matching the naming convention used everywhere else in this routine and in Create Outward Transfer).</w:t>
            </w:r>
          </w:p>
          <w:p>
            <w:pPr>
              <w:spacing w:after="80"/>
            </w:pPr>
            <w:r>
              <w:rPr>
                <w:color w:val="444444"/>
              </w:rPr>
              <w:t xml:space="preserve">Because SRC.ACC.ID (dot) is never assigned from the input anywhere in this routine, it should be empty the first time it's used. That would cause the account lookup to fail, the balance check to effectively run against a blank account, and — most seriously — the posted DEBIT.ACCT.NO value to be blank, which T24 would normally reject outright.</w:t>
            </w:r>
          </w:p>
          <w:p>
            <w:pPr>
              <w:spacing w:after="80"/>
            </w:pPr>
            <w:r>
              <w:rPr>
                <w:color w:val="444444"/>
              </w:rPr>
              <w:t xml:space="preserve">However: this service is demonstrably live and working (a real captured sample exists, see §9), which suggests SRC.ACC.ID is very likely being populated some other way — most plausibly as a COMMON-block variable ($INSERT I_COMMON is present) left over from an earlier routine call within the same OFS processing chain or user session, rather than from this routine's own input parsing.</w:t>
            </w:r>
          </w:p>
          <w:p>
            <w:pPr>
              <w:spacing w:after="80"/>
            </w:pPr>
            <w:r>
              <w:rPr>
                <w:color w:val="444444"/>
              </w:rPr>
              <w:t xml:space="preserve">If that is the mechanism, it is exactly the kind of hidden, session-dependent behavior that will NOT survive a move to a stateless IRIS API call, where there is no shared COMMON block between requests. This must be verified against the live T24 environment (e.g. by tracing what DEBIT.ACCT.NO actually resolves to in a real amend, or by checking whether this routine is only ever invoked as a follow-on step after another routine that sets this COMMON variable) before the TPH/IRIS equivalent can be designed with confidence.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 Finding #2 (Low Severity) — PROFIT.CNTR Copy-Paste Bug</w:t>
            </w:r>
          </w:p>
          <w:p>
            <w:pPr>
              <w:spacing w:after="80"/>
            </w:pPr>
            <w:r>
              <w:rPr>
                <w:color w:val="444444"/>
              </w:rPr>
              <w:t xml:space="preserve">Separately, and at lower severity: the code intends to derive PROFIT.CNTR.CUST / PROFIT.CNTR.DEBT from the PROFIT.CNTR input field (position 7), splitting on a leading 'C' or 'D' character. Instead, the code actually tests and slices BRANCH.CODE (position 6) for that leading C/D character — the wrong variable, likely copy-pasted from a similar-looking block. Since BRANCH.CODE has already been reformatted with an 'EG0010' prefix by this point, this check will essentially never match in practice, and even when it did, neither resulting variable is used anywhere afterward. Functionally this is a no-op, but it's worth fixing at the source (or simply dropping) rather than silently carrying the bug into the new platform.</w:t>
            </w:r>
          </w:p>
        </w:tc>
      </w:tr>
    </w:tbl>
    <w:p>
      <w:pPr>
        <w:pStyle w:val="Heading1"/>
        <w:pBdr>
          <w:bottom w:val="single" w:color="2E5395" w:sz="6" w:space="4"/>
        </w:pBdr>
        <w:spacing w:after="150" w:before="300"/>
      </w:pPr>
      <w:r>
        <w:t xml:space="preserve">2A. Technical Processing Flow (Sequence)</w:t>
      </w:r>
    </w:p>
    <w:p>
      <w:pPr>
        <w:spacing w:after="80"/>
      </w:pPr>
      <w:r>
        <w:rPr>
          <w:b/>
          <w:bCs/>
        </w:rPr>
        <w:t xml:space="preserve">1. </w:t>
      </w:r>
      <w:r>
        <w:t xml:space="preserve">OPEN.FILES — opens F.ACCOUNT.RETAIL.CU.ACCT, F.COMPANY, FBNK.NOSTRO.ACC, F.ACCOUNT, F.CURRENCY, FBNK.FUNDS.TRANSFER, FBNK.FUNDS.TRANSFER$NAU.</w:t>
      </w:r>
    </w:p>
    <w:p>
      <w:pPr>
        <w:spacing w:after="80"/>
      </w:pPr>
      <w:r>
        <w:rPr>
          <w:b/>
          <w:bCs/>
        </w:rPr>
        <w:t xml:space="preserve">2. </w:t>
      </w:r>
      <w:r>
        <w:t xml:space="preserve">Sanitize I.PARAM — replace reserved delimiter characters (a different substitution scheme than Create Outward Transfer's, e.g. '{' → '(' here instead of '-').</w:t>
      </w:r>
    </w:p>
    <w:p>
      <w:pPr>
        <w:spacing w:after="80"/>
      </w:pPr>
      <w:r>
        <w:rPr>
          <w:b/>
          <w:bCs/>
        </w:rPr>
        <w:t xml:space="preserve">3. </w:t>
      </w:r>
      <w:r>
        <w:t xml:space="preserve">Parse the header (SRVC.ID, CHNL.CODE, MSG.ID, TOKEN.ID) and all 55 positional fields, including FT.ID at position 2 — the record being amended.</w:t>
      </w:r>
    </w:p>
    <w:p>
      <w:pPr>
        <w:spacing w:after="80"/>
      </w:pPr>
      <w:r>
        <w:rPr>
          <w:b/>
          <w:bCs/>
        </w:rPr>
        <w:t xml:space="preserve">4. </w:t>
      </w:r>
      <w:r>
        <w:t xml:space="preserve">Resolve the debit account (subject to the §8 Critical Finding), compute available balance via GET.NET.AVL.BL, add back the amount already on hold from the existing NAU record, and convert currency if the deal currency differs from the account currency.</w:t>
      </w:r>
    </w:p>
    <w:p>
      <w:pPr>
        <w:spacing w:after="80"/>
      </w:pPr>
      <w:r>
        <w:rPr>
          <w:b/>
          <w:bCs/>
        </w:rPr>
        <w:t xml:space="preserve">5. </w:t>
      </w:r>
      <w:r>
        <w:t xml:space="preserve">Resolve FUNCTION.ID (V→VALIDATE, I/blank→PROCESS — no U/VU amend-specific branch exists here).</w:t>
      </w:r>
    </w:p>
    <w:p>
      <w:pPr>
        <w:spacing w:after="80"/>
      </w:pPr>
      <w:r>
        <w:rPr>
          <w:b/>
          <w:bCs/>
        </w:rPr>
        <w:t xml:space="preserve">6. </w:t>
      </w:r>
      <w:r>
        <w:t xml:space="preserve">Balance gate — proceed only if available balance covers the (possibly amended) amount, or OD.TYPE='Y'. If not, return 0006 with an insufficient-balance message; note there is no Business-Banking-specific 0011 branch in this routine, unlike Create Outward Transfer.</w:t>
      </w:r>
    </w:p>
    <w:p>
      <w:pPr>
        <w:spacing w:after="80"/>
      </w:pPr>
      <w:r>
        <w:rPr>
          <w:b/>
          <w:bCs/>
        </w:rPr>
        <w:t xml:space="preserve">7. </w:t>
      </w:r>
      <w:r>
        <w:t xml:space="preserve">Build the OFS record: header (with FT.ID as the record key), debit/credit fields, beneficiary details (reformatted the same way as Create Outward Transfer), IBAN/account resolution (explicitly NULLing the unused alternative), routing banks, commission fields (with this routine's own two-layer default logic), CBE reporting fields.</w:t>
      </w:r>
    </w:p>
    <w:p>
      <w:pPr>
        <w:spacing w:after="80"/>
      </w:pPr>
      <w:r>
        <w:rPr>
          <w:b/>
          <w:bCs/>
        </w:rPr>
        <w:t xml:space="preserve">8. </w:t>
      </w:r>
      <w:r>
        <w:t xml:space="preserve">Post via OFS.INITIALISE.SOURCE + OFS.BULK.MANAGER using OFS source 'CIB.STP'.</w:t>
      </w:r>
    </w:p>
    <w:p>
      <w:pPr>
        <w:spacing w:after="80"/>
      </w:pPr>
      <w:r>
        <w:rPr>
          <w:b/>
          <w:bCs/>
        </w:rPr>
        <w:t xml:space="preserve">9. </w:t>
      </w:r>
      <w:r>
        <w:t xml:space="preserve">Interpret the OFS response: VAL='1' → 0000 (success), FT.ID re-extracted from the response; anything else → 0006.</w:t>
      </w:r>
    </w:p>
    <w:p>
      <w:pPr>
        <w:spacing w:after="80"/>
      </w:pPr>
      <w:r>
        <w:rPr>
          <w:b/>
          <w:bCs/>
        </w:rPr>
        <w:t xml:space="preserve">10. </w:t>
      </w:r>
      <w:r>
        <w:t xml:space="preserve">Re-read the FUNDS.TRANSFER$NAU (or live) record to fetch OVERRIDE text and the record's current customer rate.</w:t>
      </w:r>
    </w:p>
    <w:p>
      <w:pPr>
        <w:spacing w:after="80"/>
      </w:pPr>
      <w:r>
        <w:rPr>
          <w:b/>
          <w:bCs/>
        </w:rPr>
        <w:t xml:space="preserve">11. </w:t>
      </w:r>
      <w:r>
        <w:t xml:space="preserve">Two-stage amend: if the record's customer rate now differs from what was submitted (and it's not simply a NULL-vs-blank non-difference), fire CUST.RATE.CHANGES — a SEPARATE OFS call using a DIFFERENT OFS source ('CIB.API' instead of 'CIB.STP'), whose sole purpose is to correct CUSTOMER.RATE on the just-amended record.</w:t>
      </w:r>
    </w:p>
    <w:p>
      <w:pPr>
        <w:spacing w:after="80"/>
      </w:pPr>
      <w:r>
        <w:rPr>
          <w:b/>
          <w:bCs/>
        </w:rPr>
        <w:t xml:space="preserve">12. </w:t>
      </w:r>
      <w:r>
        <w:t xml:space="preserve">Return O.MSG in the format HEADER.ID|STATUS|FT.ID|OFSRECORD|PAID.AMOUNT|OVERRIDE|.</w:t>
      </w:r>
    </w:p>
    <w:p>
      <w:pPr>
        <w:pStyle w:val="Heading1"/>
        <w:pBdr>
          <w:bottom w:val="single" w:color="2E5395" w:sz="6" w:space="4"/>
        </w:pBdr>
        <w:spacing w:after="150" w:before="300"/>
      </w:pPr>
      <w:r>
        <w:t xml:space="preserve">2B. OFS Record Field Construction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5"/>
        <w:gridCol w:w="2617"/>
        <w:gridCol w:w="4328"/>
      </w:tblGrid>
      <w:tr>
        <w:trPr>
          <w:tblHeader/>
        </w:trPr>
        <w:tc>
          <w:tcPr>
            <w:tcW w:type="dxa" w:w="2415"/>
            <w:shd w:fill="2E5395" w:val="clear"/>
            <w:tcMar>
              <w:top w:type="dxa" w:w="80"/>
              <w:left w:type="dxa" w:w="100"/>
              <w:bottom w:type="dxa" w:w="80"/>
              <w:right w:type="dxa" w:w="100"/>
            </w:tcMar>
          </w:tcPr>
          <w:p>
            <w:r>
              <w:rPr>
                <w:b/>
                <w:bCs/>
                <w:color w:val="FFFFFF"/>
              </w:rPr>
              <w:t xml:space="preserve">OFS Field</w:t>
            </w:r>
          </w:p>
        </w:tc>
        <w:tc>
          <w:tcPr>
            <w:tcW w:type="dxa" w:w="2617"/>
            <w:shd w:fill="2E5395" w:val="clear"/>
            <w:tcMar>
              <w:top w:type="dxa" w:w="80"/>
              <w:left w:type="dxa" w:w="100"/>
              <w:bottom w:type="dxa" w:w="80"/>
              <w:right w:type="dxa" w:w="100"/>
            </w:tcMar>
          </w:tcPr>
          <w:p>
            <w:r>
              <w:rPr>
                <w:b/>
                <w:bCs/>
                <w:color w:val="FFFFFF"/>
              </w:rPr>
              <w:t xml:space="preserve">Source Field(s)</w:t>
            </w:r>
          </w:p>
        </w:tc>
        <w:tc>
          <w:tcPr>
            <w:tcW w:type="dxa" w:w="4328"/>
            <w:shd w:fill="2E5395" w:val="clear"/>
            <w:tcMar>
              <w:top w:type="dxa" w:w="80"/>
              <w:left w:type="dxa" w:w="100"/>
              <w:bottom w:type="dxa" w:w="80"/>
              <w:right w:type="dxa" w:w="100"/>
            </w:tcMar>
          </w:tcPr>
          <w:p>
            <w:r>
              <w:rPr>
                <w:b/>
                <w:bCs/>
                <w:color w:val="FFFFFF"/>
              </w:rPr>
              <w:t xml:space="preserve">Transform / Rule</w:t>
            </w:r>
          </w:p>
        </w:tc>
      </w:tr>
      <w:tr>
        <w:tc>
          <w:tcPr>
            <w:tcW w:type="dxa" w:w="2415"/>
            <w:tcMar>
              <w:top w:type="dxa" w:w="60"/>
              <w:left w:type="dxa" w:w="100"/>
              <w:bottom w:type="dxa" w:w="60"/>
              <w:right w:type="dxa" w:w="100"/>
            </w:tcMar>
          </w:tcPr>
          <w:p>
            <w:r>
              <w:rPr>
                <w:b w:val="false"/>
                <w:bCs w:val="false"/>
              </w:rPr>
              <w:t xml:space="preserve">Header segment</w:t>
            </w:r>
          </w:p>
        </w:tc>
        <w:tc>
          <w:tcPr>
            <w:tcW w:type="dxa" w:w="2617"/>
            <w:tcMar>
              <w:top w:type="dxa" w:w="60"/>
              <w:left w:type="dxa" w:w="100"/>
              <w:bottom w:type="dxa" w:w="60"/>
              <w:right w:type="dxa" w:w="100"/>
            </w:tcMar>
          </w:tcPr>
          <w:p>
            <w:r>
              <w:rPr>
                <w:b w:val="false"/>
                <w:bCs w:val="false"/>
              </w:rPr>
              <w:t xml:space="preserve">VERSION.NAME/I/FUNCTION.ID/GTS.CONTROL/AUTH.FLAG,OFS.SERVICE/123456/BRANCH.CODE,FT.ID,</w:t>
            </w:r>
          </w:p>
        </w:tc>
        <w:tc>
          <w:tcPr>
            <w:tcW w:type="dxa" w:w="4328"/>
            <w:tcMar>
              <w:top w:type="dxa" w:w="60"/>
              <w:left w:type="dxa" w:w="100"/>
              <w:bottom w:type="dxa" w:w="60"/>
              <w:right w:type="dxa" w:w="100"/>
            </w:tcMar>
          </w:tcPr>
          <w:p>
            <w:r>
              <w:rPr>
                <w:b w:val="false"/>
                <w:bCs w:val="false"/>
              </w:rPr>
              <w:t xml:space="preserve">The existing FT.ID is placed directly in the record-key position — this is what makes the call an amend of an existing record rather than a create</w:t>
            </w:r>
          </w:p>
        </w:tc>
      </w:tr>
      <w:tr>
        <w:tc>
          <w:tcPr>
            <w:tcW w:type="dxa" w:w="2415"/>
            <w:shd w:fill="FDEAEA" w:val="clear"/>
            <w:tcMar>
              <w:top w:type="dxa" w:w="60"/>
              <w:left w:type="dxa" w:w="100"/>
              <w:bottom w:type="dxa" w:w="60"/>
              <w:right w:type="dxa" w:w="100"/>
            </w:tcMar>
          </w:tcPr>
          <w:p>
            <w:r>
              <w:rPr>
                <w:b w:val="false"/>
                <w:bCs w:val="false"/>
              </w:rPr>
              <w:t xml:space="preserve">DEBIT.ACCT.NO</w:t>
            </w:r>
          </w:p>
        </w:tc>
        <w:tc>
          <w:tcPr>
            <w:tcW w:type="dxa" w:w="2617"/>
            <w:shd w:fill="FDEAEA" w:val="clear"/>
            <w:tcMar>
              <w:top w:type="dxa" w:w="60"/>
              <w:left w:type="dxa" w:w="100"/>
              <w:bottom w:type="dxa" w:w="60"/>
              <w:right w:type="dxa" w:w="100"/>
            </w:tcMar>
          </w:tcPr>
          <w:p>
            <w:r>
              <w:rPr>
                <w:b w:val="false"/>
                <w:bCs w:val="false"/>
              </w:rPr>
              <w:t xml:space="preserve">SRC.ACC.ID</w:t>
            </w:r>
          </w:p>
        </w:tc>
        <w:tc>
          <w:tcPr>
            <w:tcW w:type="dxa" w:w="4328"/>
            <w:shd w:fill="FDEAEA" w:val="clear"/>
            <w:tcMar>
              <w:top w:type="dxa" w:w="60"/>
              <w:left w:type="dxa" w:w="100"/>
              <w:bottom w:type="dxa" w:w="60"/>
              <w:right w:type="dxa" w:w="100"/>
            </w:tcMar>
          </w:tcPr>
          <w:p>
            <w:r>
              <w:rPr>
                <w:b w:val="false"/>
                <w:bCs w:val="false"/>
              </w:rPr>
              <w:t xml:space="preserve">⚠ See §8 — this variable is never actually populated from the input in this routine due to the naming mismatch</w:t>
            </w:r>
          </w:p>
        </w:tc>
      </w:tr>
      <w:tr>
        <w:tc>
          <w:tcPr>
            <w:tcW w:type="dxa" w:w="2415"/>
            <w:tcMar>
              <w:top w:type="dxa" w:w="60"/>
              <w:left w:type="dxa" w:w="100"/>
              <w:bottom w:type="dxa" w:w="60"/>
              <w:right w:type="dxa" w:w="100"/>
            </w:tcMar>
          </w:tcPr>
          <w:p>
            <w:r>
              <w:rPr>
                <w:b w:val="false"/>
                <w:bCs w:val="false"/>
              </w:rPr>
              <w:t xml:space="preserve">DEBIT.CURRENCY</w:t>
            </w:r>
          </w:p>
        </w:tc>
        <w:tc>
          <w:tcPr>
            <w:tcW w:type="dxa" w:w="2617"/>
            <w:tcMar>
              <w:top w:type="dxa" w:w="60"/>
              <w:left w:type="dxa" w:w="100"/>
              <w:bottom w:type="dxa" w:w="60"/>
              <w:right w:type="dxa" w:w="100"/>
            </w:tcMar>
          </w:tcPr>
          <w:p>
            <w:r>
              <w:rPr>
                <w:b w:val="false"/>
                <w:bCs w:val="false"/>
              </w:rPr>
              <w:t xml:space="preserve">ORG.ACC.CUR.SRC (only if non-blank)</w:t>
            </w:r>
          </w:p>
        </w:tc>
        <w:tc>
          <w:tcPr>
            <w:tcW w:type="dxa" w:w="4328"/>
            <w:tcMar>
              <w:top w:type="dxa" w:w="60"/>
              <w:left w:type="dxa" w:w="100"/>
              <w:bottom w:type="dxa" w:w="60"/>
              <w:right w:type="dxa" w:w="100"/>
            </w:tcMar>
          </w:tcPr>
          <w:p>
            <w:r>
              <w:rPr>
                <w:b w:val="false"/>
                <w:bCs w:val="false"/>
              </w:rPr>
              <w:t xml:space="preserve">Looked up from the debit account's own currency — a field Create Outward Transfer does NOT explicitly post</w:t>
            </w:r>
          </w:p>
        </w:tc>
      </w:tr>
      <w:tr>
        <w:tc>
          <w:tcPr>
            <w:tcW w:type="dxa" w:w="2415"/>
            <w:tcMar>
              <w:top w:type="dxa" w:w="60"/>
              <w:left w:type="dxa" w:w="100"/>
              <w:bottom w:type="dxa" w:w="60"/>
              <w:right w:type="dxa" w:w="100"/>
            </w:tcMar>
          </w:tcPr>
          <w:p>
            <w:r>
              <w:rPr>
                <w:b w:val="false"/>
                <w:bCs w:val="false"/>
              </w:rPr>
              <w:t xml:space="preserve">CREDIT.ACCT.NO / CREDIT.CURRENCY / CREDIT.VALUE.DATE / CREDIT.AMOUNT</w:t>
            </w:r>
          </w:p>
        </w:tc>
        <w:tc>
          <w:tcPr>
            <w:tcW w:type="dxa" w:w="2617"/>
            <w:tcMar>
              <w:top w:type="dxa" w:w="60"/>
              <w:left w:type="dxa" w:w="100"/>
              <w:bottom w:type="dxa" w:w="60"/>
              <w:right w:type="dxa" w:w="100"/>
            </w:tcMar>
          </w:tcPr>
          <w:p>
            <w:r>
              <w:rPr>
                <w:b w:val="false"/>
                <w:bCs w:val="false"/>
              </w:rPr>
              <w:t xml:space="preserve">CREDIT.ACCT.NO / SRC.CURR / VALUE.DATE / DROUND(SRC.AMT,2)</w:t>
            </w:r>
          </w:p>
        </w:tc>
        <w:tc>
          <w:tcPr>
            <w:tcW w:type="dxa" w:w="4328"/>
            <w:tcMar>
              <w:top w:type="dxa" w:w="60"/>
              <w:left w:type="dxa" w:w="100"/>
              <w:bottom w:type="dxa" w:w="60"/>
              <w:right w:type="dxa" w:w="100"/>
            </w:tcMar>
          </w:tcPr>
          <w:p>
            <w:r>
              <w:rPr>
                <w:b w:val="false"/>
                <w:bCs w:val="false"/>
              </w:rPr>
              <w:t xml:space="preserve">Amount explicitly rounded to 2 decimals here — Create Outward Transfer posts SRC.AMT unrounded</w:t>
            </w:r>
          </w:p>
        </w:tc>
      </w:tr>
      <w:tr>
        <w:tc>
          <w:tcPr>
            <w:tcW w:type="dxa" w:w="2415"/>
            <w:tcMar>
              <w:top w:type="dxa" w:w="60"/>
              <w:left w:type="dxa" w:w="100"/>
              <w:bottom w:type="dxa" w:w="60"/>
              <w:right w:type="dxa" w:w="100"/>
            </w:tcMar>
          </w:tcPr>
          <w:p>
            <w:r>
              <w:rPr>
                <w:b w:val="false"/>
                <w:bCs w:val="false"/>
              </w:rPr>
              <w:t xml:space="preserve">ORDERING.CUST:n</w:t>
            </w:r>
          </w:p>
        </w:tc>
        <w:tc>
          <w:tcPr>
            <w:tcW w:type="dxa" w:w="2617"/>
            <w:tcMar>
              <w:top w:type="dxa" w:w="60"/>
              <w:left w:type="dxa" w:w="100"/>
              <w:bottom w:type="dxa" w:w="60"/>
              <w:right w:type="dxa" w:w="100"/>
            </w:tcMar>
          </w:tcPr>
          <w:p>
            <w:r>
              <w:rPr>
                <w:b w:val="false"/>
                <w:bCs w:val="false"/>
              </w:rPr>
              <w:t xml:space="preserve">ORDERING.CUST</w:t>
            </w:r>
          </w:p>
        </w:tc>
        <w:tc>
          <w:tcPr>
            <w:tcW w:type="dxa" w:w="4328"/>
            <w:tcMar>
              <w:top w:type="dxa" w:w="60"/>
              <w:left w:type="dxa" w:w="100"/>
              <w:bottom w:type="dxa" w:w="60"/>
              <w:right w:type="dxa" w:w="100"/>
            </w:tcMar>
          </w:tcPr>
          <w:p>
            <w:r>
              <w:rPr>
                <w:b w:val="false"/>
                <w:bCs w:val="false"/>
              </w:rPr>
              <w:t xml:space="preserve">Via FILL.MULTI, NULL-safe</w:t>
            </w:r>
          </w:p>
        </w:tc>
      </w:tr>
      <w:tr>
        <w:tc>
          <w:tcPr>
            <w:tcW w:type="dxa" w:w="2415"/>
            <w:tcMar>
              <w:top w:type="dxa" w:w="60"/>
              <w:left w:type="dxa" w:w="100"/>
              <w:bottom w:type="dxa" w:w="60"/>
              <w:right w:type="dxa" w:w="100"/>
            </w:tcMar>
          </w:tcPr>
          <w:p>
            <w:r>
              <w:rPr>
                <w:b w:val="false"/>
                <w:bCs w:val="false"/>
              </w:rPr>
              <w:t xml:space="preserve">PAYMENT.DETAILS:n</w:t>
            </w:r>
          </w:p>
        </w:tc>
        <w:tc>
          <w:tcPr>
            <w:tcW w:type="dxa" w:w="2617"/>
            <w:tcMar>
              <w:top w:type="dxa" w:w="60"/>
              <w:left w:type="dxa" w:w="100"/>
              <w:bottom w:type="dxa" w:w="60"/>
              <w:right w:type="dxa" w:w="100"/>
            </w:tcMar>
          </w:tcPr>
          <w:p>
            <w:r>
              <w:rPr>
                <w:b w:val="false"/>
                <w:bCs w:val="false"/>
              </w:rPr>
              <w:t xml:space="preserve">PAYMENT.DETAILS</w:t>
            </w:r>
          </w:p>
        </w:tc>
        <w:tc>
          <w:tcPr>
            <w:tcW w:type="dxa" w:w="4328"/>
            <w:tcMar>
              <w:top w:type="dxa" w:w="60"/>
              <w:left w:type="dxa" w:w="100"/>
              <w:bottom w:type="dxa" w:w="60"/>
              <w:right w:type="dxa" w:w="100"/>
            </w:tcMar>
          </w:tcPr>
          <w:p>
            <w:r>
              <w:rPr>
                <w:b w:val="false"/>
                <w:bCs w:val="false"/>
              </w:rPr>
              <w:t xml:space="preserve">Via FILL.MULTI, NULL-safe, with routine-specific character escaping applied first</w:t>
            </w:r>
          </w:p>
        </w:tc>
      </w:tr>
      <w:tr>
        <w:tc>
          <w:tcPr>
            <w:tcW w:type="dxa" w:w="2415"/>
            <w:tcMar>
              <w:top w:type="dxa" w:w="60"/>
              <w:left w:type="dxa" w:w="100"/>
              <w:bottom w:type="dxa" w:w="60"/>
              <w:right w:type="dxa" w:w="100"/>
            </w:tcMar>
          </w:tcPr>
          <w:p>
            <w:r>
              <w:rPr>
                <w:b w:val="false"/>
                <w:bCs w:val="false"/>
              </w:rPr>
              <w:t xml:space="preserve">BEN.CUSTOMER:n</w:t>
            </w:r>
          </w:p>
        </w:tc>
        <w:tc>
          <w:tcPr>
            <w:tcW w:type="dxa" w:w="2617"/>
            <w:tcMar>
              <w:top w:type="dxa" w:w="60"/>
              <w:left w:type="dxa" w:w="100"/>
              <w:bottom w:type="dxa" w:w="60"/>
              <w:right w:type="dxa" w:w="100"/>
            </w:tcMar>
          </w:tcPr>
          <w:p>
            <w:r>
              <w:rPr>
                <w:b w:val="false"/>
                <w:bCs w:val="false"/>
              </w:rPr>
              <w:t xml:space="preserve">BEN.NAME</w:t>
            </w:r>
          </w:p>
        </w:tc>
        <w:tc>
          <w:tcPr>
            <w:tcW w:type="dxa" w:w="4328"/>
            <w:tcMar>
              <w:top w:type="dxa" w:w="60"/>
              <w:left w:type="dxa" w:w="100"/>
              <w:bottom w:type="dxa" w:w="60"/>
              <w:right w:type="dxa" w:w="100"/>
            </w:tcMar>
          </w:tcPr>
          <w:p>
            <w:r>
              <w:rPr>
                <w:b w:val="false"/>
                <w:bCs w:val="false"/>
              </w:rPr>
              <w:t xml:space="preserve">Via FILL.MULTI; same MT→MX / multi-part reformatting logic as Create Outward Transfer</w:t>
            </w:r>
          </w:p>
        </w:tc>
      </w:tr>
      <w:tr>
        <w:tc>
          <w:tcPr>
            <w:tcW w:type="dxa" w:w="2415"/>
            <w:tcMar>
              <w:top w:type="dxa" w:w="60"/>
              <w:left w:type="dxa" w:w="100"/>
              <w:bottom w:type="dxa" w:w="60"/>
              <w:right w:type="dxa" w:w="100"/>
            </w:tcMar>
          </w:tcPr>
          <w:p>
            <w:r>
              <w:rPr>
                <w:b w:val="false"/>
                <w:bCs w:val="false"/>
              </w:rPr>
              <w:t xml:space="preserve">IBAN.BEN / BEN.ACCT.NO</w:t>
            </w:r>
          </w:p>
        </w:tc>
        <w:tc>
          <w:tcPr>
            <w:tcW w:type="dxa" w:w="2617"/>
            <w:tcMar>
              <w:top w:type="dxa" w:w="60"/>
              <w:left w:type="dxa" w:w="100"/>
              <w:bottom w:type="dxa" w:w="60"/>
              <w:right w:type="dxa" w:w="100"/>
            </w:tcMar>
          </w:tcPr>
          <w:p>
            <w:r>
              <w:rPr>
                <w:b w:val="false"/>
                <w:bCs w:val="false"/>
              </w:rPr>
              <w:t xml:space="preserve">BEN.ACC</w:t>
            </w:r>
          </w:p>
        </w:tc>
        <w:tc>
          <w:tcPr>
            <w:tcW w:type="dxa" w:w="4328"/>
            <w:tcMar>
              <w:top w:type="dxa" w:w="60"/>
              <w:left w:type="dxa" w:w="100"/>
              <w:bottom w:type="dxa" w:w="60"/>
              <w:right w:type="dxa" w:w="100"/>
            </w:tcMar>
          </w:tcPr>
          <w:p>
            <w:r>
              <w:rPr>
                <w:b w:val="false"/>
                <w:bCs w:val="false"/>
              </w:rPr>
              <w:t xml:space="preserve">IBAN validated if 29 chars; the UNUSED one of the pair is explicitly posted as literal 'NULL' (Create Outward Transfer just omits it)</w:t>
            </w:r>
          </w:p>
        </w:tc>
      </w:tr>
      <w:tr>
        <w:tc>
          <w:tcPr>
            <w:tcW w:type="dxa" w:w="2415"/>
            <w:tcMar>
              <w:top w:type="dxa" w:w="60"/>
              <w:left w:type="dxa" w:w="100"/>
              <w:bottom w:type="dxa" w:w="60"/>
              <w:right w:type="dxa" w:w="100"/>
            </w:tcMar>
          </w:tcPr>
          <w:p>
            <w:r>
              <w:rPr>
                <w:b w:val="false"/>
                <w:bCs w:val="false"/>
              </w:rPr>
              <w:t xml:space="preserve">ACCT.WITH.BANK:n</w:t>
            </w:r>
          </w:p>
        </w:tc>
        <w:tc>
          <w:tcPr>
            <w:tcW w:type="dxa" w:w="2617"/>
            <w:tcMar>
              <w:top w:type="dxa" w:w="60"/>
              <w:left w:type="dxa" w:w="100"/>
              <w:bottom w:type="dxa" w:w="60"/>
              <w:right w:type="dxa" w:w="100"/>
            </w:tcMar>
          </w:tcPr>
          <w:p>
            <w:r>
              <w:rPr>
                <w:b w:val="false"/>
                <w:bCs w:val="false"/>
              </w:rPr>
              <w:t xml:space="preserve">ACCT.WITH.BANK</w:t>
            </w:r>
          </w:p>
        </w:tc>
        <w:tc>
          <w:tcPr>
            <w:tcW w:type="dxa" w:w="4328"/>
            <w:tcMar>
              <w:top w:type="dxa" w:w="60"/>
              <w:left w:type="dxa" w:w="100"/>
              <w:bottom w:type="dxa" w:w="60"/>
              <w:right w:type="dxa" w:w="100"/>
            </w:tcMar>
          </w:tcPr>
          <w:p>
            <w:r>
              <w:rPr>
                <w:b w:val="false"/>
                <w:bCs w:val="false"/>
              </w:rPr>
              <w:t xml:space="preserve">Via FILL.MULTI, NULL-safe — no prefix-escaping logic (difference from Create)</w:t>
            </w:r>
          </w:p>
        </w:tc>
      </w:tr>
      <w:tr>
        <w:tc>
          <w:tcPr>
            <w:tcW w:type="dxa" w:w="2415"/>
            <w:tcMar>
              <w:top w:type="dxa" w:w="60"/>
              <w:left w:type="dxa" w:w="100"/>
              <w:bottom w:type="dxa" w:w="60"/>
              <w:right w:type="dxa" w:w="100"/>
            </w:tcMar>
          </w:tcPr>
          <w:p>
            <w:r>
              <w:rPr>
                <w:b w:val="false"/>
                <w:bCs w:val="false"/>
              </w:rPr>
              <w:t xml:space="preserve">INTERMED.BANK:n</w:t>
            </w:r>
          </w:p>
        </w:tc>
        <w:tc>
          <w:tcPr>
            <w:tcW w:type="dxa" w:w="2617"/>
            <w:tcMar>
              <w:top w:type="dxa" w:w="60"/>
              <w:left w:type="dxa" w:w="100"/>
              <w:bottom w:type="dxa" w:w="60"/>
              <w:right w:type="dxa" w:w="100"/>
            </w:tcMar>
          </w:tcPr>
          <w:p>
            <w:r>
              <w:rPr>
                <w:b w:val="false"/>
                <w:bCs w:val="false"/>
              </w:rPr>
              <w:t xml:space="preserve">INTERMED.BANK</w:t>
            </w:r>
          </w:p>
        </w:tc>
        <w:tc>
          <w:tcPr>
            <w:tcW w:type="dxa" w:w="4328"/>
            <w:tcMar>
              <w:top w:type="dxa" w:w="60"/>
              <w:left w:type="dxa" w:w="100"/>
              <w:bottom w:type="dxa" w:w="60"/>
              <w:right w:type="dxa" w:w="100"/>
            </w:tcMar>
          </w:tcPr>
          <w:p>
            <w:r>
              <w:rPr>
                <w:b w:val="false"/>
                <w:bCs w:val="false"/>
              </w:rPr>
              <w:t xml:space="preserve">Via FILL.MULTI, NULL-safe</w:t>
            </w:r>
          </w:p>
        </w:tc>
      </w:tr>
      <w:tr>
        <w:tc>
          <w:tcPr>
            <w:tcW w:type="dxa" w:w="2415"/>
            <w:tcMar>
              <w:top w:type="dxa" w:w="60"/>
              <w:left w:type="dxa" w:w="100"/>
              <w:bottom w:type="dxa" w:w="60"/>
              <w:right w:type="dxa" w:w="100"/>
            </w:tcMar>
          </w:tcPr>
          <w:p>
            <w:r>
              <w:rPr>
                <w:b w:val="false"/>
                <w:bCs w:val="false"/>
              </w:rPr>
              <w:t xml:space="preserve">INTERMED.BANK.ACC</w:t>
            </w:r>
          </w:p>
        </w:tc>
        <w:tc>
          <w:tcPr>
            <w:tcW w:type="dxa" w:w="2617"/>
            <w:tcMar>
              <w:top w:type="dxa" w:w="60"/>
              <w:left w:type="dxa" w:w="100"/>
              <w:bottom w:type="dxa" w:w="60"/>
              <w:right w:type="dxa" w:w="100"/>
            </w:tcMar>
          </w:tcPr>
          <w:p>
            <w:r>
              <w:rPr>
                <w:b w:val="false"/>
                <w:bCs w:val="false"/>
              </w:rPr>
              <w:t xml:space="preserve">INTERMED.BANK.ACCT</w:t>
            </w:r>
          </w:p>
        </w:tc>
        <w:tc>
          <w:tcPr>
            <w:tcW w:type="dxa" w:w="4328"/>
            <w:tcMar>
              <w:top w:type="dxa" w:w="60"/>
              <w:left w:type="dxa" w:w="100"/>
              <w:bottom w:type="dxa" w:w="60"/>
              <w:right w:type="dxa" w:w="100"/>
            </w:tcMar>
          </w:tcPr>
          <w:p>
            <w:r>
              <w:rPr>
                <w:b w:val="false"/>
                <w:bCs w:val="false"/>
              </w:rPr>
              <w:t xml:space="preserve">NULL-safe placeholder, posted directly</w:t>
            </w:r>
          </w:p>
        </w:tc>
      </w:tr>
      <w:tr>
        <w:tc>
          <w:tcPr>
            <w:tcW w:type="dxa" w:w="2415"/>
            <w:tcMar>
              <w:top w:type="dxa" w:w="60"/>
              <w:left w:type="dxa" w:w="100"/>
              <w:bottom w:type="dxa" w:w="60"/>
              <w:right w:type="dxa" w:w="100"/>
            </w:tcMar>
          </w:tcPr>
          <w:p>
            <w:r>
              <w:rPr>
                <w:b w:val="false"/>
                <w:bCs w:val="false"/>
              </w:rPr>
              <w:t xml:space="preserve">CUSTOMER.RATE</w:t>
            </w:r>
          </w:p>
        </w:tc>
        <w:tc>
          <w:tcPr>
            <w:tcW w:type="dxa" w:w="2617"/>
            <w:tcMar>
              <w:top w:type="dxa" w:w="60"/>
              <w:left w:type="dxa" w:w="100"/>
              <w:bottom w:type="dxa" w:w="60"/>
              <w:right w:type="dxa" w:w="100"/>
            </w:tcMar>
          </w:tcPr>
          <w:p>
            <w:r>
              <w:rPr>
                <w:b w:val="false"/>
                <w:bCs w:val="false"/>
              </w:rPr>
              <w:t xml:space="preserve">CUSTOMER.RATE</w:t>
            </w:r>
          </w:p>
        </w:tc>
        <w:tc>
          <w:tcPr>
            <w:tcW w:type="dxa" w:w="4328"/>
            <w:tcMar>
              <w:top w:type="dxa" w:w="60"/>
              <w:left w:type="dxa" w:w="100"/>
              <w:bottom w:type="dxa" w:w="60"/>
              <w:right w:type="dxa" w:w="100"/>
            </w:tcMar>
          </w:tcPr>
          <w:p>
            <w:r>
              <w:rPr>
                <w:b w:val="false"/>
                <w:bCs w:val="false"/>
              </w:rPr>
              <w:t xml:space="preserve">Blanked only if channel=BPM and value='0'</w:t>
            </w:r>
          </w:p>
        </w:tc>
      </w:tr>
      <w:tr>
        <w:tc>
          <w:tcPr>
            <w:tcW w:type="dxa" w:w="2415"/>
            <w:tcMar>
              <w:top w:type="dxa" w:w="60"/>
              <w:left w:type="dxa" w:w="100"/>
              <w:bottom w:type="dxa" w:w="60"/>
              <w:right w:type="dxa" w:w="100"/>
            </w:tcMar>
          </w:tcPr>
          <w:p>
            <w:r>
              <w:rPr>
                <w:b w:val="false"/>
                <w:bCs w:val="false"/>
              </w:rPr>
              <w:t xml:space="preserve">ORDERING.BANK:n</w:t>
            </w:r>
          </w:p>
        </w:tc>
        <w:tc>
          <w:tcPr>
            <w:tcW w:type="dxa" w:w="2617"/>
            <w:tcMar>
              <w:top w:type="dxa" w:w="60"/>
              <w:left w:type="dxa" w:w="100"/>
              <w:bottom w:type="dxa" w:w="60"/>
              <w:right w:type="dxa" w:w="100"/>
            </w:tcMar>
          </w:tcPr>
          <w:p>
            <w:r>
              <w:rPr>
                <w:b w:val="false"/>
                <w:bCs w:val="false"/>
              </w:rPr>
              <w:t xml:space="preserve">ORDERING.BANK</w:t>
            </w:r>
          </w:p>
        </w:tc>
        <w:tc>
          <w:tcPr>
            <w:tcW w:type="dxa" w:w="4328"/>
            <w:tcMar>
              <w:top w:type="dxa" w:w="60"/>
              <w:left w:type="dxa" w:w="100"/>
              <w:bottom w:type="dxa" w:w="60"/>
              <w:right w:type="dxa" w:w="100"/>
            </w:tcMar>
          </w:tcPr>
          <w:p>
            <w:r>
              <w:rPr>
                <w:b w:val="false"/>
                <w:bCs w:val="false"/>
              </w:rPr>
              <w:t xml:space="preserve">Via FILL.MULTI, NULL-safe</w:t>
            </w:r>
          </w:p>
        </w:tc>
      </w:tr>
      <w:tr>
        <w:tc>
          <w:tcPr>
            <w:tcW w:type="dxa" w:w="2415"/>
            <w:tcMar>
              <w:top w:type="dxa" w:w="60"/>
              <w:left w:type="dxa" w:w="100"/>
              <w:bottom w:type="dxa" w:w="60"/>
              <w:right w:type="dxa" w:w="100"/>
            </w:tcMar>
          </w:tcPr>
          <w:p>
            <w:r>
              <w:rPr>
                <w:b w:val="false"/>
                <w:bCs w:val="false"/>
              </w:rPr>
              <w:t xml:space="preserve">DEBIT.THEIR.REF</w:t>
            </w:r>
          </w:p>
        </w:tc>
        <w:tc>
          <w:tcPr>
            <w:tcW w:type="dxa" w:w="2617"/>
            <w:tcMar>
              <w:top w:type="dxa" w:w="60"/>
              <w:left w:type="dxa" w:w="100"/>
              <w:bottom w:type="dxa" w:w="60"/>
              <w:right w:type="dxa" w:w="100"/>
            </w:tcMar>
          </w:tcPr>
          <w:p>
            <w:r>
              <w:rPr>
                <w:b w:val="false"/>
                <w:bCs w:val="false"/>
              </w:rPr>
              <w:t xml:space="preserve">FT.NARRATIVE</w:t>
            </w:r>
          </w:p>
        </w:tc>
        <w:tc>
          <w:tcPr>
            <w:tcW w:type="dxa" w:w="4328"/>
            <w:tcMar>
              <w:top w:type="dxa" w:w="60"/>
              <w:left w:type="dxa" w:w="100"/>
              <w:bottom w:type="dxa" w:w="60"/>
              <w:right w:type="dxa" w:w="100"/>
            </w:tcMar>
          </w:tcPr>
          <w:p>
            <w:r>
              <w:rPr>
                <w:b w:val="false"/>
                <w:bCs w:val="false"/>
              </w:rPr>
              <w:t xml:space="preserve">Direct mapping, no NULL-substitution</w:t>
            </w:r>
          </w:p>
        </w:tc>
      </w:tr>
      <w:tr>
        <w:tc>
          <w:tcPr>
            <w:tcW w:type="dxa" w:w="2415"/>
            <w:tcMar>
              <w:top w:type="dxa" w:w="60"/>
              <w:left w:type="dxa" w:w="100"/>
              <w:bottom w:type="dxa" w:w="60"/>
              <w:right w:type="dxa" w:w="100"/>
            </w:tcMar>
          </w:tcPr>
          <w:p>
            <w:r>
              <w:rPr>
                <w:b w:val="false"/>
                <w:bCs w:val="false"/>
              </w:rPr>
              <w:t xml:space="preserve">ACCT.WITH.BANK.ACC</w:t>
            </w:r>
          </w:p>
        </w:tc>
        <w:tc>
          <w:tcPr>
            <w:tcW w:type="dxa" w:w="2617"/>
            <w:tcMar>
              <w:top w:type="dxa" w:w="60"/>
              <w:left w:type="dxa" w:w="100"/>
              <w:bottom w:type="dxa" w:w="60"/>
              <w:right w:type="dxa" w:w="100"/>
            </w:tcMar>
          </w:tcPr>
          <w:p>
            <w:r>
              <w:rPr>
                <w:b w:val="false"/>
                <w:bCs w:val="false"/>
              </w:rPr>
              <w:t xml:space="preserve">ACCT.WITH.BANK.ACC</w:t>
            </w:r>
          </w:p>
        </w:tc>
        <w:tc>
          <w:tcPr>
            <w:tcW w:type="dxa" w:w="4328"/>
            <w:tcMar>
              <w:top w:type="dxa" w:w="60"/>
              <w:left w:type="dxa" w:w="100"/>
              <w:bottom w:type="dxa" w:w="60"/>
              <w:right w:type="dxa" w:w="100"/>
            </w:tcMar>
          </w:tcPr>
          <w:p>
            <w:r>
              <w:rPr>
                <w:b w:val="false"/>
                <w:bCs w:val="false"/>
              </w:rPr>
              <w:t xml:space="preserve">NULL-safe placeholder</w:t>
            </w:r>
          </w:p>
        </w:tc>
      </w:tr>
      <w:tr>
        <w:tc>
          <w:tcPr>
            <w:tcW w:type="dxa" w:w="2415"/>
            <w:tcMar>
              <w:top w:type="dxa" w:w="60"/>
              <w:left w:type="dxa" w:w="100"/>
              <w:bottom w:type="dxa" w:w="60"/>
              <w:right w:type="dxa" w:w="100"/>
            </w:tcMar>
          </w:tcPr>
          <w:p>
            <w:r>
              <w:rPr>
                <w:b w:val="false"/>
                <w:bCs w:val="false"/>
              </w:rPr>
              <w:t xml:space="preserve">FREE.MARKT.CODE</w:t>
            </w:r>
          </w:p>
        </w:tc>
        <w:tc>
          <w:tcPr>
            <w:tcW w:type="dxa" w:w="2617"/>
            <w:tcMar>
              <w:top w:type="dxa" w:w="60"/>
              <w:left w:type="dxa" w:w="100"/>
              <w:bottom w:type="dxa" w:w="60"/>
              <w:right w:type="dxa" w:w="100"/>
            </w:tcMar>
          </w:tcPr>
          <w:p>
            <w:r>
              <w:rPr>
                <w:b w:val="false"/>
                <w:bCs w:val="false"/>
              </w:rPr>
              <w:t xml:space="preserve">FREE.MARKT.CODE</w:t>
            </w:r>
          </w:p>
        </w:tc>
        <w:tc>
          <w:tcPr>
            <w:tcW w:type="dxa" w:w="4328"/>
            <w:tcMar>
              <w:top w:type="dxa" w:w="60"/>
              <w:left w:type="dxa" w:w="100"/>
              <w:bottom w:type="dxa" w:w="60"/>
              <w:right w:type="dxa" w:w="100"/>
            </w:tcMar>
          </w:tcPr>
          <w:p>
            <w:r>
              <w:rPr>
                <w:b w:val="false"/>
                <w:bCs w:val="false"/>
              </w:rPr>
              <w:t xml:space="preserve">Posted as-is (with BPM-specific NULL default applied earlier)</w:t>
            </w:r>
          </w:p>
        </w:tc>
      </w:tr>
      <w:tr>
        <w:tc>
          <w:tcPr>
            <w:tcW w:type="dxa" w:w="2415"/>
            <w:tcMar>
              <w:top w:type="dxa" w:w="60"/>
              <w:left w:type="dxa" w:w="100"/>
              <w:bottom w:type="dxa" w:w="60"/>
              <w:right w:type="dxa" w:w="100"/>
            </w:tcMar>
          </w:tcPr>
          <w:p>
            <w:r>
              <w:rPr>
                <w:b w:val="false"/>
                <w:bCs w:val="false"/>
              </w:rPr>
              <w:t xml:space="preserve">BK.TO.BK.OUT:1:n</w:t>
            </w:r>
          </w:p>
        </w:tc>
        <w:tc>
          <w:tcPr>
            <w:tcW w:type="dxa" w:w="2617"/>
            <w:tcMar>
              <w:top w:type="dxa" w:w="60"/>
              <w:left w:type="dxa" w:w="100"/>
              <w:bottom w:type="dxa" w:w="60"/>
              <w:right w:type="dxa" w:w="100"/>
            </w:tcMar>
          </w:tcPr>
          <w:p>
            <w:r>
              <w:rPr>
                <w:b w:val="false"/>
                <w:bCs w:val="false"/>
              </w:rPr>
              <w:t xml:space="preserve">BK.TO.BK.OUT</w:t>
            </w:r>
          </w:p>
        </w:tc>
        <w:tc>
          <w:tcPr>
            <w:tcW w:type="dxa" w:w="4328"/>
            <w:tcMar>
              <w:top w:type="dxa" w:w="60"/>
              <w:left w:type="dxa" w:w="100"/>
              <w:bottom w:type="dxa" w:w="60"/>
              <w:right w:type="dxa" w:w="100"/>
            </w:tcMar>
          </w:tcPr>
          <w:p>
            <w:r>
              <w:rPr>
                <w:b w:val="false"/>
                <w:bCs w:val="false"/>
              </w:rPr>
              <w:t xml:space="preserve">Merged against the target FT record's existing value via FILL.SUB.VALUE</w:t>
            </w:r>
          </w:p>
        </w:tc>
      </w:tr>
      <w:tr>
        <w:tc>
          <w:tcPr>
            <w:tcW w:type="dxa" w:w="2415"/>
            <w:tcMar>
              <w:top w:type="dxa" w:w="60"/>
              <w:left w:type="dxa" w:w="100"/>
              <w:bottom w:type="dxa" w:w="60"/>
              <w:right w:type="dxa" w:w="100"/>
            </w:tcMar>
          </w:tcPr>
          <w:p>
            <w:r>
              <w:rPr>
                <w:b w:val="false"/>
                <w:bCs w:val="false"/>
              </w:rPr>
              <w:t xml:space="preserve">BEN.OUR.CHARGES</w:t>
            </w:r>
          </w:p>
        </w:tc>
        <w:tc>
          <w:tcPr>
            <w:tcW w:type="dxa" w:w="2617"/>
            <w:tcMar>
              <w:top w:type="dxa" w:w="60"/>
              <w:left w:type="dxa" w:w="100"/>
              <w:bottom w:type="dxa" w:w="60"/>
              <w:right w:type="dxa" w:w="100"/>
            </w:tcMar>
          </w:tcPr>
          <w:p>
            <w:r>
              <w:rPr>
                <w:b w:val="false"/>
                <w:bCs w:val="false"/>
              </w:rPr>
              <w:t xml:space="preserve">BEN.OUR.CHARGES</w:t>
            </w:r>
          </w:p>
        </w:tc>
        <w:tc>
          <w:tcPr>
            <w:tcW w:type="dxa" w:w="4328"/>
            <w:tcMar>
              <w:top w:type="dxa" w:w="60"/>
              <w:left w:type="dxa" w:w="100"/>
              <w:bottom w:type="dxa" w:w="60"/>
              <w:right w:type="dxa" w:w="100"/>
            </w:tcMar>
          </w:tcPr>
          <w:p>
            <w:r>
              <w:rPr>
                <w:b w:val="false"/>
                <w:bCs w:val="false"/>
              </w:rPr>
              <w:t xml:space="preserve">Posted as-is</w:t>
            </w:r>
          </w:p>
        </w:tc>
      </w:tr>
      <w:tr>
        <w:tc>
          <w:tcPr>
            <w:tcW w:type="dxa" w:w="2415"/>
            <w:tcMar>
              <w:top w:type="dxa" w:w="60"/>
              <w:left w:type="dxa" w:w="100"/>
              <w:bottom w:type="dxa" w:w="60"/>
              <w:right w:type="dxa" w:w="100"/>
            </w:tcMar>
          </w:tcPr>
          <w:p>
            <w:r>
              <w:rPr>
                <w:b w:val="false"/>
                <w:bCs w:val="false"/>
              </w:rPr>
              <w:t xml:space="preserve">COMMISSION.CODE</w:t>
            </w:r>
          </w:p>
        </w:tc>
        <w:tc>
          <w:tcPr>
            <w:tcW w:type="dxa" w:w="2617"/>
            <w:tcMar>
              <w:top w:type="dxa" w:w="60"/>
              <w:left w:type="dxa" w:w="100"/>
              <w:bottom w:type="dxa" w:w="60"/>
              <w:right w:type="dxa" w:w="100"/>
            </w:tcMar>
          </w:tcPr>
          <w:p>
            <w:r>
              <w:rPr>
                <w:b w:val="false"/>
                <w:bCs w:val="false"/>
              </w:rPr>
              <w:t xml:space="preserve">Derived — see §5.4</w:t>
            </w:r>
          </w:p>
        </w:tc>
        <w:tc>
          <w:tcPr>
            <w:tcW w:type="dxa" w:w="4328"/>
            <w:tcMar>
              <w:top w:type="dxa" w:w="60"/>
              <w:left w:type="dxa" w:w="100"/>
              <w:bottom w:type="dxa" w:w="60"/>
              <w:right w:type="dxa" w:w="100"/>
            </w:tcMar>
          </w:tcPr>
          <w:p>
            <w:r>
              <w:rPr>
                <w:b w:val="false"/>
                <w:bCs w:val="false"/>
              </w:rPr>
              <w:t xml:space="preserve">Two-layer default logic unique to this routine (WAIVE rule + OUR/BEN/SHA rule)</w:t>
            </w:r>
          </w:p>
        </w:tc>
      </w:tr>
      <w:tr>
        <w:tc>
          <w:tcPr>
            <w:tcW w:type="dxa" w:w="2415"/>
            <w:tcMar>
              <w:top w:type="dxa" w:w="60"/>
              <w:left w:type="dxa" w:w="100"/>
              <w:bottom w:type="dxa" w:w="60"/>
              <w:right w:type="dxa" w:w="100"/>
            </w:tcMar>
          </w:tcPr>
          <w:p>
            <w:r>
              <w:rPr>
                <w:b w:val="false"/>
                <w:bCs w:val="false"/>
              </w:rPr>
              <w:t xml:space="preserve">COMMISSION.TYPE:n / COMMISSION.AMT:n</w:t>
            </w:r>
          </w:p>
        </w:tc>
        <w:tc>
          <w:tcPr>
            <w:tcW w:type="dxa" w:w="2617"/>
            <w:tcMar>
              <w:top w:type="dxa" w:w="60"/>
              <w:left w:type="dxa" w:w="100"/>
              <w:bottom w:type="dxa" w:w="60"/>
              <w:right w:type="dxa" w:w="100"/>
            </w:tcMar>
          </w:tcPr>
          <w:p>
            <w:r>
              <w:rPr>
                <w:b w:val="false"/>
                <w:bCs w:val="false"/>
              </w:rPr>
              <w:t xml:space="preserve">COMMISSION.TYPE / COMMISSION.AMOUNT</w:t>
            </w:r>
          </w:p>
        </w:tc>
        <w:tc>
          <w:tcPr>
            <w:tcW w:type="dxa" w:w="4328"/>
            <w:tcMar>
              <w:top w:type="dxa" w:w="60"/>
              <w:left w:type="dxa" w:w="100"/>
              <w:bottom w:type="dxa" w:w="60"/>
              <w:right w:type="dxa" w:w="100"/>
            </w:tcMar>
          </w:tcPr>
          <w:p>
            <w:r>
              <w:rPr>
                <w:b w:val="false"/>
                <w:bCs w:val="false"/>
              </w:rPr>
              <w:t xml:space="preserve">Via FILL.MULTI (generic mechanism) rather than the manual FOR-loop Create Outward Transfer uses — old FOR-loop code is left commented out in this routine</w:t>
            </w:r>
          </w:p>
        </w:tc>
      </w:tr>
      <w:tr>
        <w:tc>
          <w:tcPr>
            <w:tcW w:type="dxa" w:w="2415"/>
            <w:tcMar>
              <w:top w:type="dxa" w:w="60"/>
              <w:left w:type="dxa" w:w="100"/>
              <w:bottom w:type="dxa" w:w="60"/>
              <w:right w:type="dxa" w:w="100"/>
            </w:tcMar>
          </w:tcPr>
          <w:p>
            <w:r>
              <w:rPr>
                <w:b w:val="false"/>
                <w:bCs w:val="false"/>
              </w:rPr>
              <w:t xml:space="preserve">FT.TXN.NARR::</w:t>
            </w:r>
          </w:p>
        </w:tc>
        <w:tc>
          <w:tcPr>
            <w:tcW w:type="dxa" w:w="2617"/>
            <w:tcMar>
              <w:top w:type="dxa" w:w="60"/>
              <w:left w:type="dxa" w:w="100"/>
              <w:bottom w:type="dxa" w:w="60"/>
              <w:right w:type="dxa" w:w="100"/>
            </w:tcMar>
          </w:tcPr>
          <w:p>
            <w:r>
              <w:rPr>
                <w:b w:val="false"/>
                <w:bCs w:val="false"/>
              </w:rPr>
              <w:t xml:space="preserve">FT.TXN.NARR</w:t>
            </w:r>
          </w:p>
        </w:tc>
        <w:tc>
          <w:tcPr>
            <w:tcW w:type="dxa" w:w="4328"/>
            <w:tcMar>
              <w:top w:type="dxa" w:w="60"/>
              <w:left w:type="dxa" w:w="100"/>
              <w:bottom w:type="dxa" w:w="60"/>
              <w:right w:type="dxa" w:w="100"/>
            </w:tcMar>
          </w:tcPr>
          <w:p>
            <w:r>
              <w:rPr>
                <w:b w:val="false"/>
                <w:bCs w:val="false"/>
              </w:rPr>
              <w:t xml:space="preserve">Direct mapping</w:t>
            </w:r>
          </w:p>
        </w:tc>
      </w:tr>
      <w:tr>
        <w:tc>
          <w:tcPr>
            <w:tcW w:type="dxa" w:w="2415"/>
            <w:tcMar>
              <w:top w:type="dxa" w:w="60"/>
              <w:left w:type="dxa" w:w="100"/>
              <w:bottom w:type="dxa" w:w="60"/>
              <w:right w:type="dxa" w:w="100"/>
            </w:tcMar>
          </w:tcPr>
          <w:p>
            <w:r>
              <w:rPr>
                <w:b w:val="false"/>
                <w:bCs w:val="false"/>
              </w:rPr>
              <w:t xml:space="preserve">CREDIT.THEIR.REF</w:t>
            </w:r>
          </w:p>
        </w:tc>
        <w:tc>
          <w:tcPr>
            <w:tcW w:type="dxa" w:w="2617"/>
            <w:tcMar>
              <w:top w:type="dxa" w:w="60"/>
              <w:left w:type="dxa" w:w="100"/>
              <w:bottom w:type="dxa" w:w="60"/>
              <w:right w:type="dxa" w:w="100"/>
            </w:tcMar>
          </w:tcPr>
          <w:p>
            <w:r>
              <w:rPr>
                <w:b w:val="false"/>
                <w:bCs w:val="false"/>
              </w:rPr>
              <w:t xml:space="preserve">CREDIT.THEIR.REF</w:t>
            </w:r>
          </w:p>
        </w:tc>
        <w:tc>
          <w:tcPr>
            <w:tcW w:type="dxa" w:w="4328"/>
            <w:tcMar>
              <w:top w:type="dxa" w:w="60"/>
              <w:left w:type="dxa" w:w="100"/>
              <w:bottom w:type="dxa" w:w="60"/>
              <w:right w:type="dxa" w:w="100"/>
            </w:tcMar>
          </w:tcPr>
          <w:p>
            <w:r>
              <w:rPr>
                <w:b w:val="false"/>
                <w:bCs w:val="false"/>
              </w:rPr>
              <w:t xml:space="preserve">Direct mapping</w:t>
            </w:r>
          </w:p>
        </w:tc>
      </w:tr>
      <w:tr>
        <w:tc>
          <w:tcPr>
            <w:tcW w:type="dxa" w:w="2415"/>
            <w:tcMar>
              <w:top w:type="dxa" w:w="60"/>
              <w:left w:type="dxa" w:w="100"/>
              <w:bottom w:type="dxa" w:w="60"/>
              <w:right w:type="dxa" w:w="100"/>
            </w:tcMar>
          </w:tcPr>
          <w:p>
            <w:r>
              <w:rPr>
                <w:b w:val="false"/>
                <w:bCs w:val="false"/>
              </w:rPr>
              <w:t xml:space="preserve">DEBIT.VALUE.DATE</w:t>
            </w:r>
          </w:p>
        </w:tc>
        <w:tc>
          <w:tcPr>
            <w:tcW w:type="dxa" w:w="2617"/>
            <w:tcMar>
              <w:top w:type="dxa" w:w="60"/>
              <w:left w:type="dxa" w:w="100"/>
              <w:bottom w:type="dxa" w:w="60"/>
              <w:right w:type="dxa" w:w="100"/>
            </w:tcMar>
          </w:tcPr>
          <w:p>
            <w:r>
              <w:rPr>
                <w:b w:val="false"/>
                <w:bCs w:val="false"/>
              </w:rPr>
              <w:t xml:space="preserve">DEBIT.VALUE.DATE</w:t>
            </w:r>
          </w:p>
        </w:tc>
        <w:tc>
          <w:tcPr>
            <w:tcW w:type="dxa" w:w="4328"/>
            <w:tcMar>
              <w:top w:type="dxa" w:w="60"/>
              <w:left w:type="dxa" w:w="100"/>
              <w:bottom w:type="dxa" w:w="60"/>
              <w:right w:type="dxa" w:w="100"/>
            </w:tcMar>
          </w:tcPr>
          <w:p>
            <w:r>
              <w:rPr>
                <w:b w:val="false"/>
                <w:bCs w:val="false"/>
              </w:rPr>
              <w:t xml:space="preserve">Defaults to VALUE.DATE if blank</w:t>
            </w:r>
          </w:p>
        </w:tc>
      </w:tr>
      <w:tr>
        <w:tc>
          <w:tcPr>
            <w:tcW w:type="dxa" w:w="2415"/>
            <w:tcMar>
              <w:top w:type="dxa" w:w="60"/>
              <w:left w:type="dxa" w:w="100"/>
              <w:bottom w:type="dxa" w:w="60"/>
              <w:right w:type="dxa" w:w="100"/>
            </w:tcMar>
          </w:tcPr>
          <w:p>
            <w:r>
              <w:rPr>
                <w:b w:val="false"/>
                <w:bCs w:val="false"/>
              </w:rPr>
              <w:t xml:space="preserve">CHARGES.ACCT.NO</w:t>
            </w:r>
          </w:p>
        </w:tc>
        <w:tc>
          <w:tcPr>
            <w:tcW w:type="dxa" w:w="2617"/>
            <w:tcMar>
              <w:top w:type="dxa" w:w="60"/>
              <w:left w:type="dxa" w:w="100"/>
              <w:bottom w:type="dxa" w:w="60"/>
              <w:right w:type="dxa" w:w="100"/>
            </w:tcMar>
          </w:tcPr>
          <w:p>
            <w:r>
              <w:rPr>
                <w:b w:val="false"/>
                <w:bCs w:val="false"/>
              </w:rPr>
              <w:t xml:space="preserve">CHRG.ACCT.NO</w:t>
            </w:r>
          </w:p>
        </w:tc>
        <w:tc>
          <w:tcPr>
            <w:tcW w:type="dxa" w:w="4328"/>
            <w:tcMar>
              <w:top w:type="dxa" w:w="60"/>
              <w:left w:type="dxa" w:w="100"/>
              <w:bottom w:type="dxa" w:w="60"/>
              <w:right w:type="dxa" w:w="100"/>
            </w:tcMar>
          </w:tcPr>
          <w:p>
            <w:r>
              <w:rPr>
                <w:b w:val="false"/>
                <w:bCs w:val="false"/>
              </w:rPr>
              <w:t xml:space="preserve">Forced to 'NULL' if BEN.OUR.CHARGES='BEN'</w:t>
            </w:r>
          </w:p>
        </w:tc>
      </w:tr>
      <w:tr>
        <w:tc>
          <w:tcPr>
            <w:tcW w:type="dxa" w:w="2415"/>
            <w:tcMar>
              <w:top w:type="dxa" w:w="60"/>
              <w:left w:type="dxa" w:w="100"/>
              <w:bottom w:type="dxa" w:w="60"/>
              <w:right w:type="dxa" w:w="100"/>
            </w:tcMar>
          </w:tcPr>
          <w:p>
            <w:r>
              <w:rPr>
                <w:b w:val="false"/>
                <w:bCs w:val="false"/>
              </w:rPr>
              <w:t xml:space="preserve">SRC.CHANNEL</w:t>
            </w:r>
          </w:p>
        </w:tc>
        <w:tc>
          <w:tcPr>
            <w:tcW w:type="dxa" w:w="2617"/>
            <w:tcMar>
              <w:top w:type="dxa" w:w="60"/>
              <w:left w:type="dxa" w:w="100"/>
              <w:bottom w:type="dxa" w:w="60"/>
              <w:right w:type="dxa" w:w="100"/>
            </w:tcMar>
          </w:tcPr>
          <w:p>
            <w:r>
              <w:rPr>
                <w:b w:val="false"/>
                <w:bCs w:val="false"/>
              </w:rPr>
              <w:t xml:space="preserve">CHNL.CODE (first 4 chars)</w:t>
            </w:r>
          </w:p>
        </w:tc>
        <w:tc>
          <w:tcPr>
            <w:tcW w:type="dxa" w:w="4328"/>
            <w:tcMar>
              <w:top w:type="dxa" w:w="60"/>
              <w:left w:type="dxa" w:w="100"/>
              <w:bottom w:type="dxa" w:w="60"/>
              <w:right w:type="dxa" w:w="100"/>
            </w:tcMar>
          </w:tcPr>
          <w:p>
            <w:r>
              <w:rPr>
                <w:b w:val="false"/>
                <w:bCs w:val="false"/>
              </w:rPr>
              <w:t xml:space="preserve">Truncated</w:t>
            </w:r>
          </w:p>
        </w:tc>
      </w:tr>
      <w:tr>
        <w:tc>
          <w:tcPr>
            <w:tcW w:type="dxa" w:w="2415"/>
            <w:tcMar>
              <w:top w:type="dxa" w:w="60"/>
              <w:left w:type="dxa" w:w="100"/>
              <w:bottom w:type="dxa" w:w="60"/>
              <w:right w:type="dxa" w:w="100"/>
            </w:tcMar>
          </w:tcPr>
          <w:p>
            <w:r>
              <w:rPr>
                <w:b w:val="false"/>
                <w:bCs w:val="false"/>
              </w:rPr>
              <w:t xml:space="preserve">INT.MSG.NUM.1</w:t>
            </w:r>
          </w:p>
        </w:tc>
        <w:tc>
          <w:tcPr>
            <w:tcW w:type="dxa" w:w="2617"/>
            <w:tcMar>
              <w:top w:type="dxa" w:w="60"/>
              <w:left w:type="dxa" w:w="100"/>
              <w:bottom w:type="dxa" w:w="60"/>
              <w:right w:type="dxa" w:w="100"/>
            </w:tcMar>
          </w:tcPr>
          <w:p>
            <w:r>
              <w:rPr>
                <w:b w:val="false"/>
                <w:bCs w:val="false"/>
              </w:rPr>
              <w:t xml:space="preserve">MSG.ID</w:t>
            </w:r>
          </w:p>
        </w:tc>
        <w:tc>
          <w:tcPr>
            <w:tcW w:type="dxa" w:w="4328"/>
            <w:tcMar>
              <w:top w:type="dxa" w:w="60"/>
              <w:left w:type="dxa" w:w="100"/>
              <w:bottom w:type="dxa" w:w="60"/>
              <w:right w:type="dxa" w:w="100"/>
            </w:tcMar>
          </w:tcPr>
          <w:p>
            <w:r>
              <w:rPr>
                <w:b w:val="false"/>
                <w:bCs w:val="false"/>
              </w:rPr>
              <w:t xml:space="preserve">Direct mapping</w:t>
            </w:r>
          </w:p>
        </w:tc>
      </w:tr>
      <w:tr>
        <w:tc>
          <w:tcPr>
            <w:tcW w:type="dxa" w:w="2415"/>
            <w:tcMar>
              <w:top w:type="dxa" w:w="60"/>
              <w:left w:type="dxa" w:w="100"/>
              <w:bottom w:type="dxa" w:w="60"/>
              <w:right w:type="dxa" w:w="100"/>
            </w:tcMar>
          </w:tcPr>
          <w:p>
            <w:r>
              <w:rPr>
                <w:b w:val="false"/>
                <w:bCs w:val="false"/>
              </w:rPr>
              <w:t xml:space="preserve">OLD.CBE.CODE / NEW.CBE.CODE / SELL.CODE / CBE.NAR.AR</w:t>
            </w:r>
          </w:p>
        </w:tc>
        <w:tc>
          <w:tcPr>
            <w:tcW w:type="dxa" w:w="2617"/>
            <w:tcMar>
              <w:top w:type="dxa" w:w="60"/>
              <w:left w:type="dxa" w:w="100"/>
              <w:bottom w:type="dxa" w:w="60"/>
              <w:right w:type="dxa" w:w="100"/>
            </w:tcMar>
          </w:tcPr>
          <w:p>
            <w:r>
              <w:rPr>
                <w:b w:val="false"/>
                <w:bCs w:val="false"/>
              </w:rPr>
              <w:t xml:space="preserve">Same-named input fields</w:t>
            </w:r>
          </w:p>
        </w:tc>
        <w:tc>
          <w:tcPr>
            <w:tcW w:type="dxa" w:w="4328"/>
            <w:tcMar>
              <w:top w:type="dxa" w:w="60"/>
              <w:left w:type="dxa" w:w="100"/>
              <w:bottom w:type="dxa" w:w="60"/>
              <w:right w:type="dxa" w:w="100"/>
            </w:tcMar>
          </w:tcPr>
          <w:p>
            <w:r>
              <w:rPr>
                <w:b w:val="false"/>
                <w:bCs w:val="false"/>
              </w:rPr>
              <w:t xml:space="preserve">Direct pass-through, CBE regulatory reporting fields</w:t>
            </w:r>
          </w:p>
        </w:tc>
      </w:tr>
    </w:tbl>
    <w:p>
      <w:pPr>
        <w:pStyle w:val="Heading1"/>
        <w:pBdr>
          <w:bottom w:val="single" w:color="2E5395" w:sz="6" w:space="4"/>
        </w:pBdr>
        <w:spacing w:after="150" w:before="300"/>
      </w:pPr>
      <w:r>
        <w:t xml:space="preserve">2C. Files Read /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8"/>
        <w:gridCol w:w="1409"/>
        <w:gridCol w:w="5133"/>
      </w:tblGrid>
      <w:tr>
        <w:trPr>
          <w:tblHeader/>
        </w:trPr>
        <w:tc>
          <w:tcPr>
            <w:tcW w:type="dxa" w:w="2818"/>
            <w:shd w:fill="2E5395" w:val="clear"/>
            <w:tcMar>
              <w:top w:type="dxa" w:w="80"/>
              <w:left w:type="dxa" w:w="100"/>
              <w:bottom w:type="dxa" w:w="80"/>
              <w:right w:type="dxa" w:w="100"/>
            </w:tcMar>
          </w:tcPr>
          <w:p>
            <w:r>
              <w:rPr>
                <w:b/>
                <w:bCs/>
                <w:color w:val="FFFFFF"/>
              </w:rPr>
              <w:t xml:space="preserve">File / Table</w:t>
            </w:r>
          </w:p>
        </w:tc>
        <w:tc>
          <w:tcPr>
            <w:tcW w:type="dxa" w:w="1409"/>
            <w:shd w:fill="2E5395" w:val="clear"/>
            <w:tcMar>
              <w:top w:type="dxa" w:w="80"/>
              <w:left w:type="dxa" w:w="100"/>
              <w:bottom w:type="dxa" w:w="80"/>
              <w:right w:type="dxa" w:w="100"/>
            </w:tcMar>
          </w:tcPr>
          <w:p>
            <w:r>
              <w:rPr>
                <w:b/>
                <w:bCs/>
                <w:color w:val="FFFFFF"/>
              </w:rPr>
              <w:t xml:space="preserve">Access</w:t>
            </w:r>
          </w:p>
        </w:tc>
        <w:tc>
          <w:tcPr>
            <w:tcW w:type="dxa" w:w="5133"/>
            <w:shd w:fill="2E5395" w:val="clear"/>
            <w:tcMar>
              <w:top w:type="dxa" w:w="80"/>
              <w:left w:type="dxa" w:w="100"/>
              <w:bottom w:type="dxa" w:w="80"/>
              <w:right w:type="dxa" w:w="100"/>
            </w:tcMar>
          </w:tcPr>
          <w:p>
            <w:r>
              <w:rPr>
                <w:b/>
                <w:bCs/>
                <w:color w:val="FFFFFF"/>
              </w:rPr>
              <w:t xml:space="preserve">Purpose</w:t>
            </w:r>
          </w:p>
        </w:tc>
      </w:tr>
      <w:tr>
        <w:tc>
          <w:tcPr>
            <w:tcW w:type="dxa" w:w="2818"/>
            <w:tcMar>
              <w:top w:type="dxa" w:w="60"/>
              <w:left w:type="dxa" w:w="100"/>
              <w:bottom w:type="dxa" w:w="60"/>
              <w:right w:type="dxa" w:w="100"/>
            </w:tcMar>
          </w:tcPr>
          <w:p>
            <w:r>
              <w:rPr>
                <w:b w:val="false"/>
                <w:bCs w:val="false"/>
              </w:rPr>
              <w:t xml:space="preserve">F.ACCOUNT.RETAIL.CU.ACCT</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Opened; used for the short-account-number resolution attempt (though blocked in practice by the §8 bug)</w:t>
            </w:r>
          </w:p>
        </w:tc>
      </w:tr>
      <w:tr>
        <w:tc>
          <w:tcPr>
            <w:tcW w:type="dxa" w:w="2818"/>
            <w:tcMar>
              <w:top w:type="dxa" w:w="60"/>
              <w:left w:type="dxa" w:w="100"/>
              <w:bottom w:type="dxa" w:w="60"/>
              <w:right w:type="dxa" w:w="100"/>
            </w:tcMar>
          </w:tcPr>
          <w:p>
            <w:r>
              <w:rPr>
                <w:b w:val="false"/>
                <w:bCs w:val="false"/>
              </w:rPr>
              <w:t xml:space="preserve">F.COMPANY</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Opened, no clear reference found in the reviewed logic</w:t>
            </w:r>
          </w:p>
        </w:tc>
      </w:tr>
      <w:tr>
        <w:tc>
          <w:tcPr>
            <w:tcW w:type="dxa" w:w="2818"/>
            <w:tcMar>
              <w:top w:type="dxa" w:w="60"/>
              <w:left w:type="dxa" w:w="100"/>
              <w:bottom w:type="dxa" w:w="60"/>
              <w:right w:type="dxa" w:w="100"/>
            </w:tcMar>
          </w:tcPr>
          <w:p>
            <w:r>
              <w:rPr>
                <w:b w:val="false"/>
                <w:bCs w:val="false"/>
              </w:rPr>
              <w:t xml:space="preserve">FBNK.NOSTRO.ACC</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Opened, no clear reference found in the reviewed logic</w:t>
            </w:r>
          </w:p>
        </w:tc>
      </w:tr>
      <w:tr>
        <w:tc>
          <w:tcPr>
            <w:tcW w:type="dxa" w:w="2818"/>
            <w:tcMar>
              <w:top w:type="dxa" w:w="60"/>
              <w:left w:type="dxa" w:w="100"/>
              <w:bottom w:type="dxa" w:w="60"/>
              <w:right w:type="dxa" w:w="100"/>
            </w:tcMar>
          </w:tcPr>
          <w:p>
            <w:r>
              <w:rPr>
                <w:b w:val="false"/>
                <w:bCs w:val="false"/>
              </w:rPr>
              <w:t xml:space="preserve">F.ACCOUNT</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Debit account currency lookup</w:t>
            </w:r>
          </w:p>
        </w:tc>
      </w:tr>
      <w:tr>
        <w:tc>
          <w:tcPr>
            <w:tcW w:type="dxa" w:w="2818"/>
            <w:tcMar>
              <w:top w:type="dxa" w:w="60"/>
              <w:left w:type="dxa" w:w="100"/>
              <w:bottom w:type="dxa" w:w="60"/>
              <w:right w:type="dxa" w:w="100"/>
            </w:tcMar>
          </w:tcPr>
          <w:p>
            <w:r>
              <w:rPr>
                <w:b w:val="false"/>
                <w:bCs w:val="false"/>
              </w:rPr>
              <w:t xml:space="preserve">F.CURRENCY</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Opened; only actually used inside GET.EQ.AMOUNT.BUY.RATE, a subroutine that is never called anywhere in this routine (dead code)</w:t>
            </w:r>
          </w:p>
        </w:tc>
      </w:tr>
      <w:tr>
        <w:tc>
          <w:tcPr>
            <w:tcW w:type="dxa" w:w="2818"/>
            <w:tcMar>
              <w:top w:type="dxa" w:w="60"/>
              <w:left w:type="dxa" w:w="100"/>
              <w:bottom w:type="dxa" w:w="60"/>
              <w:right w:type="dxa" w:w="100"/>
            </w:tcMar>
          </w:tcPr>
          <w:p>
            <w:r>
              <w:rPr>
                <w:b w:val="false"/>
                <w:bCs w:val="false"/>
              </w:rPr>
              <w:t xml:space="preserve">FBNK.FUNDS.TRANSFER</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Fallback read for OVERRIDE text if the NAU record isn't found</w:t>
            </w:r>
          </w:p>
        </w:tc>
      </w:tr>
      <w:tr>
        <w:tc>
          <w:tcPr>
            <w:tcW w:type="dxa" w:w="2818"/>
            <w:tcMar>
              <w:top w:type="dxa" w:w="60"/>
              <w:left w:type="dxa" w:w="100"/>
              <w:bottom w:type="dxa" w:w="60"/>
              <w:right w:type="dxa" w:w="100"/>
            </w:tcMar>
          </w:tcPr>
          <w:p>
            <w:r>
              <w:rPr>
                <w:b w:val="false"/>
                <w:bCs w:val="false"/>
              </w:rPr>
              <w:t xml:space="preserve">FBNK.FUNDS.TRANSFER$NAU</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Primary target record read — old customer rate, hold amount, BK.TO.BK.OUT merge source, post-posting OVERRIDE text, and the rate-change comparison</w:t>
            </w:r>
          </w:p>
        </w:tc>
      </w:tr>
    </w:tbl>
    <w:p>
      <w:pPr>
        <w:pStyle w:val="Heading1"/>
        <w:pBdr>
          <w:bottom w:val="single" w:color="2E5395" w:sz="6" w:space="4"/>
        </w:pBdr>
        <w:spacing w:after="150" w:before="300"/>
      </w:pPr>
      <w:r>
        <w:t xml:space="preserve">3. What This Routine Does NOT Have (vs. Create Outward Transfer)</w:t>
      </w:r>
    </w:p>
    <w:p>
      <w:pPr>
        <w:spacing w:after="120"/>
      </w:pPr>
      <w:r>
        <w:rPr>
          <w:color w:val="C00000"/>
        </w:rPr>
        <w:t xml:space="preserve">Compared to CIB.OT.FT (Document 01), this routine has no equivalent of:</w:t>
      </w:r>
    </w:p>
    <w:p>
      <w:pPr>
        <w:pStyle w:val="ListParagraph"/>
        <w:numPr>
          <w:ilvl w:val="0"/>
          <w:numId w:val="1"/>
        </w:numPr>
        <w:spacing w:after="60"/>
      </w:pPr>
      <w:r>
        <w:t xml:space="preserve">A channel/transaction-type restriction check (no call to CIB.API.VALIDATE.FT or similar)</w:t>
      </w:r>
    </w:p>
    <w:p>
      <w:pPr>
        <w:pStyle w:val="ListParagraph"/>
        <w:numPr>
          <w:ilvl w:val="0"/>
          <w:numId w:val="1"/>
        </w:numPr>
        <w:spacing w:after="60"/>
      </w:pPr>
      <w:r>
        <w:t xml:space="preserve">Business Banking industry-based posting restrictions (no CIB.API.OVERRIDE or ST.CIB.FI.FT.PARAM lookups)</w:t>
      </w:r>
    </w:p>
    <w:p>
      <w:pPr>
        <w:pStyle w:val="ListParagraph"/>
        <w:numPr>
          <w:ilvl w:val="0"/>
          <w:numId w:val="1"/>
        </w:numPr>
        <w:spacing w:after="60"/>
      </w:pPr>
      <w:r>
        <w:t xml:space="preserve">Idempotency / duplicate-message protection (no CIB.API.FT audit log, no MSG.ID replay handling)</w:t>
      </w:r>
    </w:p>
    <w:p>
      <w:pPr>
        <w:pStyle w:val="ListParagraph"/>
        <w:numPr>
          <w:ilvl w:val="0"/>
          <w:numId w:val="1"/>
        </w:numPr>
        <w:spacing w:after="60"/>
      </w:pPr>
      <w:r>
        <w:t xml:space="preserve">A BB.MCP-specific dry-run overdraft check</w:t>
      </w:r>
    </w:p>
    <w:p>
      <w:pPr>
        <w:pStyle w:val="ListParagraph"/>
        <w:numPr>
          <w:ilvl w:val="0"/>
          <w:numId w:val="1"/>
        </w:numPr>
        <w:spacing w:after="60"/>
      </w:pPr>
      <w:r>
        <w:t xml:space="preserve">Auto-authorization after posting (no call to CIB.MSG.AUTHORIZE.SC)</w:t>
      </w:r>
    </w:p>
    <w:p>
      <w:pPr>
        <w:pStyle w:val="ListParagraph"/>
        <w:numPr>
          <w:ilvl w:val="0"/>
          <w:numId w:val="1"/>
        </w:numPr>
        <w:spacing w:after="60"/>
      </w:pPr>
      <w:r>
        <w:t xml:space="preserve">SMS/online-transfer notification logging (no CIB.ONLINE.FTS / CIB.CHECK.SMS.RUN)</w:t>
      </w:r>
    </w:p>
    <w:p>
      <w:pPr>
        <w:spacing w:after="120"/>
      </w:pPr>
      <w:r>
        <w:rPr>
          <w:color w:val="C00000"/>
        </w:rPr>
        <w:t xml:space="preserve">This is a material finding for the migration team: if any of these controls are expected to also apply when a transfer is amended (not just when it's created), they are not currently enforced anywhere in this code path, and a decision is needed on whether the TPH/IRIS design should add them or knowingly preserve the current (narrower) control scope for amendments.</w:t>
      </w:r>
    </w:p>
    <w:p>
      <w:pPr>
        <w:pStyle w:val="Heading1"/>
        <w:pBdr>
          <w:bottom w:val="single" w:color="2E5395" w:sz="6" w:space="4"/>
        </w:pBdr>
        <w:spacing w:after="150" w:before="300"/>
      </w:pPr>
      <w:r>
        <w:t xml:space="preserve">4. Validations &amp; Business Rules</w:t>
      </w:r>
    </w:p>
    <w:p>
      <w:pPr>
        <w:pStyle w:val="Heading2"/>
        <w:spacing w:after="120" w:before="260"/>
      </w:pPr>
      <w:r>
        <w:t xml:space="preserve">4.1 Available Balance Check (With Existing Hold Add-Back)</w:t>
      </w:r>
    </w:p>
    <w:p>
      <w:pPr>
        <w:pStyle w:val="ListParagraph"/>
        <w:numPr>
          <w:ilvl w:val="0"/>
          <w:numId w:val="1"/>
        </w:numPr>
        <w:spacing w:after="60"/>
      </w:pPr>
      <w:r>
        <w:t xml:space="preserve">Computes available balance via GET.NET.AVL.BL, same as Create Outward Transfer.</w:t>
      </w:r>
    </w:p>
    <w:p>
      <w:pPr>
        <w:pStyle w:val="ListParagraph"/>
        <w:numPr>
          <w:ilvl w:val="0"/>
          <w:numId w:val="1"/>
        </w:numPr>
        <w:spacing w:after="60"/>
      </w:pPr>
      <w:r>
        <w:t xml:space="preserve">Unique to this routine: reads the existing (pre-amendment) hold amount from the FT record being amended (FT.AMOUNT.DEBITED) and adds it back to the available balance before comparing against the new amount — correctly accounting for the fact that the original transfer amount is already reserved and shouldn't be double-counted as unavailable.</w:t>
      </w:r>
    </w:p>
    <w:p>
      <w:pPr>
        <w:pStyle w:val="ListParagraph"/>
        <w:numPr>
          <w:ilvl w:val="0"/>
          <w:numId w:val="1"/>
        </w:numPr>
        <w:spacing w:after="60"/>
      </w:pPr>
      <w:r>
        <w:t xml:space="preserve">Converts currency via EXCHRATE if the deal currency differs from the debit account's currency.</w:t>
      </w:r>
    </w:p>
    <w:p>
      <w:pPr>
        <w:pStyle w:val="ListParagraph"/>
        <w:numPr>
          <w:ilvl w:val="0"/>
          <w:numId w:val="1"/>
        </w:numPr>
        <w:spacing w:after="60"/>
      </w:pPr>
      <w:r>
        <w:t xml:space="preserve">Proceeds only if available balance (with hold added back) covers the amount, or OD.TYPE='Y'; otherwise returns 0006 with an insufficient-balance message.</w:t>
      </w:r>
    </w:p>
    <w:p>
      <w:pPr>
        <w:pStyle w:val="Heading2"/>
        <w:spacing w:after="120" w:before="260"/>
      </w:pPr>
      <w:r>
        <w:t xml:space="preserve">4.2 Account-Format-Driven Overdraft Flag (OD.FLAG) — Appears Unused</w:t>
      </w:r>
    </w:p>
    <w:p>
      <w:pPr>
        <w:pStyle w:val="ListParagraph"/>
        <w:numPr>
          <w:ilvl w:val="0"/>
          <w:numId w:val="1"/>
        </w:numPr>
        <w:spacing w:after="60"/>
      </w:pPr>
      <w:r>
        <w:t xml:space="preserve">Sets a local OD.FLAG='Y' if the debit account number's length is neither exactly 10 nor exactly 12 characters.</w:t>
      </w:r>
    </w:p>
    <w:p>
      <w:pPr>
        <w:spacing w:after="120"/>
      </w:pPr>
      <w:r>
        <w:rPr>
          <w:i/>
          <w:iCs/>
        </w:rPr>
        <w:t xml:space="preserve">This computed OD.FLAG is never referenced anywhere afterward in the routine — the actual balance-check gate uses OD.TYPE (the raw input field), not OD.FLAG. This appears to be more dead/incomplete code, worth flagging rather than assuming it has a hidden effect.</w:t>
      </w:r>
    </w:p>
    <w:p>
      <w:pPr>
        <w:pStyle w:val="Heading2"/>
        <w:spacing w:after="120" w:before="260"/>
      </w:pPr>
      <w:r>
        <w:t xml:space="preserve">4.3 IBAN Resolution With Explicit Clearing</w:t>
      </w:r>
    </w:p>
    <w:p>
      <w:pPr>
        <w:pStyle w:val="ListParagraph"/>
        <w:numPr>
          <w:ilvl w:val="0"/>
          <w:numId w:val="1"/>
        </w:numPr>
        <w:spacing w:after="60"/>
      </w:pPr>
      <w:r>
        <w:t xml:space="preserve">If the beneficiary account is exactly 29 characters, it's validated as an IBAN.</w:t>
      </w:r>
    </w:p>
    <w:p>
      <w:pPr>
        <w:pStyle w:val="ListParagraph"/>
        <w:numPr>
          <w:ilvl w:val="0"/>
          <w:numId w:val="1"/>
        </w:numPr>
        <w:spacing w:after="60"/>
      </w:pPr>
      <w:r>
        <w:t xml:space="preserve">Unlike Create Outward Transfer, this routine explicitly posts the literal value 'NULL' for whichever of IBAN.BEN / BEN.ACCT.NO is NOT the one being used — appropriate for an amendment, where a previous value in that field on the existing record needs to be actively cleared, not just left alone.</w:t>
      </w:r>
    </w:p>
    <w:p>
      <w:pPr>
        <w:pStyle w:val="Heading2"/>
        <w:spacing w:after="120" w:before="260"/>
      </w:pPr>
      <w:r>
        <w:t xml:space="preserve">4.4 Commission Code — Two-Layer Default Logic (Distinct From Create Outward Transfer)</w:t>
      </w:r>
    </w:p>
    <w:p>
      <w:pPr>
        <w:pStyle w:val="ListParagraph"/>
        <w:numPr>
          <w:ilvl w:val="0"/>
          <w:numId w:val="1"/>
        </w:numPr>
        <w:spacing w:after="60"/>
      </w:pPr>
      <w:r>
        <w:t xml:space="preserve">Layer 1 (unique to this routine): if COMMISSION.TYPE is blank, AND the resulting COMMISSION.CODE would be 'DEBIT PLUS CHARGES', AND the debit account number is longer than 12 characters, the commission code is overridden to 'WAIVE' — automatically waiving commission entirely for this account-format/no-commission-type combination.</w:t>
      </w:r>
    </w:p>
    <w:p>
      <w:pPr>
        <w:pStyle w:val="ListParagraph"/>
        <w:numPr>
          <w:ilvl w:val="0"/>
          <w:numId w:val="1"/>
        </w:numPr>
        <w:spacing w:after="60"/>
      </w:pPr>
      <w:r>
        <w:t xml:space="preserve">Layer 2 (same 3-way rule as Create Outward Transfer): if COMMISSION.CODE is still blank, default from BEN.OUR.CHARGES — OUR/SHA → 'DEBIT PLUS CHARGES', BEN → 'CREDIT LESS CHARGES'.</w:t>
      </w:r>
    </w:p>
    <w:p>
      <w:pPr>
        <w:spacing w:after="120"/>
      </w:pPr>
      <w:r>
        <w:rPr>
          <w:color w:val="C00000"/>
        </w:rPr>
        <w:t xml:space="preserve">The WAIVE auto-rule in Layer 1 does not exist anywhere in Create Outward Transfer — confirm with Product/Fees whether this is an intentional amend-specific concession or should be reviewed.</w:t>
      </w:r>
    </w:p>
    <w:p>
      <w:pPr>
        <w:pStyle w:val="Heading2"/>
        <w:spacing w:after="120" w:before="260"/>
      </w:pPr>
      <w:r>
        <w:t xml:space="preserve">4.5 Two-Stage Amendment: Main Fields, Then a Separate Rate-Only Correction</w:t>
      </w:r>
    </w:p>
    <w:p>
      <w:pPr>
        <w:pStyle w:val="ListParagraph"/>
        <w:numPr>
          <w:ilvl w:val="0"/>
          <w:numId w:val="1"/>
        </w:numPr>
        <w:spacing w:after="60"/>
      </w:pPr>
      <w:r>
        <w:t xml:space="preserve">After the main amendment posts successfully, the routine re-reads the record's customer rate and compares it to what was submitted.</w:t>
      </w:r>
    </w:p>
    <w:p>
      <w:pPr>
        <w:pStyle w:val="ListParagraph"/>
        <w:numPr>
          <w:ilvl w:val="0"/>
          <w:numId w:val="1"/>
        </w:numPr>
        <w:spacing w:after="60"/>
      </w:pPr>
      <w:r>
        <w:t xml:space="preserve">If they differ (and it isn't simply a NULL-vs-blank non-difference), a SEPARATE OFS call is fired — using a different OFS source ID ('CIB.API' rather than 'CIB.STP') — whose only purpose is to correct CUSTOMER.RATE on the record.</w:t>
      </w:r>
    </w:p>
    <w:p>
      <w:pPr>
        <w:spacing w:after="120"/>
      </w:pPr>
      <w:r>
        <w:rPr>
          <w:color w:val="C00000"/>
        </w:rPr>
        <w:t xml:space="preserve">This means a single logical 'amend' from the channel's point of view can result in TWO separate OFS posting calls against the same T24 record. Both calls, and their distinct OFS source IDs, need to be accounted for in the TPH/IRIS design — a single-call orchestration would not be equivalent.</w:t>
      </w:r>
    </w:p>
    <w:p>
      <w:pPr>
        <w:pStyle w:val="Heading2"/>
        <w:spacing w:after="120" w:before="260"/>
      </w:pPr>
      <w:r>
        <w:t xml:space="preserve">4.6 Charges Account Auto-Clear for Beneficiary-Borne Charges</w:t>
      </w:r>
    </w:p>
    <w:p>
      <w:pPr>
        <w:pStyle w:val="ListParagraph"/>
        <w:numPr>
          <w:ilvl w:val="0"/>
          <w:numId w:val="1"/>
        </w:numPr>
        <w:spacing w:after="60"/>
      </w:pPr>
      <w:r>
        <w:t xml:space="preserve">If BEN.OUR.CHARGES = 'BEN' (beneficiary bears all charges), CHRG.ACCT.NO is forced to the literal 'NULL' regardless of what was submitted — a rule not present in Create Outward Transfer.</w:t>
      </w:r>
    </w:p>
    <w:p>
      <w:pPr>
        <w:pStyle w:val="Heading2"/>
        <w:spacing w:after="120" w:before="260"/>
      </w:pPr>
      <w:r>
        <w:t xml:space="preserve">4.7 Routine-Specific Character Escaping</w:t>
      </w:r>
    </w:p>
    <w:p>
      <w:pPr>
        <w:pStyle w:val="ListParagraph"/>
        <w:numPr>
          <w:ilvl w:val="0"/>
          <w:numId w:val="1"/>
        </w:numPr>
        <w:spacing w:after="60"/>
      </w:pPr>
      <w:r>
        <w:t xml:space="preserve">PAYMENT.DETAILS specifically is put through its own character-substitution scheme in this routine (/, comma, single quote, double quote, and parentheses each mapped to distinct substitute characters) — different from both the routine-wide sanitization applied to I.PARAM as a whole, and from how Create Outward Transfer handles this same field.</w:t>
      </w:r>
    </w:p>
    <w:p>
      <w:pPr>
        <w:pStyle w:val="Heading1"/>
        <w:pBdr>
          <w:bottom w:val="single" w:color="2E5395" w:sz="6" w:space="4"/>
        </w:pBdr>
        <w:spacing w:after="150" w:before="300"/>
      </w:pPr>
      <w:r>
        <w:t xml:space="preserve">5. Response Contract</w:t>
      </w:r>
    </w:p>
    <w:p>
      <w:pPr>
        <w:spacing w:after="120"/>
      </w:pPr>
      <w:r>
        <w:t xml:space="preserve">Format: HEADER.ID|STATUS|FT.ID|OFSRECORD|PAID.AMOUNT|OVERRIDE|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2E5395" w:val="clear"/>
            <w:tcMar>
              <w:top w:type="dxa" w:w="80"/>
              <w:left w:type="dxa" w:w="100"/>
              <w:bottom w:type="dxa" w:w="80"/>
              <w:right w:type="dxa" w:w="100"/>
            </w:tcMar>
          </w:tcPr>
          <w:p>
            <w:r>
              <w:rPr>
                <w:b/>
                <w:bCs/>
                <w:color w:val="FFFFFF"/>
              </w:rPr>
              <w:t xml:space="preserve">Status Code</w:t>
            </w:r>
          </w:p>
        </w:tc>
        <w:tc>
          <w:tcPr>
            <w:tcW w:type="dxa" w:w="7301"/>
            <w:shd w:fill="2E5395" w:val="clear"/>
            <w:tcMar>
              <w:top w:type="dxa" w:w="80"/>
              <w:left w:type="dxa" w:w="100"/>
              <w:bottom w:type="dxa" w:w="80"/>
              <w:right w:type="dxa" w:w="100"/>
            </w:tcMar>
          </w:tcPr>
          <w:p>
            <w:r>
              <w:rPr>
                <w:b/>
                <w:bCs/>
                <w:color w:val="FFFFFF"/>
              </w:rPr>
              <w:t xml:space="preserve">Meaning</w:t>
            </w:r>
          </w:p>
        </w:tc>
      </w:tr>
      <w:tr>
        <w:tc>
          <w:tcPr>
            <w:tcW w:type="dxa" w:w="2059"/>
            <w:tcMar>
              <w:top w:type="dxa" w:w="60"/>
              <w:left w:type="dxa" w:w="100"/>
              <w:bottom w:type="dxa" w:w="60"/>
              <w:right w:type="dxa" w:w="100"/>
            </w:tcMar>
          </w:tcPr>
          <w:p>
            <w:r>
              <w:rPr>
                <w:b w:val="false"/>
                <w:bCs w:val="false"/>
              </w:rPr>
              <w:t xml:space="preserve">0000</w:t>
            </w:r>
          </w:p>
        </w:tc>
        <w:tc>
          <w:tcPr>
            <w:tcW w:type="dxa" w:w="7301"/>
            <w:tcMar>
              <w:top w:type="dxa" w:w="60"/>
              <w:left w:type="dxa" w:w="100"/>
              <w:bottom w:type="dxa" w:w="60"/>
              <w:right w:type="dxa" w:w="100"/>
            </w:tcMar>
          </w:tcPr>
          <w:p>
            <w:r>
              <w:rPr>
                <w:b w:val="false"/>
                <w:bCs w:val="false"/>
              </w:rPr>
              <w:t xml:space="preserve">Success — OFS amendment posted</w:t>
            </w:r>
          </w:p>
        </w:tc>
      </w:tr>
      <w:tr>
        <w:tc>
          <w:tcPr>
            <w:tcW w:type="dxa" w:w="2059"/>
            <w:tcMar>
              <w:top w:type="dxa" w:w="60"/>
              <w:left w:type="dxa" w:w="100"/>
              <w:bottom w:type="dxa" w:w="60"/>
              <w:right w:type="dxa" w:w="100"/>
            </w:tcMar>
          </w:tcPr>
          <w:p>
            <w:r>
              <w:rPr>
                <w:b w:val="false"/>
                <w:bCs w:val="false"/>
              </w:rPr>
              <w:t xml:space="preserve">0006</w:t>
            </w:r>
          </w:p>
        </w:tc>
        <w:tc>
          <w:tcPr>
            <w:tcW w:type="dxa" w:w="7301"/>
            <w:tcMar>
              <w:top w:type="dxa" w:w="60"/>
              <w:left w:type="dxa" w:w="100"/>
              <w:bottom w:type="dxa" w:w="60"/>
              <w:right w:type="dxa" w:w="100"/>
            </w:tcMar>
          </w:tcPr>
          <w:p>
            <w:r>
              <w:rPr>
                <w:b w:val="false"/>
                <w:bCs w:val="false"/>
              </w:rPr>
              <w:t xml:space="preserve">Failure — either insufficient balance, or the OFS post itself was rejected</w:t>
            </w:r>
          </w:p>
        </w:tc>
      </w:tr>
    </w:tbl>
    <w:p>
      <w:pPr>
        <w:spacing w:after="120"/>
      </w:pPr>
      <w:r>
        <w:rPr>
          <w:i/>
          <w:iCs/>
        </w:rPr>
        <w:t xml:space="preserve">Only two status codes appear in this routine — no equivalents of Create Outward Transfer's 3003 (posting restriction) or 0011 (Business Banking overdraft) exist here, consistent with §3's finding that this routine lacks those control layers entirely.</w:t>
      </w:r>
    </w:p>
    <w:p>
      <w:pPr>
        <w:pStyle w:val="Heading1"/>
        <w:pBdr>
          <w:bottom w:val="single" w:color="2E5395" w:sz="6" w:space="4"/>
        </w:pBdr>
        <w:spacing w:after="150" w:before="300"/>
      </w:pPr>
      <w:r>
        <w:t xml:space="preserve">6. Config Tables This Routine Depends On</w:t>
      </w:r>
    </w:p>
    <w:p>
      <w:pPr>
        <w:spacing w:after="120"/>
      </w:pPr>
      <w:r>
        <w:rPr>
          <w:i/>
          <w:iCs/>
        </w:rPr>
        <w:t xml:space="preserve">None. Unlike CIB.OT.FT and CIB.SIMULATE.CALC.FT, this routine reads no CIB-specific configuration tables at all (no CIB.API.OVERRIDE, no ST.CIB.FI.FT.PARAM, no CIB.MSG.CONFIG, no CIB.API.CONFIG.XML) — all its behavior is hardcoded directly in this one routine, which is consistent with it having no per-channel/per-service configurability.</w:t>
      </w:r>
    </w:p>
    <w:p>
      <w:pPr>
        <w:pStyle w:val="Heading1"/>
        <w:pBdr>
          <w:bottom w:val="single" w:color="2E5395" w:sz="6" w:space="4"/>
        </w:pBdr>
        <w:spacing w:after="150" w:before="300"/>
      </w:pPr>
      <w:r>
        <w:t xml:space="preserve">7. External Routines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2E5395" w:val="clear"/>
            <w:tcMar>
              <w:top w:type="dxa" w:w="80"/>
              <w:left w:type="dxa" w:w="100"/>
              <w:bottom w:type="dxa" w:w="80"/>
              <w:right w:type="dxa" w:w="100"/>
            </w:tcMar>
          </w:tcPr>
          <w:p>
            <w:r>
              <w:rPr>
                <w:b/>
                <w:bCs/>
                <w:color w:val="FFFFFF"/>
              </w:rPr>
              <w:t xml:space="preserve">Routine</w:t>
            </w:r>
          </w:p>
        </w:tc>
        <w:tc>
          <w:tcPr>
            <w:tcW w:type="dxa" w:w="6178"/>
            <w:shd w:fill="2E5395" w:val="clear"/>
            <w:tcMar>
              <w:top w:type="dxa" w:w="80"/>
              <w:left w:type="dxa" w:w="100"/>
              <w:bottom w:type="dxa" w:w="80"/>
              <w:right w:type="dxa" w:w="100"/>
            </w:tcMar>
          </w:tcPr>
          <w:p>
            <w:r>
              <w:rPr>
                <w:b/>
                <w:bCs/>
                <w:color w:val="FFFFFF"/>
              </w:rPr>
              <w:t xml:space="preserve">Purpose</w:t>
            </w:r>
          </w:p>
        </w:tc>
      </w:tr>
      <w:tr>
        <w:tc>
          <w:tcPr>
            <w:tcW w:type="dxa" w:w="3182"/>
            <w:tcMar>
              <w:top w:type="dxa" w:w="60"/>
              <w:left w:type="dxa" w:w="100"/>
              <w:bottom w:type="dxa" w:w="60"/>
              <w:right w:type="dxa" w:w="100"/>
            </w:tcMar>
          </w:tcPr>
          <w:p>
            <w:r>
              <w:rPr>
                <w:b w:val="false"/>
                <w:bCs w:val="false"/>
              </w:rPr>
              <w:t xml:space="preserve">GET.NET.AVL.BL</w:t>
            </w:r>
          </w:p>
        </w:tc>
        <w:tc>
          <w:tcPr>
            <w:tcW w:type="dxa" w:w="6178"/>
            <w:tcMar>
              <w:top w:type="dxa" w:w="60"/>
              <w:left w:type="dxa" w:w="100"/>
              <w:bottom w:type="dxa" w:w="60"/>
              <w:right w:type="dxa" w:w="100"/>
            </w:tcMar>
          </w:tcPr>
          <w:p>
            <w:r>
              <w:rPr>
                <w:b w:val="false"/>
                <w:bCs w:val="false"/>
              </w:rPr>
              <w:t xml:space="preserve">T24-side balance computation — same call as Create Outward Transfer</w:t>
            </w:r>
          </w:p>
        </w:tc>
      </w:tr>
      <w:tr>
        <w:tc>
          <w:tcPr>
            <w:tcW w:type="dxa" w:w="3182"/>
            <w:tcMar>
              <w:top w:type="dxa" w:w="60"/>
              <w:left w:type="dxa" w:w="100"/>
              <w:bottom w:type="dxa" w:w="60"/>
              <w:right w:type="dxa" w:w="100"/>
            </w:tcMar>
          </w:tcPr>
          <w:p>
            <w:r>
              <w:rPr>
                <w:b w:val="false"/>
                <w:bCs w:val="false"/>
              </w:rPr>
              <w:t xml:space="preserve">CIB.MT.MX</w:t>
            </w:r>
          </w:p>
        </w:tc>
        <w:tc>
          <w:tcPr>
            <w:tcW w:type="dxa" w:w="6178"/>
            <w:tcMar>
              <w:top w:type="dxa" w:w="60"/>
              <w:left w:type="dxa" w:w="100"/>
              <w:bottom w:type="dxa" w:w="60"/>
              <w:right w:type="dxa" w:w="100"/>
            </w:tcMar>
          </w:tcPr>
          <w:p>
            <w:r>
              <w:rPr>
                <w:b w:val="false"/>
                <w:bCs w:val="false"/>
              </w:rPr>
              <w:t xml:space="preserve">Custom — SWIFT MT→MX name transliteration for non-EGP transfers</w:t>
            </w:r>
          </w:p>
        </w:tc>
      </w:tr>
      <w:tr>
        <w:tc>
          <w:tcPr>
            <w:tcW w:type="dxa" w:w="3182"/>
            <w:tcMar>
              <w:top w:type="dxa" w:w="60"/>
              <w:left w:type="dxa" w:w="100"/>
              <w:bottom w:type="dxa" w:w="60"/>
              <w:right w:type="dxa" w:w="100"/>
            </w:tcMar>
          </w:tcPr>
          <w:p>
            <w:r>
              <w:rPr>
                <w:b w:val="false"/>
                <w:bCs w:val="false"/>
              </w:rPr>
              <w:t xml:space="preserve">IBANService.ValidateIBAN</w:t>
            </w:r>
          </w:p>
        </w:tc>
        <w:tc>
          <w:tcPr>
            <w:tcW w:type="dxa" w:w="6178"/>
            <w:tcMar>
              <w:top w:type="dxa" w:w="60"/>
              <w:left w:type="dxa" w:w="100"/>
              <w:bottom w:type="dxa" w:w="60"/>
              <w:right w:type="dxa" w:w="100"/>
            </w:tcMar>
          </w:tcPr>
          <w:p>
            <w:r>
              <w:rPr>
                <w:b w:val="false"/>
                <w:bCs w:val="false"/>
              </w:rPr>
              <w:t xml:space="preserve">T24 standard IBAN validation</w:t>
            </w:r>
          </w:p>
        </w:tc>
      </w:tr>
      <w:tr>
        <w:tc>
          <w:tcPr>
            <w:tcW w:type="dxa" w:w="3182"/>
            <w:tcMar>
              <w:top w:type="dxa" w:w="60"/>
              <w:left w:type="dxa" w:w="100"/>
              <w:bottom w:type="dxa" w:w="60"/>
              <w:right w:type="dxa" w:w="100"/>
            </w:tcMar>
          </w:tcPr>
          <w:p>
            <w:r>
              <w:rPr>
                <w:b w:val="false"/>
                <w:bCs w:val="false"/>
              </w:rPr>
              <w:t xml:space="preserve">EXCHRATE</w:t>
            </w:r>
          </w:p>
        </w:tc>
        <w:tc>
          <w:tcPr>
            <w:tcW w:type="dxa" w:w="6178"/>
            <w:tcMar>
              <w:top w:type="dxa" w:w="60"/>
              <w:left w:type="dxa" w:w="100"/>
              <w:bottom w:type="dxa" w:w="60"/>
              <w:right w:type="dxa" w:w="100"/>
            </w:tcMar>
          </w:tcPr>
          <w:p>
            <w:r>
              <w:rPr>
                <w:b w:val="false"/>
                <w:bCs w:val="false"/>
              </w:rPr>
              <w:t xml:space="preserve">T24 standard currency conversion (via GET.EQ.AMOUNT)</w:t>
            </w:r>
          </w:p>
        </w:tc>
      </w:tr>
      <w:tr>
        <w:tc>
          <w:tcPr>
            <w:tcW w:type="dxa" w:w="3182"/>
            <w:tcMar>
              <w:top w:type="dxa" w:w="60"/>
              <w:left w:type="dxa" w:w="100"/>
              <w:bottom w:type="dxa" w:w="60"/>
              <w:right w:type="dxa" w:w="100"/>
            </w:tcMar>
          </w:tcPr>
          <w:p>
            <w:r>
              <w:rPr>
                <w:b w:val="false"/>
                <w:bCs w:val="false"/>
              </w:rPr>
              <w:t xml:space="preserve">OFS.INITIALISE.SOURCE / OFS.BULK.MANAGER</w:t>
            </w:r>
          </w:p>
        </w:tc>
        <w:tc>
          <w:tcPr>
            <w:tcW w:type="dxa" w:w="6178"/>
            <w:tcMar>
              <w:top w:type="dxa" w:w="60"/>
              <w:left w:type="dxa" w:w="100"/>
              <w:bottom w:type="dxa" w:w="60"/>
              <w:right w:type="dxa" w:w="100"/>
            </w:tcMar>
          </w:tcPr>
          <w:p>
            <w:r>
              <w:rPr>
                <w:b w:val="false"/>
                <w:bCs w:val="false"/>
              </w:rPr>
              <w:t xml:space="preserve">T24 standard OFS posting mechanism — called TWICE in a full amend: once for the main field update (source 'CIB.STP'), and conditionally again for a rate-only update (source 'CIB.API', see §5.5)</w:t>
            </w:r>
          </w:p>
        </w:tc>
      </w:tr>
    </w:tbl>
    <w:p>
      <w:pPr>
        <w:pStyle w:val="Heading1"/>
        <w:pBdr>
          <w:bottom w:val="single" w:color="2E5395" w:sz="6" w:space="4"/>
        </w:pBdr>
        <w:spacing w:after="150" w:before="300"/>
      </w:pPr>
      <w:r>
        <w:t xml:space="preserve">8. Recommended TPH/IRIS Migration Checklist for This Service</w:t>
      </w:r>
    </w:p>
    <w:p>
      <w:pPr>
        <w:spacing w:after="80"/>
      </w:pPr>
      <w:r>
        <w:t xml:space="preserve">☐  BLOCKING — Resolve Critical Finding #1 (§ before §2A): confirm with the live T24 team exactly how/whether the debit account number is being correctly populated today, before treating this routine's debit-account logic as a reliable spec.</w:t>
      </w:r>
    </w:p>
    <w:p>
      <w:pPr>
        <w:spacing w:after="80"/>
      </w:pPr>
      <w:r>
        <w:t xml:space="preserve">☐  Fix or consciously drop the PROFIT.CNTR copy-paste bug (Finding #2) rather than porting it silently.</w:t>
      </w:r>
    </w:p>
    <w:p>
      <w:pPr>
        <w:spacing w:after="80"/>
      </w:pPr>
      <w:r>
        <w:t xml:space="preserve">☐  Decide whether the control-layer gaps in §3 (no restriction check, no idempotency, no auto-auth, no SMS trigger) should be added for the TPH/IRIS Amend endpoint, or whether the current narrower scope is intentional and should be preserved.</w:t>
      </w:r>
    </w:p>
    <w:p>
      <w:pPr>
        <w:spacing w:after="80"/>
      </w:pPr>
      <w:r>
        <w:t xml:space="preserve">☐  Reproduce the balance check's hold-amount add-back logic (§4.1) — this is specific to amend and easy to miss if the balance check is copied from the Create service without adjustment.</w:t>
      </w:r>
    </w:p>
    <w:p>
      <w:pPr>
        <w:spacing w:after="80"/>
      </w:pPr>
      <w:r>
        <w:t xml:space="preserve">☐  Reproduce the explicit-NULL-clearing behavior for IBAN/BEN.ACCT.NO and CHRG.ACCT.NO (§4.3, §4.6) — an amend needs to actively clear stale values, not just omit new ones.</w:t>
      </w:r>
    </w:p>
    <w:p>
      <w:pPr>
        <w:spacing w:after="80"/>
      </w:pPr>
      <w:r>
        <w:t xml:space="preserve">☐  Reproduce the two-layer commission-code default logic including the WAIVE auto-rule (§4.4), and confirm with Product/Fees whether the WAIVE rule is intentional.</w:t>
      </w:r>
    </w:p>
    <w:p>
      <w:pPr>
        <w:spacing w:after="80"/>
      </w:pPr>
      <w:r>
        <w:t xml:space="preserve">☐  Reproduce the two-stage posting behavior (§4.5) — main amendment plus a conditional separate rate-correction call — including whichever distinct routing/source behavior 'CIB.API' vs 'CIB.STP' implies in the current T24 setup.</w:t>
      </w:r>
    </w:p>
    <w:p>
      <w:pPr>
        <w:spacing w:after="80"/>
      </w:pPr>
      <w:r>
        <w:t xml:space="preserve">☐  Map the 55-field input contract to the equivalent IRIS Amend request schema, noting the fields present here but not in Create Outward Transfer (FT.ID, BEN.ADDR.CITY, BEN.ADDR.CNTRY) and the fields present in Create but effectively unused here (BEN.BIC.CD).</w:t>
      </w:r>
    </w:p>
    <w:p>
      <w:pPr>
        <w:spacing w:after="80"/>
      </w:pPr>
      <w:r>
        <w:t xml:space="preserve">☐  Confirm whether the BEN.BIC.CD gap (§ Input Contract row 21) is intentional (amends cannot change the beneficiary's bank BIC) or an oversight.</w:t>
      </w:r>
    </w:p>
    <w:p>
      <w:pPr>
        <w:spacing w:after="80"/>
      </w:pPr>
      <w:r>
        <w:t xml:space="preserve">☐  Build the error-code mapping: only 0000/0006 exist here, simpler than Create Outward Transfer's four-code set — confirm IRIS doesn't need to preserve now-absent codes for this specific operation.</w:t>
      </w:r>
    </w:p>
    <w:p>
      <w:pPr>
        <w:pStyle w:val="Heading1"/>
        <w:pBdr>
          <w:bottom w:val="single" w:color="2E5395" w:sz="6" w:space="4"/>
        </w:pBdr>
        <w:spacing w:after="150" w:before="300"/>
      </w:pPr>
      <w:r>
        <w:t xml:space="preserve">9. Real Sample Message Walkthrough (BPM Channel — Request Only)</w:t>
      </w:r>
    </w:p>
    <w:p>
      <w:pPr>
        <w:spacing w:after="120"/>
      </w:pPr>
      <w:r>
        <w:rPr>
          <w:i/>
          <w:iCs/>
          <w:color w:val="555555"/>
        </w:rPr>
        <w:t xml:space="preserve">A captured request for Service 1012 (channel BPM). No corresponding response was available for this service at the time of this review, so items below confirm what the REQUEST triggers per the code trace; outcomes described as 'per code' are not independently confirmed by a response payload the way the FT08 walkthrough (Document 02, §11)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9"/>
        <w:gridCol w:w="2233"/>
        <w:gridCol w:w="5238"/>
      </w:tblGrid>
      <w:tr>
        <w:trPr>
          <w:tblHeader/>
        </w:trPr>
        <w:tc>
          <w:tcPr>
            <w:tcW w:type="dxa" w:w="1889"/>
            <w:shd w:fill="2E5395" w:val="clear"/>
            <w:tcMar>
              <w:top w:type="dxa" w:w="80"/>
              <w:left w:type="dxa" w:w="100"/>
              <w:bottom w:type="dxa" w:w="80"/>
              <w:right w:type="dxa" w:w="100"/>
            </w:tcMar>
          </w:tcPr>
          <w:p>
            <w:r>
              <w:rPr>
                <w:b/>
                <w:bCs/>
                <w:color w:val="FFFFFF"/>
              </w:rPr>
              <w:t xml:space="preserve">Request Field</w:t>
            </w:r>
          </w:p>
        </w:tc>
        <w:tc>
          <w:tcPr>
            <w:tcW w:type="dxa" w:w="2233"/>
            <w:shd w:fill="2E5395" w:val="clear"/>
            <w:tcMar>
              <w:top w:type="dxa" w:w="80"/>
              <w:left w:type="dxa" w:w="100"/>
              <w:bottom w:type="dxa" w:w="80"/>
              <w:right w:type="dxa" w:w="100"/>
            </w:tcMar>
          </w:tcPr>
          <w:p>
            <w:r>
              <w:rPr>
                <w:b/>
                <w:bCs/>
                <w:color w:val="FFFFFF"/>
              </w:rPr>
              <w:t xml:space="preserve">Sample Value</w:t>
            </w:r>
          </w:p>
        </w:tc>
        <w:tc>
          <w:tcPr>
            <w:tcW w:type="dxa" w:w="5238"/>
            <w:shd w:fill="2E5395" w:val="clear"/>
            <w:tcMar>
              <w:top w:type="dxa" w:w="80"/>
              <w:left w:type="dxa" w:w="100"/>
              <w:bottom w:type="dxa" w:w="80"/>
              <w:right w:type="dxa" w:w="100"/>
            </w:tcMar>
          </w:tcPr>
          <w:p>
            <w:r>
              <w:rPr>
                <w:b/>
                <w:bCs/>
                <w:color w:val="FFFFFF"/>
              </w:rPr>
              <w:t xml:space="preserve">What It Confirms / Reveals</w:t>
            </w:r>
          </w:p>
        </w:tc>
      </w:tr>
      <w:tr>
        <w:tc>
          <w:tcPr>
            <w:tcW w:type="dxa" w:w="1889"/>
            <w:tcMar>
              <w:top w:type="dxa" w:w="60"/>
              <w:left w:type="dxa" w:w="100"/>
              <w:bottom w:type="dxa" w:w="60"/>
              <w:right w:type="dxa" w:w="100"/>
            </w:tcMar>
          </w:tcPr>
          <w:p>
            <w:r>
              <w:rPr>
                <w:b w:val="false"/>
                <w:bCs w:val="false"/>
              </w:rPr>
              <w:t xml:space="preserve">SRVC_ID</w:t>
            </w:r>
          </w:p>
        </w:tc>
        <w:tc>
          <w:tcPr>
            <w:tcW w:type="dxa" w:w="2233"/>
            <w:tcMar>
              <w:top w:type="dxa" w:w="60"/>
              <w:left w:type="dxa" w:w="100"/>
              <w:bottom w:type="dxa" w:w="60"/>
              <w:right w:type="dxa" w:w="100"/>
            </w:tcMar>
          </w:tcPr>
          <w:p>
            <w:r>
              <w:rPr>
                <w:b w:val="false"/>
                <w:bCs w:val="false"/>
              </w:rPr>
              <w:t xml:space="preserve">1012</w:t>
            </w:r>
          </w:p>
        </w:tc>
        <w:tc>
          <w:tcPr>
            <w:tcW w:type="dxa" w:w="5238"/>
            <w:tcMar>
              <w:top w:type="dxa" w:w="60"/>
              <w:left w:type="dxa" w:w="100"/>
              <w:bottom w:type="dxa" w:w="60"/>
              <w:right w:type="dxa" w:w="100"/>
            </w:tcMar>
          </w:tcPr>
          <w:p>
            <w:r>
              <w:rPr>
                <w:b w:val="false"/>
                <w:bCs w:val="false"/>
              </w:rPr>
              <w:t xml:space="preserve">Confirms this is Service 1012 = Amend Outward Transfer</w:t>
            </w:r>
          </w:p>
        </w:tc>
      </w:tr>
      <w:tr>
        <w:tc>
          <w:tcPr>
            <w:tcW w:type="dxa" w:w="1889"/>
            <w:tcMar>
              <w:top w:type="dxa" w:w="60"/>
              <w:left w:type="dxa" w:w="100"/>
              <w:bottom w:type="dxa" w:w="60"/>
              <w:right w:type="dxa" w:w="100"/>
            </w:tcMar>
          </w:tcPr>
          <w:p>
            <w:r>
              <w:rPr>
                <w:b w:val="false"/>
                <w:bCs w:val="false"/>
              </w:rPr>
              <w:t xml:space="preserve">FT_ID</w:t>
            </w:r>
          </w:p>
        </w:tc>
        <w:tc>
          <w:tcPr>
            <w:tcW w:type="dxa" w:w="2233"/>
            <w:tcMar>
              <w:top w:type="dxa" w:w="60"/>
              <w:left w:type="dxa" w:w="100"/>
              <w:bottom w:type="dxa" w:w="60"/>
              <w:right w:type="dxa" w:w="100"/>
            </w:tcMar>
          </w:tcPr>
          <w:p>
            <w:r>
              <w:rPr>
                <w:b w:val="false"/>
                <w:bCs w:val="false"/>
              </w:rPr>
              <w:t xml:space="preserve">FT25352LZQWZ</w:t>
            </w:r>
          </w:p>
        </w:tc>
        <w:tc>
          <w:tcPr>
            <w:tcW w:type="dxa" w:w="5238"/>
            <w:tcMar>
              <w:top w:type="dxa" w:w="60"/>
              <w:left w:type="dxa" w:w="100"/>
              <w:bottom w:type="dxa" w:w="60"/>
              <w:right w:type="dxa" w:w="100"/>
            </w:tcMar>
          </w:tcPr>
          <w:p>
            <w:r>
              <w:rPr>
                <w:b w:val="false"/>
                <w:bCs w:val="false"/>
              </w:rPr>
              <w:t xml:space="preserve">The existing FT record being amended — confirms position 2's role as the OFS record key, not a posted field</w:t>
            </w:r>
          </w:p>
        </w:tc>
      </w:tr>
      <w:tr>
        <w:tc>
          <w:tcPr>
            <w:tcW w:type="dxa" w:w="1889"/>
            <w:tcMar>
              <w:top w:type="dxa" w:w="60"/>
              <w:left w:type="dxa" w:w="100"/>
              <w:bottom w:type="dxa" w:w="60"/>
              <w:right w:type="dxa" w:w="100"/>
            </w:tcMar>
          </w:tcPr>
          <w:p>
            <w:r>
              <w:rPr>
                <w:b w:val="false"/>
                <w:bCs w:val="false"/>
              </w:rPr>
              <w:t xml:space="preserve">TXN_TYPE</w:t>
            </w:r>
          </w:p>
        </w:tc>
        <w:tc>
          <w:tcPr>
            <w:tcW w:type="dxa" w:w="2233"/>
            <w:tcMar>
              <w:top w:type="dxa" w:w="60"/>
              <w:left w:type="dxa" w:w="100"/>
              <w:bottom w:type="dxa" w:w="60"/>
              <w:right w:type="dxa" w:w="100"/>
            </w:tcMar>
          </w:tcPr>
          <w:p>
            <w:r>
              <w:rPr>
                <w:b w:val="false"/>
                <w:bCs w:val="false"/>
              </w:rPr>
              <w:t xml:space="preserve">OT03</w:t>
            </w:r>
          </w:p>
        </w:tc>
        <w:tc>
          <w:tcPr>
            <w:tcW w:type="dxa" w:w="5238"/>
            <w:tcMar>
              <w:top w:type="dxa" w:w="60"/>
              <w:left w:type="dxa" w:w="100"/>
              <w:bottom w:type="dxa" w:w="60"/>
              <w:right w:type="dxa" w:w="100"/>
            </w:tcMar>
          </w:tcPr>
          <w:p>
            <w:r>
              <w:rPr>
                <w:b w:val="false"/>
                <w:bCs w:val="false"/>
              </w:rPr>
              <w:t xml:space="preserve">Present in the request but confirmed dead per the code trace — no downstream use in this routine</w:t>
            </w:r>
          </w:p>
        </w:tc>
      </w:tr>
      <w:tr>
        <w:tc>
          <w:tcPr>
            <w:tcW w:type="dxa" w:w="1889"/>
            <w:tcMar>
              <w:top w:type="dxa" w:w="60"/>
              <w:left w:type="dxa" w:w="100"/>
              <w:bottom w:type="dxa" w:w="60"/>
              <w:right w:type="dxa" w:w="100"/>
            </w:tcMar>
          </w:tcPr>
          <w:p>
            <w:r>
              <w:rPr>
                <w:b w:val="false"/>
                <w:bCs w:val="false"/>
              </w:rPr>
              <w:t xml:space="preserve">BRANCH</w:t>
            </w:r>
          </w:p>
        </w:tc>
        <w:tc>
          <w:tcPr>
            <w:tcW w:type="dxa" w:w="2233"/>
            <w:tcMar>
              <w:top w:type="dxa" w:w="60"/>
              <w:left w:type="dxa" w:w="100"/>
              <w:bottom w:type="dxa" w:w="60"/>
              <w:right w:type="dxa" w:w="100"/>
            </w:tcMar>
          </w:tcPr>
          <w:p>
            <w:r>
              <w:rPr>
                <w:b w:val="false"/>
                <w:bCs w:val="false"/>
              </w:rPr>
              <w:t xml:space="preserve">EG0010025</w:t>
            </w:r>
          </w:p>
        </w:tc>
        <w:tc>
          <w:tcPr>
            <w:tcW w:type="dxa" w:w="5238"/>
            <w:tcMar>
              <w:top w:type="dxa" w:w="60"/>
              <w:left w:type="dxa" w:w="100"/>
              <w:bottom w:type="dxa" w:w="60"/>
              <w:right w:type="dxa" w:w="100"/>
            </w:tcMar>
          </w:tcPr>
          <w:p>
            <w:r>
              <w:rPr>
                <w:b w:val="false"/>
                <w:bCs w:val="false"/>
              </w:rPr>
              <w:t xml:space="preserve">Already fully formatted (9 chars) — the 3-char auto-prefix convenience rule would not fire here since the channel supplied the full branch code directly</w:t>
            </w:r>
          </w:p>
        </w:tc>
      </w:tr>
      <w:tr>
        <w:tc>
          <w:tcPr>
            <w:tcW w:type="dxa" w:w="1889"/>
            <w:tcMar>
              <w:top w:type="dxa" w:w="60"/>
              <w:left w:type="dxa" w:w="100"/>
              <w:bottom w:type="dxa" w:w="60"/>
              <w:right w:type="dxa" w:w="100"/>
            </w:tcMar>
          </w:tcPr>
          <w:p>
            <w:r>
              <w:rPr>
                <w:b w:val="false"/>
                <w:bCs w:val="false"/>
              </w:rPr>
              <w:t xml:space="preserve">PROFIT_CNTR</w:t>
            </w:r>
          </w:p>
        </w:tc>
        <w:tc>
          <w:tcPr>
            <w:tcW w:type="dxa" w:w="2233"/>
            <w:tcMar>
              <w:top w:type="dxa" w:w="60"/>
              <w:left w:type="dxa" w:w="100"/>
              <w:bottom w:type="dxa" w:w="60"/>
              <w:right w:type="dxa" w:w="100"/>
            </w:tcMar>
          </w:tcPr>
          <w:p>
            <w:r>
              <w:rPr>
                <w:b w:val="false"/>
                <w:bCs w:val="false"/>
              </w:rPr>
              <w:t xml:space="preserve">(blank)</w:t>
            </w:r>
          </w:p>
        </w:tc>
        <w:tc>
          <w:tcPr>
            <w:tcW w:type="dxa" w:w="5238"/>
            <w:tcMar>
              <w:top w:type="dxa" w:w="60"/>
              <w:left w:type="dxa" w:w="100"/>
              <w:bottom w:type="dxa" w:w="60"/>
              <w:right w:type="dxa" w:w="100"/>
            </w:tcMar>
          </w:tcPr>
          <w:p>
            <w:r>
              <w:rPr>
                <w:b w:val="false"/>
                <w:bCs w:val="false"/>
              </w:rPr>
              <w:t xml:space="preserve">Consistent with this field being effectively unused (see §8 Critical Finding #2 — the code doesn't actually read this field for its intended purpose anyway)</w:t>
            </w:r>
          </w:p>
        </w:tc>
      </w:tr>
      <w:tr>
        <w:tc>
          <w:tcPr>
            <w:tcW w:type="dxa" w:w="1889"/>
            <w:tcMar>
              <w:top w:type="dxa" w:w="60"/>
              <w:left w:type="dxa" w:w="100"/>
              <w:bottom w:type="dxa" w:w="60"/>
              <w:right w:type="dxa" w:w="100"/>
            </w:tcMar>
          </w:tcPr>
          <w:p>
            <w:r>
              <w:rPr>
                <w:b w:val="false"/>
                <w:bCs w:val="false"/>
              </w:rPr>
              <w:t xml:space="preserve">SRC_ACC_ID</w:t>
            </w:r>
          </w:p>
        </w:tc>
        <w:tc>
          <w:tcPr>
            <w:tcW w:type="dxa" w:w="2233"/>
            <w:tcMar>
              <w:top w:type="dxa" w:w="60"/>
              <w:left w:type="dxa" w:w="100"/>
              <w:bottom w:type="dxa" w:w="60"/>
              <w:right w:type="dxa" w:w="100"/>
            </w:tcMar>
          </w:tcPr>
          <w:p>
            <w:r>
              <w:rPr>
                <w:b w:val="false"/>
                <w:bCs w:val="false"/>
              </w:rPr>
              <w:t xml:space="preserve">100026618406</w:t>
            </w:r>
          </w:p>
        </w:tc>
        <w:tc>
          <w:tcPr>
            <w:tcW w:type="dxa" w:w="5238"/>
            <w:tcMar>
              <w:top w:type="dxa" w:w="60"/>
              <w:left w:type="dxa" w:w="100"/>
              <w:bottom w:type="dxa" w:w="60"/>
              <w:right w:type="dxa" w:w="100"/>
            </w:tcMar>
          </w:tcPr>
          <w:p>
            <w:r>
              <w:rPr>
                <w:b w:val="false"/>
                <w:bCs w:val="false"/>
              </w:rPr>
              <w:t xml:space="preserve">⚠ Live evidence for §8 — this value is correctly extracted from input position 8 into the variable SRC_ACC.ID, but every downstream operation (balance check, F.READ, DEBIT.ACCT.NO posting) references the separate, unpopulated SRC.ACC.ID variable instead</w:t>
            </w:r>
          </w:p>
        </w:tc>
      </w:tr>
      <w:tr>
        <w:tc>
          <w:tcPr>
            <w:tcW w:type="dxa" w:w="1889"/>
            <w:tcMar>
              <w:top w:type="dxa" w:w="60"/>
              <w:left w:type="dxa" w:w="100"/>
              <w:bottom w:type="dxa" w:w="60"/>
              <w:right w:type="dxa" w:w="100"/>
            </w:tcMar>
          </w:tcPr>
          <w:p>
            <w:r>
              <w:rPr>
                <w:b w:val="false"/>
                <w:bCs w:val="false"/>
              </w:rPr>
              <w:t xml:space="preserve">SRC_CURR / SRC_AMT</w:t>
            </w:r>
          </w:p>
        </w:tc>
        <w:tc>
          <w:tcPr>
            <w:tcW w:type="dxa" w:w="2233"/>
            <w:tcMar>
              <w:top w:type="dxa" w:w="60"/>
              <w:left w:type="dxa" w:w="100"/>
              <w:bottom w:type="dxa" w:w="60"/>
              <w:right w:type="dxa" w:w="100"/>
            </w:tcMar>
          </w:tcPr>
          <w:p>
            <w:r>
              <w:rPr>
                <w:b w:val="false"/>
                <w:bCs w:val="false"/>
              </w:rPr>
              <w:t xml:space="preserve">USD / 180000</w:t>
            </w:r>
          </w:p>
        </w:tc>
        <w:tc>
          <w:tcPr>
            <w:tcW w:type="dxa" w:w="5238"/>
            <w:tcMar>
              <w:top w:type="dxa" w:w="60"/>
              <w:left w:type="dxa" w:w="100"/>
              <w:bottom w:type="dxa" w:w="60"/>
              <w:right w:type="dxa" w:w="100"/>
            </w:tcMar>
          </w:tcPr>
          <w:p>
            <w:r>
              <w:rPr>
                <w:b w:val="false"/>
                <w:bCs w:val="false"/>
              </w:rPr>
              <w:t xml:space="preserve">Deal currency and amount</w:t>
            </w:r>
          </w:p>
        </w:tc>
      </w:tr>
      <w:tr>
        <w:tc>
          <w:tcPr>
            <w:tcW w:type="dxa" w:w="1889"/>
            <w:tcMar>
              <w:top w:type="dxa" w:w="60"/>
              <w:left w:type="dxa" w:w="100"/>
              <w:bottom w:type="dxa" w:w="60"/>
              <w:right w:type="dxa" w:w="100"/>
            </w:tcMar>
          </w:tcPr>
          <w:p>
            <w:r>
              <w:rPr>
                <w:b w:val="false"/>
                <w:bCs w:val="false"/>
              </w:rPr>
              <w:t xml:space="preserve">BEN_NAME</w:t>
            </w:r>
          </w:p>
        </w:tc>
        <w:tc>
          <w:tcPr>
            <w:tcW w:type="dxa" w:w="2233"/>
            <w:tcMar>
              <w:top w:type="dxa" w:w="60"/>
              <w:left w:type="dxa" w:w="100"/>
              <w:bottom w:type="dxa" w:w="60"/>
              <w:right w:type="dxa" w:w="100"/>
            </w:tcMar>
          </w:tcPr>
          <w:p>
            <w:r>
              <w:rPr>
                <w:b w:val="false"/>
                <w:bCs w:val="false"/>
              </w:rPr>
              <w:t xml:space="preserve">Tek Travels DMCC_ ..._2408, OAKS Liwa Heights...</w:t>
            </w:r>
          </w:p>
        </w:tc>
        <w:tc>
          <w:tcPr>
            <w:tcW w:type="dxa" w:w="5238"/>
            <w:tcMar>
              <w:top w:type="dxa" w:w="60"/>
              <w:left w:type="dxa" w:w="100"/>
              <w:bottom w:type="dxa" w:w="60"/>
              <w:right w:type="dxa" w:w="100"/>
            </w:tcMar>
          </w:tcPr>
          <w:p>
            <w:r>
              <w:rPr>
                <w:b w:val="false"/>
                <w:bCs w:val="false"/>
              </w:rPr>
              <w:t xml:space="preserve">Multi-part, underscore-delimited — live confirmation of the multi-part BEN.NAME splitting/reformatting logic</w:t>
            </w:r>
          </w:p>
        </w:tc>
      </w:tr>
      <w:tr>
        <w:tc>
          <w:tcPr>
            <w:tcW w:type="dxa" w:w="1889"/>
            <w:tcMar>
              <w:top w:type="dxa" w:w="60"/>
              <w:left w:type="dxa" w:w="100"/>
              <w:bottom w:type="dxa" w:w="60"/>
              <w:right w:type="dxa" w:w="100"/>
            </w:tcMar>
          </w:tcPr>
          <w:p>
            <w:r>
              <w:rPr>
                <w:b w:val="false"/>
                <w:bCs w:val="false"/>
              </w:rPr>
              <w:t xml:space="preserve">BEN_ACC</w:t>
            </w:r>
          </w:p>
        </w:tc>
        <w:tc>
          <w:tcPr>
            <w:tcW w:type="dxa" w:w="2233"/>
            <w:tcMar>
              <w:top w:type="dxa" w:w="60"/>
              <w:left w:type="dxa" w:w="100"/>
              <w:bottom w:type="dxa" w:w="60"/>
              <w:right w:type="dxa" w:w="100"/>
            </w:tcMar>
          </w:tcPr>
          <w:p>
            <w:r>
              <w:rPr>
                <w:b w:val="false"/>
                <w:bCs w:val="false"/>
              </w:rPr>
              <w:t xml:space="preserve">AE670330000010948053038 (24 chars)</w:t>
            </w:r>
          </w:p>
        </w:tc>
        <w:tc>
          <w:tcPr>
            <w:tcW w:type="dxa" w:w="5238"/>
            <w:tcMar>
              <w:top w:type="dxa" w:w="60"/>
              <w:left w:type="dxa" w:w="100"/>
              <w:bottom w:type="dxa" w:w="60"/>
              <w:right w:type="dxa" w:w="100"/>
            </w:tcMar>
          </w:tcPr>
          <w:p>
            <w:r>
              <w:rPr>
                <w:b w:val="false"/>
                <w:bCs w:val="false"/>
              </w:rPr>
              <w:t xml:space="preserve">NOT 29 characters, so IBAN validation does not trigger — confirms the ELSE branch: IBAN.BEN posted as literal 'NULL', BEN.ACCT.NO posted with the raw account value</w:t>
            </w:r>
          </w:p>
        </w:tc>
      </w:tr>
      <w:tr>
        <w:tc>
          <w:tcPr>
            <w:tcW w:type="dxa" w:w="1889"/>
            <w:tcMar>
              <w:top w:type="dxa" w:w="60"/>
              <w:left w:type="dxa" w:w="100"/>
              <w:bottom w:type="dxa" w:w="60"/>
              <w:right w:type="dxa" w:w="100"/>
            </w:tcMar>
          </w:tcPr>
          <w:p>
            <w:r>
              <w:rPr>
                <w:b w:val="false"/>
                <w:bCs w:val="false"/>
              </w:rPr>
              <w:t xml:space="preserve">CHARGE_IND / BEN_OUR_CHARGES</w:t>
            </w:r>
          </w:p>
        </w:tc>
        <w:tc>
          <w:tcPr>
            <w:tcW w:type="dxa" w:w="2233"/>
            <w:tcMar>
              <w:top w:type="dxa" w:w="60"/>
              <w:left w:type="dxa" w:w="100"/>
              <w:bottom w:type="dxa" w:w="60"/>
              <w:right w:type="dxa" w:w="100"/>
            </w:tcMar>
          </w:tcPr>
          <w:p>
            <w:r>
              <w:rPr>
                <w:b w:val="false"/>
                <w:bCs w:val="false"/>
              </w:rPr>
              <w:t xml:space="preserve">OUR / OUR</w:t>
            </w:r>
          </w:p>
        </w:tc>
        <w:tc>
          <w:tcPr>
            <w:tcW w:type="dxa" w:w="5238"/>
            <w:tcMar>
              <w:top w:type="dxa" w:w="60"/>
              <w:left w:type="dxa" w:w="100"/>
              <w:bottom w:type="dxa" w:w="60"/>
              <w:right w:type="dxa" w:w="100"/>
            </w:tcMar>
          </w:tcPr>
          <w:p>
            <w:r>
              <w:rPr>
                <w:b w:val="false"/>
                <w:bCs w:val="false"/>
              </w:rPr>
              <w:t xml:space="preserve">Live confirmation that CHARGE.IND (dead field) and BEN.OUR.CHARGES (operative field) are both supplied even though only one is actually used</w:t>
            </w:r>
          </w:p>
        </w:tc>
      </w:tr>
      <w:tr>
        <w:tc>
          <w:tcPr>
            <w:tcW w:type="dxa" w:w="1889"/>
            <w:tcMar>
              <w:top w:type="dxa" w:w="60"/>
              <w:left w:type="dxa" w:w="100"/>
              <w:bottom w:type="dxa" w:w="60"/>
              <w:right w:type="dxa" w:w="100"/>
            </w:tcMar>
          </w:tcPr>
          <w:p>
            <w:r>
              <w:rPr>
                <w:b w:val="false"/>
                <w:bCs w:val="false"/>
              </w:rPr>
              <w:t xml:space="preserve">COMMISSION_CODE / COMMISSION_TYPE / COMMISSION_AMOUNT</w:t>
            </w:r>
          </w:p>
        </w:tc>
        <w:tc>
          <w:tcPr>
            <w:tcW w:type="dxa" w:w="2233"/>
            <w:tcMar>
              <w:top w:type="dxa" w:w="60"/>
              <w:left w:type="dxa" w:w="100"/>
              <w:bottom w:type="dxa" w:w="60"/>
              <w:right w:type="dxa" w:w="100"/>
            </w:tcMar>
          </w:tcPr>
          <w:p>
            <w:r>
              <w:rPr>
                <w:b w:val="false"/>
                <w:bCs w:val="false"/>
              </w:rPr>
              <w:t xml:space="preserve">(blank) / OUTWARDCHG_OUTREMITCHG_SWFTCHG / USD150.00_USD20.00_USD20.00</w:t>
            </w:r>
          </w:p>
        </w:tc>
        <w:tc>
          <w:tcPr>
            <w:tcW w:type="dxa" w:w="5238"/>
            <w:tcMar>
              <w:top w:type="dxa" w:w="60"/>
              <w:left w:type="dxa" w:w="100"/>
              <w:bottom w:type="dxa" w:w="60"/>
              <w:right w:type="dxa" w:w="100"/>
            </w:tcMar>
          </w:tcPr>
          <w:p>
            <w:r>
              <w:rPr>
                <w:b w:val="false"/>
                <w:bCs w:val="false"/>
              </w:rPr>
              <w:t xml:space="preserve">Since COMMISSION.TYPE is NOT blank, the WAIVE auto-rule does not fire; since COMMISSION.CODE is blank and BEN.OUR.CHARGES=OUR, the standard default rule should set COMMISSION.CODE to 'DEBIT PLUS CHARGES' (not confirmed by a response in this sample)</w:t>
            </w:r>
          </w:p>
        </w:tc>
      </w:tr>
      <w:tr>
        <w:tc>
          <w:tcPr>
            <w:tcW w:type="dxa" w:w="1889"/>
            <w:tcMar>
              <w:top w:type="dxa" w:w="60"/>
              <w:left w:type="dxa" w:w="100"/>
              <w:bottom w:type="dxa" w:w="60"/>
              <w:right w:type="dxa" w:w="100"/>
            </w:tcMar>
          </w:tcPr>
          <w:p>
            <w:r>
              <w:rPr>
                <w:b w:val="false"/>
                <w:bCs w:val="false"/>
              </w:rPr>
              <w:t xml:space="preserve">GTS_CONTROL</w:t>
            </w:r>
          </w:p>
        </w:tc>
        <w:tc>
          <w:tcPr>
            <w:tcW w:type="dxa" w:w="2233"/>
            <w:tcMar>
              <w:top w:type="dxa" w:w="60"/>
              <w:left w:type="dxa" w:w="100"/>
              <w:bottom w:type="dxa" w:w="60"/>
              <w:right w:type="dxa" w:w="100"/>
            </w:tcMar>
          </w:tcPr>
          <w:p>
            <w:r>
              <w:rPr>
                <w:b w:val="false"/>
                <w:bCs w:val="false"/>
              </w:rPr>
              <w:t xml:space="preserve">NULL (literal text)</w:t>
            </w:r>
          </w:p>
        </w:tc>
        <w:tc>
          <w:tcPr>
            <w:tcW w:type="dxa" w:w="5238"/>
            <w:tcMar>
              <w:top w:type="dxa" w:w="60"/>
              <w:left w:type="dxa" w:w="100"/>
              <w:bottom w:type="dxa" w:w="60"/>
              <w:right w:type="dxa" w:w="100"/>
            </w:tcMar>
          </w:tcPr>
          <w:p>
            <w:r>
              <w:rPr>
                <w:b w:val="false"/>
                <w:bCs w:val="false"/>
              </w:rPr>
              <w:t xml:space="preserve">No default-fill logic exists for this field in this routine, so the literal string flows straight into the OFS header segment</w:t>
            </w:r>
          </w:p>
        </w:tc>
      </w:tr>
      <w:tr>
        <w:tc>
          <w:tcPr>
            <w:tcW w:type="dxa" w:w="1889"/>
            <w:tcMar>
              <w:top w:type="dxa" w:w="60"/>
              <w:left w:type="dxa" w:w="100"/>
              <w:bottom w:type="dxa" w:w="60"/>
              <w:right w:type="dxa" w:w="100"/>
            </w:tcMar>
          </w:tcPr>
          <w:p>
            <w:r>
              <w:rPr>
                <w:b w:val="false"/>
                <w:bCs w:val="false"/>
              </w:rPr>
              <w:t xml:space="preserve">OD_TYPE</w:t>
            </w:r>
          </w:p>
        </w:tc>
        <w:tc>
          <w:tcPr>
            <w:tcW w:type="dxa" w:w="2233"/>
            <w:tcMar>
              <w:top w:type="dxa" w:w="60"/>
              <w:left w:type="dxa" w:w="100"/>
              <w:bottom w:type="dxa" w:w="60"/>
              <w:right w:type="dxa" w:w="100"/>
            </w:tcMar>
          </w:tcPr>
          <w:p>
            <w:r>
              <w:rPr>
                <w:b w:val="false"/>
                <w:bCs w:val="false"/>
              </w:rPr>
              <w:t xml:space="preserve">Y</w:t>
            </w:r>
          </w:p>
        </w:tc>
        <w:tc>
          <w:tcPr>
            <w:tcW w:type="dxa" w:w="5238"/>
            <w:tcMar>
              <w:top w:type="dxa" w:w="60"/>
              <w:left w:type="dxa" w:w="100"/>
              <w:bottom w:type="dxa" w:w="60"/>
              <w:right w:type="dxa" w:w="100"/>
            </w:tcMar>
          </w:tcPr>
          <w:p>
            <w:r>
              <w:rPr>
                <w:b w:val="false"/>
                <w:bCs w:val="false"/>
              </w:rPr>
              <w:t xml:space="preserve">Confirms the overdraft-allowed balance-check bypass is active for this request</w:t>
            </w:r>
          </w:p>
        </w:tc>
      </w:tr>
      <w:tr>
        <w:tc>
          <w:tcPr>
            <w:tcW w:type="dxa" w:w="1889"/>
            <w:tcMar>
              <w:top w:type="dxa" w:w="60"/>
              <w:left w:type="dxa" w:w="100"/>
              <w:bottom w:type="dxa" w:w="60"/>
              <w:right w:type="dxa" w:w="100"/>
            </w:tcMar>
          </w:tcPr>
          <w:p>
            <w:r>
              <w:rPr>
                <w:b w:val="false"/>
                <w:bCs w:val="false"/>
              </w:rPr>
              <w:t xml:space="preserve">CUSTOMER_RATE / FT_NARRATIVE</w:t>
            </w:r>
          </w:p>
        </w:tc>
        <w:tc>
          <w:tcPr>
            <w:tcW w:type="dxa" w:w="2233"/>
            <w:tcMar>
              <w:top w:type="dxa" w:w="60"/>
              <w:left w:type="dxa" w:w="100"/>
              <w:bottom w:type="dxa" w:w="60"/>
              <w:right w:type="dxa" w:w="100"/>
            </w:tcMar>
          </w:tcPr>
          <w:p>
            <w:r>
              <w:rPr>
                <w:b w:val="false"/>
                <w:bCs w:val="false"/>
              </w:rPr>
              <w:t xml:space="preserve">NULL (literal) / NULL (literal)</w:t>
            </w:r>
          </w:p>
        </w:tc>
        <w:tc>
          <w:tcPr>
            <w:tcW w:type="dxa" w:w="5238"/>
            <w:tcMar>
              <w:top w:type="dxa" w:w="60"/>
              <w:left w:type="dxa" w:w="100"/>
              <w:bottom w:type="dxa" w:w="60"/>
              <w:right w:type="dxa" w:w="100"/>
            </w:tcMar>
          </w:tcPr>
          <w:p>
            <w:r>
              <w:rPr>
                <w:b w:val="false"/>
                <w:bCs w:val="false"/>
              </w:rPr>
              <w:t xml:space="preserve">Both flow through largely as literal 'NULL' text — for FT.NARRATIVE specifically, there is no NULL-substitution logic in this routine, so the OFS field DEBIT.THEIR.REF would receive the literal string 'NULL', not an actual empty/clear marker, unless T24's own OFS parser treats the literal specially</w:t>
            </w:r>
          </w:p>
        </w:tc>
      </w:tr>
      <w:tr>
        <w:tc>
          <w:tcPr>
            <w:tcW w:type="dxa" w:w="1889"/>
            <w:tcMar>
              <w:top w:type="dxa" w:w="60"/>
              <w:left w:type="dxa" w:w="100"/>
              <w:bottom w:type="dxa" w:w="60"/>
              <w:right w:type="dxa" w:w="100"/>
            </w:tcMar>
          </w:tcPr>
          <w:p>
            <w:r>
              <w:rPr>
                <w:b w:val="false"/>
                <w:bCs w:val="false"/>
              </w:rPr>
              <w:t xml:space="preserve">ACCT_WITH_BANK</w:t>
            </w:r>
          </w:p>
        </w:tc>
        <w:tc>
          <w:tcPr>
            <w:tcW w:type="dxa" w:w="2233"/>
            <w:tcMar>
              <w:top w:type="dxa" w:w="60"/>
              <w:left w:type="dxa" w:w="100"/>
              <w:bottom w:type="dxa" w:w="60"/>
              <w:right w:type="dxa" w:w="100"/>
            </w:tcMar>
          </w:tcPr>
          <w:p>
            <w:r>
              <w:rPr>
                <w:b w:val="false"/>
                <w:bCs w:val="false"/>
              </w:rPr>
              <w:t xml:space="preserve">SW-BOMLAEADXXX</w:t>
            </w:r>
          </w:p>
        </w:tc>
        <w:tc>
          <w:tcPr>
            <w:tcW w:type="dxa" w:w="5238"/>
            <w:tcMar>
              <w:top w:type="dxa" w:w="60"/>
              <w:left w:type="dxa" w:w="100"/>
              <w:bottom w:type="dxa" w:w="60"/>
              <w:right w:type="dxa" w:w="100"/>
            </w:tcMar>
          </w:tcPr>
          <w:p>
            <w:r>
              <w:rPr>
                <w:b w:val="false"/>
                <w:bCs w:val="false"/>
              </w:rPr>
              <w:t xml:space="preserve">Confirms no prefix-escaping logic applies here (unlike Create Outward Transfer's SC/BL/CH/FW handling) — posted as a single unescaped value</w:t>
            </w:r>
          </w:p>
        </w:tc>
      </w:tr>
      <w:tr>
        <w:tc>
          <w:tcPr>
            <w:tcW w:type="dxa" w:w="1889"/>
            <w:tcMar>
              <w:top w:type="dxa" w:w="60"/>
              <w:left w:type="dxa" w:w="100"/>
              <w:bottom w:type="dxa" w:w="60"/>
              <w:right w:type="dxa" w:w="100"/>
            </w:tcMar>
          </w:tcPr>
          <w:p>
            <w:r>
              <w:rPr>
                <w:b w:val="false"/>
                <w:bCs w:val="false"/>
              </w:rPr>
              <w:t xml:space="preserve">PAYMENT_DETAILS</w:t>
            </w:r>
          </w:p>
        </w:tc>
        <w:tc>
          <w:tcPr>
            <w:tcW w:type="dxa" w:w="2233"/>
            <w:tcMar>
              <w:top w:type="dxa" w:w="60"/>
              <w:left w:type="dxa" w:w="100"/>
              <w:bottom w:type="dxa" w:w="60"/>
              <w:right w:type="dxa" w:w="100"/>
            </w:tcMar>
          </w:tcPr>
          <w:p>
            <w:r>
              <w:rPr>
                <w:b w:val="false"/>
                <w:bCs w:val="false"/>
              </w:rPr>
              <w:t xml:space="preserve">/BENERES/AE//STR_Hotel reservations MS/17122025</w:t>
            </w:r>
          </w:p>
        </w:tc>
        <w:tc>
          <w:tcPr>
            <w:tcW w:type="dxa" w:w="5238"/>
            <w:tcMar>
              <w:top w:type="dxa" w:w="60"/>
              <w:left w:type="dxa" w:w="100"/>
              <w:bottom w:type="dxa" w:w="60"/>
              <w:right w:type="dxa" w:w="100"/>
            </w:tcMar>
          </w:tcPr>
          <w:p>
            <w:r>
              <w:rPr>
                <w:b w:val="false"/>
                <w:bCs w:val="false"/>
              </w:rPr>
              <w:t xml:space="preserve">Contains '/' characters that would be converted to '^' by this routine's specific character-remapping rule before posting</w:t>
            </w:r>
          </w:p>
        </w:tc>
      </w:tr>
      <w:tr>
        <w:tc>
          <w:tcPr>
            <w:tcW w:type="dxa" w:w="1889"/>
            <w:tcMar>
              <w:top w:type="dxa" w:w="60"/>
              <w:left w:type="dxa" w:w="100"/>
              <w:bottom w:type="dxa" w:w="60"/>
              <w:right w:type="dxa" w:w="100"/>
            </w:tcMar>
          </w:tcPr>
          <w:p>
            <w:r>
              <w:rPr>
                <w:b w:val="false"/>
                <w:bCs w:val="false"/>
              </w:rPr>
              <w:t xml:space="preserve">CHRG_ACCT_NO</w:t>
            </w:r>
          </w:p>
        </w:tc>
        <w:tc>
          <w:tcPr>
            <w:tcW w:type="dxa" w:w="2233"/>
            <w:tcMar>
              <w:top w:type="dxa" w:w="60"/>
              <w:left w:type="dxa" w:w="100"/>
              <w:bottom w:type="dxa" w:w="60"/>
              <w:right w:type="dxa" w:w="100"/>
            </w:tcMar>
          </w:tcPr>
          <w:p>
            <w:r>
              <w:rPr>
                <w:b w:val="false"/>
                <w:bCs w:val="false"/>
              </w:rPr>
              <w:t xml:space="preserve">100026618406</w:t>
            </w:r>
          </w:p>
        </w:tc>
        <w:tc>
          <w:tcPr>
            <w:tcW w:type="dxa" w:w="5238"/>
            <w:tcMar>
              <w:top w:type="dxa" w:w="60"/>
              <w:left w:type="dxa" w:w="100"/>
              <w:bottom w:type="dxa" w:w="60"/>
              <w:right w:type="dxa" w:w="100"/>
            </w:tcMar>
          </w:tcPr>
          <w:p>
            <w:r>
              <w:rPr>
                <w:b w:val="false"/>
                <w:bCs w:val="false"/>
              </w:rPr>
              <w:t xml:space="preserve">Since BEN_OUR_CHARGES=OUR (not BEN), the CHRG.ACCT.NO=NULL override rule does not fire — value passes through unchanged</w:t>
            </w:r>
          </w:p>
        </w:tc>
      </w:tr>
      <w:tr>
        <w:tc>
          <w:tcPr>
            <w:tcW w:type="dxa" w:w="1889"/>
            <w:tcMar>
              <w:top w:type="dxa" w:w="60"/>
              <w:left w:type="dxa" w:w="100"/>
              <w:bottom w:type="dxa" w:w="60"/>
              <w:right w:type="dxa" w:w="100"/>
            </w:tcMar>
          </w:tcPr>
          <w:p>
            <w:r>
              <w:rPr>
                <w:b w:val="false"/>
                <w:bCs w:val="false"/>
              </w:rPr>
              <w:t xml:space="preserve">NEW_CBE_CODE</w:t>
            </w:r>
          </w:p>
        </w:tc>
        <w:tc>
          <w:tcPr>
            <w:tcW w:type="dxa" w:w="2233"/>
            <w:tcMar>
              <w:top w:type="dxa" w:w="60"/>
              <w:left w:type="dxa" w:w="100"/>
              <w:bottom w:type="dxa" w:w="60"/>
              <w:right w:type="dxa" w:w="100"/>
            </w:tcMar>
          </w:tcPr>
          <w:p>
            <w:r>
              <w:rPr>
                <w:b w:val="false"/>
                <w:bCs w:val="false"/>
              </w:rPr>
              <w:t xml:space="preserve">32080</w:t>
            </w:r>
          </w:p>
        </w:tc>
        <w:tc>
          <w:tcPr>
            <w:tcW w:type="dxa" w:w="5238"/>
            <w:tcMar>
              <w:top w:type="dxa" w:w="60"/>
              <w:left w:type="dxa" w:w="100"/>
              <w:bottom w:type="dxa" w:w="60"/>
              <w:right w:type="dxa" w:w="100"/>
            </w:tcMar>
          </w:tcPr>
          <w:p>
            <w:r>
              <w:rPr>
                <w:b w:val="false"/>
                <w:bCs w:val="false"/>
              </w:rPr>
              <w:t xml:space="preserve">CBE reporting field, populated</w:t>
            </w:r>
          </w:p>
        </w:tc>
      </w:tr>
      <w:tr>
        <w:tc>
          <w:tcPr>
            <w:tcW w:type="dxa" w:w="1889"/>
            <w:tcMar>
              <w:top w:type="dxa" w:w="60"/>
              <w:left w:type="dxa" w:w="100"/>
              <w:bottom w:type="dxa" w:w="60"/>
              <w:right w:type="dxa" w:w="100"/>
            </w:tcMar>
          </w:tcPr>
          <w:p>
            <w:r>
              <w:rPr>
                <w:b w:val="false"/>
                <w:bCs w:val="false"/>
              </w:rPr>
              <w:t xml:space="preserve">CBE_NAR_AR</w:t>
            </w:r>
          </w:p>
        </w:tc>
        <w:tc>
          <w:tcPr>
            <w:tcW w:type="dxa" w:w="2233"/>
            <w:tcMar>
              <w:top w:type="dxa" w:w="60"/>
              <w:left w:type="dxa" w:w="100"/>
              <w:bottom w:type="dxa" w:w="60"/>
              <w:right w:type="dxa" w:w="100"/>
            </w:tcMar>
          </w:tcPr>
          <w:p>
            <w:r>
              <w:rPr>
                <w:b w:val="false"/>
                <w:bCs w:val="false"/>
              </w:rPr>
              <w:t xml:space="preserve">حجوزات فندقية (Arabic: hotel reservations)</w:t>
            </w:r>
          </w:p>
        </w:tc>
        <w:tc>
          <w:tcPr>
            <w:tcW w:type="dxa" w:w="5238"/>
            <w:tcMar>
              <w:top w:type="dxa" w:w="60"/>
              <w:left w:type="dxa" w:w="100"/>
              <w:bottom w:type="dxa" w:w="60"/>
              <w:right w:type="dxa" w:w="100"/>
            </w:tcMar>
          </w:tcPr>
          <w:p>
            <w:r>
              <w:rPr>
                <w:b w:val="false"/>
                <w:bCs w:val="false"/>
              </w:rPr>
              <w:t xml:space="preserve">Confirms Arabic/UTF-8 narrative text flows through this field end-to-end — worth explicit verification in the IRIS equivalent</w:t>
            </w:r>
          </w:p>
        </w:tc>
      </w:tr>
    </w:tbl>
    <w:p>
      <w:pPr>
        <w:pStyle w:val="Heading1"/>
        <w:pBdr>
          <w:bottom w:val="single" w:color="2E5395" w:sz="6" w:space="4"/>
        </w:pBdr>
        <w:spacing w:after="150" w:before="300"/>
      </w:pPr>
      <w:r>
        <w:t xml:space="preserve">10. Open Questions / Assumptions for the Team</w:t>
      </w:r>
    </w:p>
    <w:p>
      <w:pPr>
        <w:pStyle w:val="ListParagraph"/>
        <w:numPr>
          <w:ilvl w:val="0"/>
          <w:numId w:val="1"/>
        </w:numPr>
        <w:spacing w:after="60"/>
      </w:pPr>
      <w:r>
        <w:t xml:space="preserve">Highest priority: how is SRC.ACC.ID (dot) actually getting populated in production today, given the variable-naming mismatch in §8? Is it a COMMON-block leftover from a prior call in the same session/chain, and if so, which routine sets it?</w:t>
      </w:r>
    </w:p>
    <w:p>
      <w:pPr>
        <w:pStyle w:val="ListParagraph"/>
        <w:numPr>
          <w:ilvl w:val="0"/>
          <w:numId w:val="1"/>
        </w:numPr>
        <w:spacing w:after="60"/>
      </w:pPr>
      <w:r>
        <w:t xml:space="preserve">Is the WAIVE auto-commission rule for long account numbers with no commission type (§4.4 Layer 1) an intentional business rule for amendments, or should it be reviewed?</w:t>
      </w:r>
    </w:p>
    <w:p>
      <w:pPr>
        <w:pStyle w:val="ListParagraph"/>
        <w:numPr>
          <w:ilvl w:val="0"/>
          <w:numId w:val="1"/>
        </w:numPr>
        <w:spacing w:after="60"/>
      </w:pPr>
      <w:r>
        <w:t xml:space="preserve">Why does this routine's two-stage rate-correction call use a different OFS source ID ('CIB.API') than the main amendment call ('CIB.STP') — does this reflect a genuinely different validation/routing path in T24 that needs separate handling in TPH?</w:t>
      </w:r>
    </w:p>
    <w:p>
      <w:pPr>
        <w:pStyle w:val="ListParagraph"/>
        <w:numPr>
          <w:ilvl w:val="0"/>
          <w:numId w:val="1"/>
        </w:numPr>
        <w:spacing w:after="60"/>
      </w:pPr>
      <w:r>
        <w:t xml:space="preserve">Is the missing BEN.BIC.CD mapping (beneficiary BIC cannot be changed via amend) intentional, or a gap that should be fixed as part of this migration rather than carried forward?</w:t>
      </w:r>
    </w:p>
    <w:p>
      <w:pPr>
        <w:pStyle w:val="ListParagraph"/>
        <w:numPr>
          <w:ilvl w:val="0"/>
          <w:numId w:val="1"/>
        </w:numPr>
        <w:spacing w:after="60"/>
      </w:pPr>
      <w:r>
        <w:t xml:space="preserve">Should the control-layer gaps identified in §3 (restriction checks, idempotency, auto-auth, SMS triggers) be added to the TPH/IRIS Amend endpoint, even though they were never enforced here?</w:t>
      </w:r>
    </w:p>
    <w:p>
      <w:pPr>
        <w:pStyle w:val="ListParagraph"/>
        <w:numPr>
          <w:ilvl w:val="0"/>
          <w:numId w:val="1"/>
        </w:numPr>
        <w:spacing w:after="60"/>
      </w:pPr>
      <w:r>
        <w:t xml:space="preserve">Is the '\BNK' stripping rule for accounts starting with 'PL' (an otherwise undocumented special case) still relevant, and what does it represent?</w:t>
      </w:r>
    </w:p>
    <w:p>
      <w:pPr>
        <w:pStyle w:val="Heading1"/>
        <w:pBdr>
          <w:bottom w:val="single" w:color="2E5395" w:sz="6" w:space="4"/>
        </w:pBdr>
        <w:spacing w:after="150" w:before="300"/>
      </w:pPr>
      <w:r>
        <w:t xml:space="preserve">11. Review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8"/>
        <w:gridCol w:w="2123"/>
        <w:gridCol w:w="1737"/>
        <w:gridCol w:w="2412"/>
      </w:tblGrid>
      <w:tr>
        <w:trPr>
          <w:tblHeader/>
        </w:trPr>
        <w:tc>
          <w:tcPr>
            <w:tcW w:type="dxa" w:w="3088"/>
            <w:shd w:fill="2E5395" w:val="clear"/>
            <w:tcMar>
              <w:top w:type="dxa" w:w="80"/>
              <w:left w:type="dxa" w:w="100"/>
              <w:bottom w:type="dxa" w:w="80"/>
              <w:right w:type="dxa" w:w="100"/>
            </w:tcMar>
          </w:tcPr>
          <w:p>
            <w:r>
              <w:rPr>
                <w:b/>
                <w:bCs/>
                <w:color w:val="FFFFFF"/>
              </w:rPr>
              <w:t xml:space="preserve">Role</w:t>
            </w:r>
          </w:p>
        </w:tc>
        <w:tc>
          <w:tcPr>
            <w:tcW w:type="dxa" w:w="2123"/>
            <w:shd w:fill="2E5395" w:val="clear"/>
            <w:tcMar>
              <w:top w:type="dxa" w:w="80"/>
              <w:left w:type="dxa" w:w="100"/>
              <w:bottom w:type="dxa" w:w="80"/>
              <w:right w:type="dxa" w:w="100"/>
            </w:tcMar>
          </w:tcPr>
          <w:p>
            <w:r>
              <w:rPr>
                <w:b/>
                <w:bCs/>
                <w:color w:val="FFFFFF"/>
              </w:rPr>
              <w:t xml:space="preserve">Name</w:t>
            </w:r>
          </w:p>
        </w:tc>
        <w:tc>
          <w:tcPr>
            <w:tcW w:type="dxa" w:w="1737"/>
            <w:shd w:fill="2E5395" w:val="clear"/>
            <w:tcMar>
              <w:top w:type="dxa" w:w="80"/>
              <w:left w:type="dxa" w:w="100"/>
              <w:bottom w:type="dxa" w:w="80"/>
              <w:right w:type="dxa" w:w="100"/>
            </w:tcMar>
          </w:tcPr>
          <w:p>
            <w:r>
              <w:rPr>
                <w:b/>
                <w:bCs/>
                <w:color w:val="FFFFFF"/>
              </w:rPr>
              <w:t xml:space="preserve">Date</w:t>
            </w:r>
          </w:p>
        </w:tc>
        <w:tc>
          <w:tcPr>
            <w:tcW w:type="dxa" w:w="2412"/>
            <w:shd w:fill="2E5395" w:val="clear"/>
            <w:tcMar>
              <w:top w:type="dxa" w:w="80"/>
              <w:left w:type="dxa" w:w="100"/>
              <w:bottom w:type="dxa" w:w="80"/>
              <w:right w:type="dxa" w:w="100"/>
            </w:tcMar>
          </w:tcPr>
          <w:p>
            <w:r>
              <w:rPr>
                <w:b/>
                <w:bCs/>
                <w:color w:val="FFFFFF"/>
              </w:rPr>
              <w:t xml:space="preserve">Comments</w:t>
            </w:r>
          </w:p>
        </w:tc>
      </w:tr>
      <w:tr>
        <w:tc>
          <w:tcPr>
            <w:tcW w:type="dxa" w:w="3088"/>
            <w:tcMar>
              <w:top w:type="dxa" w:w="60"/>
              <w:left w:type="dxa" w:w="100"/>
              <w:bottom w:type="dxa" w:w="60"/>
              <w:right w:type="dxa" w:w="100"/>
            </w:tcMar>
          </w:tcPr>
          <w:p>
            <w:r>
              <w:rPr>
                <w:b w:val="false"/>
                <w:bCs w:val="false"/>
              </w:rPr>
              <w:t xml:space="preserve">Prepared by</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T24 Technical Reviewer (must confirm §8 finding)</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TPH/IRIS Solution Architect</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Business/Product Owner (Payments)</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Compliance/Controls (for §3 control-layer gap decision)</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Service Analysis — Amend Outward Transfer (1012)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2026-08-31T21:23:10.920Z</dcterms:created>
  <dcterms:modified xsi:type="dcterms:W3CDTF">2026-08-31T21:23:10.939Z</dcterms:modified>
</cp:coreProperties>
</file>

<file path=docProps/custom.xml><?xml version="1.0" encoding="utf-8"?>
<Properties xmlns="http://schemas.openxmlformats.org/officeDocument/2006/custom-properties" xmlns:vt="http://schemas.openxmlformats.org/officeDocument/2006/docPropsVTypes"/>
</file>