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Vendor Data Mapping Questions</w:t>
      </w:r>
    </w:p>
    <w:p>
      <w:pPr>
        <w:spacing w:after="100"/>
      </w:pPr>
      <w:r>
        <w:rPr>
          <w:i/>
          <w:iCs/>
        </w:rPr>
        <w:t xml:space="preserve">Retrofit of Funds Transfer Reporting Services — R20 to R25 (TPH Standalone)</w:t>
      </w:r>
    </w:p>
    <w:p>
      <w:pPr>
        <w:spacing w:after="300"/>
      </w:pPr>
      <w:r>
        <w:rPr>
          <w:i/>
          <w:iCs/>
          <w:sz w:val="20"/>
          <w:szCs w:val="20"/>
        </w:rPr>
        <w:t xml:space="preserve">Service: BNK/CIB.DUMP.FT.CIB  |  Pattern: Two-Step Reporting Flow (TPH → Transact, file-based)</w:t>
      </w:r>
    </w:p>
    <w:p>
      <w:pPr>
        <w:pStyle w:val="Heading2"/>
        <w:spacing w:after="150" w:before="300"/>
      </w:pPr>
      <w:r>
        <w:rPr>
          <w:b/>
          <w:bCs/>
          <w:color w:val="1F4E79"/>
        </w:rPr>
        <w:t xml:space="preserve">1. FREE.MARKT.CODE — Local Field Ownership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gridCol w:w="2000"/>
      </w:tblGrid>
      <w:tr>
        <w:trPr>
          <w:tblHeader/>
        </w:trPr>
        <w:tc>
          <w:tcPr>
            <w:tcW w:type="dxa" w:w="700"/>
            <w:shd w:fill="1F4E79" w:val="clear"/>
            <w:tcMar>
              <w:top w:type="dxa" w:w="100"/>
              <w:left w:type="dxa" w:w="100"/>
              <w:bottom w:type="dxa" w:w="100"/>
              <w:right w:type="dxa" w:w="100"/>
            </w:tcMar>
          </w:tcPr>
          <w:p>
            <w:r>
              <w:rPr>
                <w:b/>
                <w:bCs/>
                <w:color w:val="FFFFFF"/>
                <w:sz w:val="20"/>
                <w:szCs w:val="20"/>
              </w:rPr>
              <w:t xml:space="preserve">#</w:t>
            </w:r>
          </w:p>
        </w:tc>
        <w:tc>
          <w:tcPr>
            <w:tcW w:type="dxa" w:w="3600"/>
            <w:shd w:fill="1F4E79" w:val="clear"/>
            <w:tcMar>
              <w:top w:type="dxa" w:w="100"/>
              <w:left w:type="dxa" w:w="100"/>
              <w:bottom w:type="dxa" w:w="100"/>
              <w:right w:type="dxa" w:w="100"/>
            </w:tcMar>
          </w:tcPr>
          <w:p>
            <w:r>
              <w:rPr>
                <w:b/>
                <w:bCs/>
                <w:color w:val="FFFFFF"/>
                <w:sz w:val="20"/>
                <w:szCs w:val="20"/>
              </w:rPr>
              <w:t xml:space="preserve">Question</w:t>
            </w:r>
          </w:p>
        </w:tc>
        <w:tc>
          <w:tcPr>
            <w:tcW w:type="dxa" w:w="3600"/>
            <w:shd w:fill="1F4E79" w:val="clear"/>
            <w:tcMar>
              <w:top w:type="dxa" w:w="100"/>
              <w:left w:type="dxa" w:w="100"/>
              <w:bottom w:type="dxa" w:w="100"/>
              <w:right w:type="dxa" w:w="100"/>
            </w:tcMar>
          </w:tcPr>
          <w:p>
            <w:r>
              <w:rPr>
                <w:b/>
                <w:bCs/>
                <w:color w:val="FFFFFF"/>
                <w:sz w:val="20"/>
                <w:szCs w:val="20"/>
              </w:rPr>
              <w:t xml:space="preserve">Context / Why it matters</w:t>
            </w:r>
          </w:p>
        </w:tc>
        <w:tc>
          <w:tcPr>
            <w:tcW w:type="dxa" w:w="2000"/>
            <w:shd w:fill="1F4E79" w:val="clear"/>
            <w:tcMar>
              <w:top w:type="dxa" w:w="100"/>
              <w:left w:type="dxa" w:w="100"/>
              <w:bottom w:type="dxa" w:w="100"/>
              <w:right w:type="dxa" w:w="100"/>
            </w:tcMar>
          </w:tcPr>
          <w:p>
            <w:r>
              <w:rPr>
                <w:b/>
                <w:bCs/>
                <w:color w:val="FFFFFF"/>
                <w:sz w:val="20"/>
                <w:szCs w:val="20"/>
              </w:rPr>
              <w:t xml:space="preserve">Vendor Answer</w:t>
            </w:r>
          </w:p>
        </w:tc>
      </w:tr>
      <w:tr>
        <w:tc>
          <w:tcPr>
            <w:tcW w:type="dxa" w:w="700"/>
            <w:tcMar>
              <w:top w:type="dxa" w:w="100"/>
              <w:left w:type="dxa" w:w="100"/>
              <w:bottom w:type="dxa" w:w="100"/>
              <w:right w:type="dxa" w:w="100"/>
            </w:tcMar>
          </w:tcPr>
          <w:p>
            <w:r>
              <w:rPr>
                <w:b w:val="false"/>
                <w:bCs w:val="false"/>
                <w:sz w:val="20"/>
                <w:szCs w:val="20"/>
              </w:rPr>
              <w:t xml:space="preserve">1.1</w:t>
            </w:r>
          </w:p>
        </w:tc>
        <w:tc>
          <w:tcPr>
            <w:tcW w:type="dxa" w:w="3600"/>
            <w:tcMar>
              <w:top w:type="dxa" w:w="100"/>
              <w:left w:type="dxa" w:w="100"/>
              <w:bottom w:type="dxa" w:w="100"/>
              <w:right w:type="dxa" w:w="100"/>
            </w:tcMar>
          </w:tcPr>
          <w:p>
            <w:r>
              <w:rPr>
                <w:b w:val="false"/>
                <w:bCs w:val="false"/>
                <w:sz w:val="20"/>
                <w:szCs w:val="20"/>
              </w:rPr>
              <w:t xml:space="preserve">Which application actually carries the FREE.MARKT.CODE local reference field in R25 — POR.TRANSACTION or POR.SUPPLEMENTARY.INFO?</w:t>
            </w:r>
          </w:p>
        </w:tc>
        <w:tc>
          <w:tcPr>
            <w:tcW w:type="dxa" w:w="3600"/>
            <w:tcMar>
              <w:top w:type="dxa" w:w="100"/>
              <w:left w:type="dxa" w:w="100"/>
              <w:bottom w:type="dxa" w:w="100"/>
              <w:right w:type="dxa" w:w="100"/>
            </w:tcMar>
          </w:tcPr>
          <w:p>
            <w:r>
              <w:rPr>
                <w:b w:val="false"/>
                <w:bCs w:val="false"/>
                <w:sz w:val="20"/>
                <w:szCs w:val="20"/>
              </w:rPr>
              <w:t xml:space="preserve">Our current code retrieves the local-field position via MULTI.GET.LOC.REF against POR.SUPPLEMENTARY.INFO, but then reads the value from R.FT&lt;LOCAL.REF,...&gt;, where R.FT is a POR.TRANSACTION record. Local reference positions are per-application, so this is inconsistent and may return the wrong value or blank.</w:t>
            </w:r>
          </w:p>
        </w:tc>
        <w:tc>
          <w:tcPr>
            <w:tcW w:type="dxa" w:w="2000"/>
            <w:tcMar>
              <w:top w:type="dxa" w:w="100"/>
              <w:left w:type="dxa" w:w="100"/>
              <w:bottom w:type="dxa" w:w="100"/>
              <w:right w:type="dxa" w:w="100"/>
            </w:tcMar>
          </w:tcPr>
          <w:p>
            <w:r>
              <w:rPr>
                <w:b w:val="false"/>
                <w:bCs w:val="false"/>
                <w:sz w:val="20"/>
                <w:szCs w:val="20"/>
              </w:rPr>
              <w:t xml:space="preserve"/>
            </w:r>
          </w:p>
        </w:tc>
      </w:tr>
      <w:tr>
        <w:tc>
          <w:tcPr>
            <w:tcW w:type="dxa" w:w="700"/>
            <w:tcMar>
              <w:top w:type="dxa" w:w="100"/>
              <w:left w:type="dxa" w:w="100"/>
              <w:bottom w:type="dxa" w:w="100"/>
              <w:right w:type="dxa" w:w="100"/>
            </w:tcMar>
          </w:tcPr>
          <w:p>
            <w:r>
              <w:rPr>
                <w:b w:val="false"/>
                <w:bCs w:val="false"/>
                <w:sz w:val="20"/>
                <w:szCs w:val="20"/>
              </w:rPr>
              <w:t xml:space="preserve">1.2</w:t>
            </w:r>
          </w:p>
        </w:tc>
        <w:tc>
          <w:tcPr>
            <w:tcW w:type="dxa" w:w="3600"/>
            <w:tcMar>
              <w:top w:type="dxa" w:w="100"/>
              <w:left w:type="dxa" w:w="100"/>
              <w:bottom w:type="dxa" w:w="100"/>
              <w:right w:type="dxa" w:w="100"/>
            </w:tcMar>
          </w:tcPr>
          <w:p>
            <w:r>
              <w:rPr>
                <w:b w:val="false"/>
                <w:bCs w:val="false"/>
                <w:sz w:val="20"/>
                <w:szCs w:val="20"/>
              </w:rPr>
              <w:t xml:space="preserve">Please confirm the exact field name, multivalue structure, and local-reference position/tag for FREE.MARKT.CODE on the confirmed owning application.</w:t>
            </w:r>
          </w:p>
        </w:tc>
        <w:tc>
          <w:tcPr>
            <w:tcW w:type="dxa" w:w="3600"/>
            <w:tcMar>
              <w:top w:type="dxa" w:w="100"/>
              <w:left w:type="dxa" w:w="100"/>
              <w:bottom w:type="dxa" w:w="100"/>
              <w:right w:type="dxa" w:w="100"/>
            </w:tcMar>
          </w:tcPr>
          <w:p>
            <w:r>
              <w:rPr>
                <w:b w:val="false"/>
                <w:bCs w:val="false"/>
                <w:sz w:val="20"/>
                <w:szCs w:val="20"/>
              </w:rPr>
              <w:t xml:space="preserve">Needed to correct MULTI.GET.LOC.REF call and the field reference in code.</w:t>
            </w:r>
          </w:p>
        </w:tc>
        <w:tc>
          <w:tcPr>
            <w:tcW w:type="dxa" w:w="2000"/>
            <w:tcMar>
              <w:top w:type="dxa" w:w="100"/>
              <w:left w:type="dxa" w:w="100"/>
              <w:bottom w:type="dxa" w:w="100"/>
              <w:right w:type="dxa" w:w="100"/>
            </w:tcMar>
          </w:tcPr>
          <w:p>
            <w:r>
              <w:rPr>
                <w:b w:val="false"/>
                <w:bCs w:val="false"/>
                <w:sz w:val="20"/>
                <w:szCs w:val="20"/>
              </w:rPr>
              <w:t xml:space="preserve"/>
            </w:r>
          </w:p>
        </w:tc>
      </w:tr>
    </w:tbl>
    <w:p>
      <w:pPr>
        <w:pStyle w:val="Heading2"/>
        <w:spacing w:after="150" w:before="300"/>
      </w:pPr>
      <w:r>
        <w:rPr>
          <w:b/>
          <w:bCs/>
          <w:color w:val="1F4E79"/>
        </w:rPr>
        <w:t xml:space="preserve">2. PAYMENT.DETAILS / Remittance Information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gridCol w:w="2000"/>
      </w:tblGrid>
      <w:tr>
        <w:trPr>
          <w:tblHeader/>
        </w:trPr>
        <w:tc>
          <w:tcPr>
            <w:tcW w:type="dxa" w:w="700"/>
            <w:shd w:fill="1F4E79" w:val="clear"/>
            <w:tcMar>
              <w:top w:type="dxa" w:w="100"/>
              <w:left w:type="dxa" w:w="100"/>
              <w:bottom w:type="dxa" w:w="100"/>
              <w:right w:type="dxa" w:w="100"/>
            </w:tcMar>
          </w:tcPr>
          <w:p>
            <w:r>
              <w:rPr>
                <w:b/>
                <w:bCs/>
                <w:color w:val="FFFFFF"/>
                <w:sz w:val="20"/>
                <w:szCs w:val="20"/>
              </w:rPr>
              <w:t xml:space="preserve">#</w:t>
            </w:r>
          </w:p>
        </w:tc>
        <w:tc>
          <w:tcPr>
            <w:tcW w:type="dxa" w:w="3600"/>
            <w:shd w:fill="1F4E79" w:val="clear"/>
            <w:tcMar>
              <w:top w:type="dxa" w:w="100"/>
              <w:left w:type="dxa" w:w="100"/>
              <w:bottom w:type="dxa" w:w="100"/>
              <w:right w:type="dxa" w:w="100"/>
            </w:tcMar>
          </w:tcPr>
          <w:p>
            <w:r>
              <w:rPr>
                <w:b/>
                <w:bCs/>
                <w:color w:val="FFFFFF"/>
                <w:sz w:val="20"/>
                <w:szCs w:val="20"/>
              </w:rPr>
              <w:t xml:space="preserve">Question</w:t>
            </w:r>
          </w:p>
        </w:tc>
        <w:tc>
          <w:tcPr>
            <w:tcW w:type="dxa" w:w="3600"/>
            <w:shd w:fill="1F4E79" w:val="clear"/>
            <w:tcMar>
              <w:top w:type="dxa" w:w="100"/>
              <w:left w:type="dxa" w:w="100"/>
              <w:bottom w:type="dxa" w:w="100"/>
              <w:right w:type="dxa" w:w="100"/>
            </w:tcMar>
          </w:tcPr>
          <w:p>
            <w:r>
              <w:rPr>
                <w:b/>
                <w:bCs/>
                <w:color w:val="FFFFFF"/>
                <w:sz w:val="20"/>
                <w:szCs w:val="20"/>
              </w:rPr>
              <w:t xml:space="preserve">Context / Why it matters</w:t>
            </w:r>
          </w:p>
        </w:tc>
        <w:tc>
          <w:tcPr>
            <w:tcW w:type="dxa" w:w="2000"/>
            <w:shd w:fill="1F4E79" w:val="clear"/>
            <w:tcMar>
              <w:top w:type="dxa" w:w="100"/>
              <w:left w:type="dxa" w:w="100"/>
              <w:bottom w:type="dxa" w:w="100"/>
              <w:right w:type="dxa" w:w="100"/>
            </w:tcMar>
          </w:tcPr>
          <w:p>
            <w:r>
              <w:rPr>
                <w:b/>
                <w:bCs/>
                <w:color w:val="FFFFFF"/>
                <w:sz w:val="20"/>
                <w:szCs w:val="20"/>
              </w:rPr>
              <w:t xml:space="preserve">Vendor Answer</w:t>
            </w:r>
          </w:p>
        </w:tc>
      </w:tr>
      <w:tr>
        <w:tc>
          <w:tcPr>
            <w:tcW w:type="dxa" w:w="700"/>
            <w:tcMar>
              <w:top w:type="dxa" w:w="100"/>
              <w:left w:type="dxa" w:w="100"/>
              <w:bottom w:type="dxa" w:w="100"/>
              <w:right w:type="dxa" w:w="100"/>
            </w:tcMar>
          </w:tcPr>
          <w:p>
            <w:r>
              <w:rPr>
                <w:b w:val="false"/>
                <w:bCs w:val="false"/>
                <w:sz w:val="20"/>
                <w:szCs w:val="20"/>
              </w:rPr>
              <w:t xml:space="preserve">2.1</w:t>
            </w:r>
          </w:p>
        </w:tc>
        <w:tc>
          <w:tcPr>
            <w:tcW w:type="dxa" w:w="3600"/>
            <w:tcMar>
              <w:top w:type="dxa" w:w="100"/>
              <w:left w:type="dxa" w:w="100"/>
              <w:bottom w:type="dxa" w:w="100"/>
              <w:right w:type="dxa" w:w="100"/>
            </w:tcMar>
          </w:tcPr>
          <w:p>
            <w:r>
              <w:rPr>
                <w:b w:val="false"/>
                <w:bCs w:val="false"/>
                <w:sz w:val="20"/>
                <w:szCs w:val="20"/>
              </w:rPr>
              <w:t xml:space="preserve">Is PPPTX.remittanceInformations on POR.TRANSACTION the correct field-level equivalent of the legacy FT.PAYMENT.DETAILS field?</w:t>
            </w:r>
          </w:p>
        </w:tc>
        <w:tc>
          <w:tcPr>
            <w:tcW w:type="dxa" w:w="3600"/>
            <w:tcMar>
              <w:top w:type="dxa" w:w="100"/>
              <w:left w:type="dxa" w:w="100"/>
              <w:bottom w:type="dxa" w:w="100"/>
              <w:right w:type="dxa" w:w="100"/>
            </w:tcMar>
          </w:tcPr>
          <w:p>
            <w:r>
              <w:rPr>
                <w:b w:val="false"/>
                <w:bCs w:val="false"/>
                <w:sz w:val="20"/>
                <w:szCs w:val="20"/>
              </w:rPr>
              <w:t xml:space="preserve">Legacy field FT.PAYMENT.DETAILS held free-text payment narrative. We are currently mapping to remittanceInformations by naming convention only — not yet confirmed against the data dictionary or sample data.</w:t>
            </w:r>
          </w:p>
        </w:tc>
        <w:tc>
          <w:tcPr>
            <w:tcW w:type="dxa" w:w="2000"/>
            <w:tcMar>
              <w:top w:type="dxa" w:w="100"/>
              <w:left w:type="dxa" w:w="100"/>
              <w:bottom w:type="dxa" w:w="100"/>
              <w:right w:type="dxa" w:w="100"/>
            </w:tcMar>
          </w:tcPr>
          <w:p>
            <w:r>
              <w:rPr>
                <w:b w:val="false"/>
                <w:bCs w:val="false"/>
                <w:sz w:val="20"/>
                <w:szCs w:val="20"/>
              </w:rPr>
              <w:t xml:space="preserve"/>
            </w:r>
          </w:p>
        </w:tc>
      </w:tr>
      <w:tr>
        <w:tc>
          <w:tcPr>
            <w:tcW w:type="dxa" w:w="700"/>
            <w:tcMar>
              <w:top w:type="dxa" w:w="100"/>
              <w:left w:type="dxa" w:w="100"/>
              <w:bottom w:type="dxa" w:w="100"/>
              <w:right w:type="dxa" w:w="100"/>
            </w:tcMar>
          </w:tcPr>
          <w:p>
            <w:r>
              <w:rPr>
                <w:b w:val="false"/>
                <w:bCs w:val="false"/>
                <w:sz w:val="20"/>
                <w:szCs w:val="20"/>
              </w:rPr>
              <w:t xml:space="preserve">2.2</w:t>
            </w:r>
          </w:p>
        </w:tc>
        <w:tc>
          <w:tcPr>
            <w:tcW w:type="dxa" w:w="3600"/>
            <w:tcMar>
              <w:top w:type="dxa" w:w="100"/>
              <w:left w:type="dxa" w:w="100"/>
              <w:bottom w:type="dxa" w:w="100"/>
              <w:right w:type="dxa" w:w="100"/>
            </w:tcMar>
          </w:tcPr>
          <w:p>
            <w:r>
              <w:rPr>
                <w:b w:val="false"/>
                <w:bCs w:val="false"/>
                <w:sz w:val="20"/>
                <w:szCs w:val="20"/>
              </w:rPr>
              <w:t xml:space="preserve">Is remittanceInformations multivalued in the same way FT.PAYMENT.DETAILS was (i.e., one value multivalue per narrative line)?</w:t>
            </w:r>
          </w:p>
        </w:tc>
        <w:tc>
          <w:tcPr>
            <w:tcW w:type="dxa" w:w="3600"/>
            <w:tcMar>
              <w:top w:type="dxa" w:w="100"/>
              <w:left w:type="dxa" w:w="100"/>
              <w:bottom w:type="dxa" w:w="100"/>
              <w:right w:type="dxa" w:w="100"/>
            </w:tcMar>
          </w:tcPr>
          <w:p>
            <w:r>
              <w:rPr>
                <w:b w:val="false"/>
                <w:bCs w:val="false"/>
                <w:sz w:val="20"/>
                <w:szCs w:val="20"/>
              </w:rPr>
              <w:t xml:space="preserve">Our extraction code applies CHANGE VM TO '*' assuming multivalue structure. If the new field is single-valued or structured differently, this transform will be a no-op or incorrect.</w:t>
            </w:r>
          </w:p>
        </w:tc>
        <w:tc>
          <w:tcPr>
            <w:tcW w:type="dxa" w:w="2000"/>
            <w:tcMar>
              <w:top w:type="dxa" w:w="100"/>
              <w:left w:type="dxa" w:w="100"/>
              <w:bottom w:type="dxa" w:w="100"/>
              <w:right w:type="dxa" w:w="100"/>
            </w:tcMar>
          </w:tcPr>
          <w:p>
            <w:r>
              <w:rPr>
                <w:b w:val="false"/>
                <w:bCs w:val="false"/>
                <w:sz w:val="20"/>
                <w:szCs w:val="20"/>
              </w:rPr>
              <w:t xml:space="preserve"/>
            </w:r>
          </w:p>
        </w:tc>
      </w:tr>
      <w:tr>
        <w:tc>
          <w:tcPr>
            <w:tcW w:type="dxa" w:w="700"/>
            <w:tcMar>
              <w:top w:type="dxa" w:w="100"/>
              <w:left w:type="dxa" w:w="100"/>
              <w:bottom w:type="dxa" w:w="100"/>
              <w:right w:type="dxa" w:w="100"/>
            </w:tcMar>
          </w:tcPr>
          <w:p>
            <w:r>
              <w:rPr>
                <w:b w:val="false"/>
                <w:bCs w:val="false"/>
                <w:sz w:val="20"/>
                <w:szCs w:val="20"/>
              </w:rPr>
              <w:t xml:space="preserve">2.3</w:t>
            </w:r>
          </w:p>
        </w:tc>
        <w:tc>
          <w:tcPr>
            <w:tcW w:type="dxa" w:w="3600"/>
            <w:tcMar>
              <w:top w:type="dxa" w:w="100"/>
              <w:left w:type="dxa" w:w="100"/>
              <w:bottom w:type="dxa" w:w="100"/>
              <w:right w:type="dxa" w:w="100"/>
            </w:tcMar>
          </w:tcPr>
          <w:p>
            <w:r>
              <w:rPr>
                <w:b w:val="false"/>
                <w:bCs w:val="false"/>
                <w:sz w:val="20"/>
                <w:szCs w:val="20"/>
              </w:rPr>
              <w:t xml:space="preserve">Does remittanceInformations contain only free-text narrative, or does R25 split payment purpose/reference codes into separate structured fields?</w:t>
            </w:r>
          </w:p>
        </w:tc>
        <w:tc>
          <w:tcPr>
            <w:tcW w:type="dxa" w:w="3600"/>
            <w:tcMar>
              <w:top w:type="dxa" w:w="100"/>
              <w:left w:type="dxa" w:w="100"/>
              <w:bottom w:type="dxa" w:w="100"/>
              <w:right w:type="dxa" w:w="100"/>
            </w:tcMar>
          </w:tcPr>
          <w:p>
            <w:r>
              <w:rPr>
                <w:b w:val="false"/>
                <w:bCs w:val="false"/>
                <w:sz w:val="20"/>
                <w:szCs w:val="20"/>
              </w:rPr>
              <w:t xml:space="preserve">If purpose codes were separated out in R25, we may be pulling only part of the original narrative content, or the wrong field entirely.</w:t>
            </w:r>
          </w:p>
        </w:tc>
        <w:tc>
          <w:tcPr>
            <w:tcW w:type="dxa" w:w="2000"/>
            <w:tcMar>
              <w:top w:type="dxa" w:w="100"/>
              <w:left w:type="dxa" w:w="100"/>
              <w:bottom w:type="dxa" w:w="100"/>
              <w:right w:type="dxa" w:w="100"/>
            </w:tcMar>
          </w:tcPr>
          <w:p>
            <w:r>
              <w:rPr>
                <w:b w:val="false"/>
                <w:bCs w:val="false"/>
                <w:sz w:val="20"/>
                <w:szCs w:val="20"/>
              </w:rPr>
              <w:t xml:space="preserve"/>
            </w:r>
          </w:p>
        </w:tc>
      </w:tr>
    </w:tbl>
    <w:p>
      <w:pPr>
        <w:pStyle w:val="Heading2"/>
        <w:spacing w:after="150" w:before="300"/>
      </w:pPr>
      <w:r>
        <w:rPr>
          <w:b/>
          <w:bCs/>
          <w:color w:val="1F4E79"/>
        </w:rPr>
        <w:t xml:space="preserve">3. ACCT.WITH.BANK Equivalent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gridCol w:w="2000"/>
      </w:tblGrid>
      <w:tr>
        <w:trPr>
          <w:tblHeader/>
        </w:trPr>
        <w:tc>
          <w:tcPr>
            <w:tcW w:type="dxa" w:w="700"/>
            <w:shd w:fill="1F4E79" w:val="clear"/>
            <w:tcMar>
              <w:top w:type="dxa" w:w="100"/>
              <w:left w:type="dxa" w:w="100"/>
              <w:bottom w:type="dxa" w:w="100"/>
              <w:right w:type="dxa" w:w="100"/>
            </w:tcMar>
          </w:tcPr>
          <w:p>
            <w:r>
              <w:rPr>
                <w:b/>
                <w:bCs/>
                <w:color w:val="FFFFFF"/>
                <w:sz w:val="20"/>
                <w:szCs w:val="20"/>
              </w:rPr>
              <w:t xml:space="preserve">#</w:t>
            </w:r>
          </w:p>
        </w:tc>
        <w:tc>
          <w:tcPr>
            <w:tcW w:type="dxa" w:w="3600"/>
            <w:shd w:fill="1F4E79" w:val="clear"/>
            <w:tcMar>
              <w:top w:type="dxa" w:w="100"/>
              <w:left w:type="dxa" w:w="100"/>
              <w:bottom w:type="dxa" w:w="100"/>
              <w:right w:type="dxa" w:w="100"/>
            </w:tcMar>
          </w:tcPr>
          <w:p>
            <w:r>
              <w:rPr>
                <w:b/>
                <w:bCs/>
                <w:color w:val="FFFFFF"/>
                <w:sz w:val="20"/>
                <w:szCs w:val="20"/>
              </w:rPr>
              <w:t xml:space="preserve">Question</w:t>
            </w:r>
          </w:p>
        </w:tc>
        <w:tc>
          <w:tcPr>
            <w:tcW w:type="dxa" w:w="3600"/>
            <w:shd w:fill="1F4E79" w:val="clear"/>
            <w:tcMar>
              <w:top w:type="dxa" w:w="100"/>
              <w:left w:type="dxa" w:w="100"/>
              <w:bottom w:type="dxa" w:w="100"/>
              <w:right w:type="dxa" w:w="100"/>
            </w:tcMar>
          </w:tcPr>
          <w:p>
            <w:r>
              <w:rPr>
                <w:b/>
                <w:bCs/>
                <w:color w:val="FFFFFF"/>
                <w:sz w:val="20"/>
                <w:szCs w:val="20"/>
              </w:rPr>
              <w:t xml:space="preserve">Context / Why it matters</w:t>
            </w:r>
          </w:p>
        </w:tc>
        <w:tc>
          <w:tcPr>
            <w:tcW w:type="dxa" w:w="2000"/>
            <w:shd w:fill="1F4E79" w:val="clear"/>
            <w:tcMar>
              <w:top w:type="dxa" w:w="100"/>
              <w:left w:type="dxa" w:w="100"/>
              <w:bottom w:type="dxa" w:w="100"/>
              <w:right w:type="dxa" w:w="100"/>
            </w:tcMar>
          </w:tcPr>
          <w:p>
            <w:r>
              <w:rPr>
                <w:b/>
                <w:bCs/>
                <w:color w:val="FFFFFF"/>
                <w:sz w:val="20"/>
                <w:szCs w:val="20"/>
              </w:rPr>
              <w:t xml:space="preserve">Vendor Answer</w:t>
            </w:r>
          </w:p>
        </w:tc>
      </w:tr>
      <w:tr>
        <w:tc>
          <w:tcPr>
            <w:tcW w:type="dxa" w:w="700"/>
            <w:tcMar>
              <w:top w:type="dxa" w:w="100"/>
              <w:left w:type="dxa" w:w="100"/>
              <w:bottom w:type="dxa" w:w="100"/>
              <w:right w:type="dxa" w:w="100"/>
            </w:tcMar>
          </w:tcPr>
          <w:p>
            <w:r>
              <w:rPr>
                <w:b w:val="false"/>
                <w:bCs w:val="false"/>
                <w:sz w:val="20"/>
                <w:szCs w:val="20"/>
              </w:rPr>
              <w:t xml:space="preserve">3.1</w:t>
            </w:r>
          </w:p>
        </w:tc>
        <w:tc>
          <w:tcPr>
            <w:tcW w:type="dxa" w:w="3600"/>
            <w:tcMar>
              <w:top w:type="dxa" w:w="100"/>
              <w:left w:type="dxa" w:w="100"/>
              <w:bottom w:type="dxa" w:w="100"/>
              <w:right w:type="dxa" w:w="100"/>
            </w:tcMar>
          </w:tcPr>
          <w:p>
            <w:r>
              <w:rPr>
                <w:b w:val="false"/>
                <w:bCs w:val="false"/>
                <w:sz w:val="20"/>
                <w:szCs w:val="20"/>
              </w:rPr>
              <w:t xml:space="preserve">What is the correct R25/POR.TRANSACTION field equivalent to the legacy FT.ACCT.WITH.BANK (structured SWIFT/BIC format, country code at position 8-9)?</w:t>
            </w:r>
          </w:p>
        </w:tc>
        <w:tc>
          <w:tcPr>
            <w:tcW w:type="dxa" w:w="3600"/>
            <w:tcMar>
              <w:top w:type="dxa" w:w="100"/>
              <w:left w:type="dxa" w:w="100"/>
              <w:bottom w:type="dxa" w:w="100"/>
              <w:right w:type="dxa" w:w="100"/>
            </w:tcMar>
          </w:tcPr>
          <w:p>
            <w:r>
              <w:rPr>
                <w:b w:val="false"/>
                <w:bCs w:val="false"/>
                <w:sz w:val="20"/>
                <w:szCs w:val="20"/>
              </w:rPr>
              <w:t xml:space="preserve">Legacy code sliced FT.ACCT.WITH.BANK[8,2] to extract a country code for lookup in CIB.TT.CBE.CODE (GROUP.CODE=1). Our current code applies the same [8,2] slice to POR.SUP.PARTY.FREE.LINE, sourced from POR.SUPPLEMENTARY.INFO — a field whose name suggests free text, not a structured BIC. Positional slicing of free text would silently produce incorrect or meaningless country codes rather than erroring.</w:t>
            </w:r>
          </w:p>
        </w:tc>
        <w:tc>
          <w:tcPr>
            <w:tcW w:type="dxa" w:w="2000"/>
            <w:tcMar>
              <w:top w:type="dxa" w:w="100"/>
              <w:left w:type="dxa" w:w="100"/>
              <w:bottom w:type="dxa" w:w="100"/>
              <w:right w:type="dxa" w:w="100"/>
            </w:tcMar>
          </w:tcPr>
          <w:p>
            <w:r>
              <w:rPr>
                <w:b w:val="false"/>
                <w:bCs w:val="false"/>
                <w:sz w:val="20"/>
                <w:szCs w:val="20"/>
              </w:rPr>
              <w:t xml:space="preserve"/>
            </w:r>
          </w:p>
        </w:tc>
      </w:tr>
      <w:tr>
        <w:tc>
          <w:tcPr>
            <w:tcW w:type="dxa" w:w="700"/>
            <w:tcMar>
              <w:top w:type="dxa" w:w="100"/>
              <w:left w:type="dxa" w:w="100"/>
              <w:bottom w:type="dxa" w:w="100"/>
              <w:right w:type="dxa" w:w="100"/>
            </w:tcMar>
          </w:tcPr>
          <w:p>
            <w:r>
              <w:rPr>
                <w:b w:val="false"/>
                <w:bCs w:val="false"/>
                <w:sz w:val="20"/>
                <w:szCs w:val="20"/>
              </w:rPr>
              <w:t xml:space="preserve">3.2</w:t>
            </w:r>
          </w:p>
        </w:tc>
        <w:tc>
          <w:tcPr>
            <w:tcW w:type="dxa" w:w="3600"/>
            <w:tcMar>
              <w:top w:type="dxa" w:w="100"/>
              <w:left w:type="dxa" w:w="100"/>
              <w:bottom w:type="dxa" w:w="100"/>
              <w:right w:type="dxa" w:w="100"/>
            </w:tcMar>
          </w:tcPr>
          <w:p>
            <w:r>
              <w:rPr>
                <w:b w:val="false"/>
                <w:bCs w:val="false"/>
                <w:sz w:val="20"/>
                <w:szCs w:val="20"/>
              </w:rPr>
              <w:t xml:space="preserve">Does POR.TRANSACTION carry a structured 'Account With Bank' / BIC-format field directly (e.g. an AcctWithBank-type field, as referenced in the FT.IT.CIB.3 service diagram)? If so, please provide the exact field name.</w:t>
            </w:r>
          </w:p>
        </w:tc>
        <w:tc>
          <w:tcPr>
            <w:tcW w:type="dxa" w:w="3600"/>
            <w:tcMar>
              <w:top w:type="dxa" w:w="100"/>
              <w:left w:type="dxa" w:w="100"/>
              <w:bottom w:type="dxa" w:w="100"/>
              <w:right w:type="dxa" w:w="100"/>
            </w:tcMar>
          </w:tcPr>
          <w:p>
            <w:r>
              <w:rPr>
                <w:b w:val="false"/>
                <w:bCs w:val="false"/>
                <w:sz w:val="20"/>
                <w:szCs w:val="20"/>
              </w:rPr>
              <w:t xml:space="preserve">If such a field exists directly on POR.TRANSACTION, it is likely the correct source rather than the supplementary free-line field.</w:t>
            </w:r>
          </w:p>
        </w:tc>
        <w:tc>
          <w:tcPr>
            <w:tcW w:type="dxa" w:w="2000"/>
            <w:tcMar>
              <w:top w:type="dxa" w:w="100"/>
              <w:left w:type="dxa" w:w="100"/>
              <w:bottom w:type="dxa" w:w="100"/>
              <w:right w:type="dxa" w:w="100"/>
            </w:tcMar>
          </w:tcPr>
          <w:p>
            <w:r>
              <w:rPr>
                <w:b w:val="false"/>
                <w:bCs w:val="false"/>
                <w:sz w:val="20"/>
                <w:szCs w:val="20"/>
              </w:rPr>
              <w:t xml:space="preserve"/>
            </w:r>
          </w:p>
        </w:tc>
      </w:tr>
      <w:tr>
        <w:tc>
          <w:tcPr>
            <w:tcW w:type="dxa" w:w="700"/>
            <w:tcMar>
              <w:top w:type="dxa" w:w="100"/>
              <w:left w:type="dxa" w:w="100"/>
              <w:bottom w:type="dxa" w:w="100"/>
              <w:right w:type="dxa" w:w="100"/>
            </w:tcMar>
          </w:tcPr>
          <w:p>
            <w:r>
              <w:rPr>
                <w:b w:val="false"/>
                <w:bCs w:val="false"/>
                <w:sz w:val="20"/>
                <w:szCs w:val="20"/>
              </w:rPr>
              <w:t xml:space="preserve">3.3</w:t>
            </w:r>
          </w:p>
        </w:tc>
        <w:tc>
          <w:tcPr>
            <w:tcW w:type="dxa" w:w="3600"/>
            <w:tcMar>
              <w:top w:type="dxa" w:w="100"/>
              <w:left w:type="dxa" w:w="100"/>
              <w:bottom w:type="dxa" w:w="100"/>
              <w:right w:type="dxa" w:w="100"/>
            </w:tcMar>
          </w:tcPr>
          <w:p>
            <w:r>
              <w:rPr>
                <w:b w:val="false"/>
                <w:bCs w:val="false"/>
                <w:sz w:val="20"/>
                <w:szCs w:val="20"/>
              </w:rPr>
              <w:t xml:space="preserve">If PARTY.FREE.LINE is genuinely the correct source, please confirm its expected format/layout (is it guaranteed to follow SWIFT BIC positional layout, or is it unconstrained free text)?</w:t>
            </w:r>
          </w:p>
        </w:tc>
        <w:tc>
          <w:tcPr>
            <w:tcW w:type="dxa" w:w="3600"/>
            <w:tcMar>
              <w:top w:type="dxa" w:w="100"/>
              <w:left w:type="dxa" w:w="100"/>
              <w:bottom w:type="dxa" w:w="100"/>
              <w:right w:type="dxa" w:w="100"/>
            </w:tcMar>
          </w:tcPr>
          <w:p>
            <w:r>
              <w:rPr>
                <w:b w:val="false"/>
                <w:bCs w:val="false"/>
                <w:sz w:val="20"/>
                <w:szCs w:val="20"/>
              </w:rPr>
              <w:t xml:space="preserve">Needed to determine whether positional slicing is safe to keep or needs to be replaced with a different parsing/lookup approach.</w:t>
            </w:r>
          </w:p>
        </w:tc>
        <w:tc>
          <w:tcPr>
            <w:tcW w:type="dxa" w:w="2000"/>
            <w:tcMar>
              <w:top w:type="dxa" w:w="100"/>
              <w:left w:type="dxa" w:w="100"/>
              <w:bottom w:type="dxa" w:w="100"/>
              <w:right w:type="dxa" w:w="100"/>
            </w:tcMar>
          </w:tcPr>
          <w:p>
            <w:r>
              <w:rPr>
                <w:b w:val="false"/>
                <w:bCs w:val="false"/>
                <w:sz w:val="20"/>
                <w:szCs w:val="20"/>
              </w:rPr>
              <w:t xml:space="preserve"/>
            </w:r>
          </w:p>
        </w:tc>
      </w:tr>
    </w:tbl>
    <w:p>
      <w:pPr>
        <w:pStyle w:val="Heading2"/>
        <w:spacing w:after="150" w:before="300"/>
      </w:pPr>
      <w:r>
        <w:rPr>
          <w:b/>
          <w:bCs/>
          <w:color w:val="1F4E79"/>
        </w:rPr>
        <w:t xml:space="preserve">4. CreditMainAmount vs. CreditAmount Naming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gridCol w:w="2000"/>
      </w:tblGrid>
      <w:tr>
        <w:trPr>
          <w:tblHeader/>
        </w:trPr>
        <w:tc>
          <w:tcPr>
            <w:tcW w:type="dxa" w:w="700"/>
            <w:shd w:fill="1F4E79" w:val="clear"/>
            <w:tcMar>
              <w:top w:type="dxa" w:w="100"/>
              <w:left w:type="dxa" w:w="100"/>
              <w:bottom w:type="dxa" w:w="100"/>
              <w:right w:type="dxa" w:w="100"/>
            </w:tcMar>
          </w:tcPr>
          <w:p>
            <w:r>
              <w:rPr>
                <w:b/>
                <w:bCs/>
                <w:color w:val="FFFFFF"/>
                <w:sz w:val="20"/>
                <w:szCs w:val="20"/>
              </w:rPr>
              <w:t xml:space="preserve">#</w:t>
            </w:r>
          </w:p>
        </w:tc>
        <w:tc>
          <w:tcPr>
            <w:tcW w:type="dxa" w:w="3600"/>
            <w:shd w:fill="1F4E79" w:val="clear"/>
            <w:tcMar>
              <w:top w:type="dxa" w:w="100"/>
              <w:left w:type="dxa" w:w="100"/>
              <w:bottom w:type="dxa" w:w="100"/>
              <w:right w:type="dxa" w:w="100"/>
            </w:tcMar>
          </w:tcPr>
          <w:p>
            <w:r>
              <w:rPr>
                <w:b/>
                <w:bCs/>
                <w:color w:val="FFFFFF"/>
                <w:sz w:val="20"/>
                <w:szCs w:val="20"/>
              </w:rPr>
              <w:t xml:space="preserve">Question</w:t>
            </w:r>
          </w:p>
        </w:tc>
        <w:tc>
          <w:tcPr>
            <w:tcW w:type="dxa" w:w="3600"/>
            <w:shd w:fill="1F4E79" w:val="clear"/>
            <w:tcMar>
              <w:top w:type="dxa" w:w="100"/>
              <w:left w:type="dxa" w:w="100"/>
              <w:bottom w:type="dxa" w:w="100"/>
              <w:right w:type="dxa" w:w="100"/>
            </w:tcMar>
          </w:tcPr>
          <w:p>
            <w:r>
              <w:rPr>
                <w:b/>
                <w:bCs/>
                <w:color w:val="FFFFFF"/>
                <w:sz w:val="20"/>
                <w:szCs w:val="20"/>
              </w:rPr>
              <w:t xml:space="preserve">Context / Why it matters</w:t>
            </w:r>
          </w:p>
        </w:tc>
        <w:tc>
          <w:tcPr>
            <w:tcW w:type="dxa" w:w="2000"/>
            <w:shd w:fill="1F4E79" w:val="clear"/>
            <w:tcMar>
              <w:top w:type="dxa" w:w="100"/>
              <w:left w:type="dxa" w:w="100"/>
              <w:bottom w:type="dxa" w:w="100"/>
              <w:right w:type="dxa" w:w="100"/>
            </w:tcMar>
          </w:tcPr>
          <w:p>
            <w:r>
              <w:rPr>
                <w:b/>
                <w:bCs/>
                <w:color w:val="FFFFFF"/>
                <w:sz w:val="20"/>
                <w:szCs w:val="20"/>
              </w:rPr>
              <w:t xml:space="preserve">Vendor Answer</w:t>
            </w:r>
          </w:p>
        </w:tc>
      </w:tr>
      <w:tr>
        <w:tc>
          <w:tcPr>
            <w:tcW w:type="dxa" w:w="700"/>
            <w:tcMar>
              <w:top w:type="dxa" w:w="100"/>
              <w:left w:type="dxa" w:w="100"/>
              <w:bottom w:type="dxa" w:w="100"/>
              <w:right w:type="dxa" w:w="100"/>
            </w:tcMar>
          </w:tcPr>
          <w:p>
            <w:r>
              <w:rPr>
                <w:b w:val="false"/>
                <w:bCs w:val="false"/>
                <w:sz w:val="20"/>
                <w:szCs w:val="20"/>
              </w:rPr>
              <w:t xml:space="preserve">4.1</w:t>
            </w:r>
          </w:p>
        </w:tc>
        <w:tc>
          <w:tcPr>
            <w:tcW w:type="dxa" w:w="3600"/>
            <w:tcMar>
              <w:top w:type="dxa" w:w="100"/>
              <w:left w:type="dxa" w:w="100"/>
              <w:bottom w:type="dxa" w:w="100"/>
              <w:right w:type="dxa" w:w="100"/>
            </w:tcMar>
          </w:tcPr>
          <w:p>
            <w:r>
              <w:rPr>
                <w:b w:val="false"/>
                <w:bCs w:val="false"/>
                <w:sz w:val="20"/>
                <w:szCs w:val="20"/>
              </w:rPr>
              <w:t xml:space="preserve">Please confirm PPPTX.CreditMainAmount is the correct field for the transaction credit amount (equivalent to legacy FT.CREDIT.AMOUNT), and not an original/running amount variant.</w:t>
            </w:r>
          </w:p>
        </w:tc>
        <w:tc>
          <w:tcPr>
            <w:tcW w:type="dxa" w:w="3600"/>
            <w:tcMar>
              <w:top w:type="dxa" w:w="100"/>
              <w:left w:type="dxa" w:w="100"/>
              <w:bottom w:type="dxa" w:w="100"/>
              <w:right w:type="dxa" w:w="100"/>
            </w:tcMar>
          </w:tcPr>
          <w:p>
            <w:r>
              <w:rPr>
                <w:b w:val="false"/>
                <w:bCs w:val="false"/>
                <w:sz w:val="20"/>
                <w:szCs w:val="20"/>
              </w:rPr>
              <w:t xml:space="preserve">Our process-flow diagram documentation refers to this field as 'CreditAmount', while the implemented code and data dictionary equate reference use 'CreditMainAmount'. Likely just a naming/mnemonic difference, but needs confirmation before sign-off.</w:t>
            </w:r>
          </w:p>
        </w:tc>
        <w:tc>
          <w:tcPr>
            <w:tcW w:type="dxa" w:w="2000"/>
            <w:tcMar>
              <w:top w:type="dxa" w:w="100"/>
              <w:left w:type="dxa" w:w="100"/>
              <w:bottom w:type="dxa" w:w="100"/>
              <w:right w:type="dxa" w:w="100"/>
            </w:tcMar>
          </w:tcPr>
          <w:p>
            <w:r>
              <w:rPr>
                <w:b w:val="false"/>
                <w:bCs w:val="false"/>
                <w:sz w:val="20"/>
                <w:szCs w:val="20"/>
              </w:rPr>
              <w:t xml:space="preserve"/>
            </w:r>
          </w:p>
        </w:tc>
      </w:tr>
    </w:tbl>
    <w:p>
      <w:pPr>
        <w:pStyle w:val="Heading2"/>
        <w:spacing w:after="150" w:before="300"/>
      </w:pPr>
      <w:r>
        <w:rPr>
          <w:b/>
          <w:bCs/>
          <w:color w:val="1F4E79"/>
        </w:rPr>
        <w:t xml:space="preserve">5. Filter Criteria (OT03 Equivalent)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gridCol w:w="2000"/>
      </w:tblGrid>
      <w:tr>
        <w:trPr>
          <w:tblHeader/>
        </w:trPr>
        <w:tc>
          <w:tcPr>
            <w:tcW w:type="dxa" w:w="700"/>
            <w:shd w:fill="1F4E79" w:val="clear"/>
            <w:tcMar>
              <w:top w:type="dxa" w:w="100"/>
              <w:left w:type="dxa" w:w="100"/>
              <w:bottom w:type="dxa" w:w="100"/>
              <w:right w:type="dxa" w:w="100"/>
            </w:tcMar>
          </w:tcPr>
          <w:p>
            <w:r>
              <w:rPr>
                <w:b/>
                <w:bCs/>
                <w:color w:val="FFFFFF"/>
                <w:sz w:val="20"/>
                <w:szCs w:val="20"/>
              </w:rPr>
              <w:t xml:space="preserve">#</w:t>
            </w:r>
          </w:p>
        </w:tc>
        <w:tc>
          <w:tcPr>
            <w:tcW w:type="dxa" w:w="3600"/>
            <w:shd w:fill="1F4E79" w:val="clear"/>
            <w:tcMar>
              <w:top w:type="dxa" w:w="100"/>
              <w:left w:type="dxa" w:w="100"/>
              <w:bottom w:type="dxa" w:w="100"/>
              <w:right w:type="dxa" w:w="100"/>
            </w:tcMar>
          </w:tcPr>
          <w:p>
            <w:r>
              <w:rPr>
                <w:b/>
                <w:bCs/>
                <w:color w:val="FFFFFF"/>
                <w:sz w:val="20"/>
                <w:szCs w:val="20"/>
              </w:rPr>
              <w:t xml:space="preserve">Question</w:t>
            </w:r>
          </w:p>
        </w:tc>
        <w:tc>
          <w:tcPr>
            <w:tcW w:type="dxa" w:w="3600"/>
            <w:shd w:fill="1F4E79" w:val="clear"/>
            <w:tcMar>
              <w:top w:type="dxa" w:w="100"/>
              <w:left w:type="dxa" w:w="100"/>
              <w:bottom w:type="dxa" w:w="100"/>
              <w:right w:type="dxa" w:w="100"/>
            </w:tcMar>
          </w:tcPr>
          <w:p>
            <w:r>
              <w:rPr>
                <w:b/>
                <w:bCs/>
                <w:color w:val="FFFFFF"/>
                <w:sz w:val="20"/>
                <w:szCs w:val="20"/>
              </w:rPr>
              <w:t xml:space="preserve">Context / Why it matters</w:t>
            </w:r>
          </w:p>
        </w:tc>
        <w:tc>
          <w:tcPr>
            <w:tcW w:type="dxa" w:w="2000"/>
            <w:shd w:fill="1F4E79" w:val="clear"/>
            <w:tcMar>
              <w:top w:type="dxa" w:w="100"/>
              <w:left w:type="dxa" w:w="100"/>
              <w:bottom w:type="dxa" w:w="100"/>
              <w:right w:type="dxa" w:w="100"/>
            </w:tcMar>
          </w:tcPr>
          <w:p>
            <w:r>
              <w:rPr>
                <w:b/>
                <w:bCs/>
                <w:color w:val="FFFFFF"/>
                <w:sz w:val="20"/>
                <w:szCs w:val="20"/>
              </w:rPr>
              <w:t xml:space="preserve">Vendor Answer</w:t>
            </w:r>
          </w:p>
        </w:tc>
      </w:tr>
      <w:tr>
        <w:tc>
          <w:tcPr>
            <w:tcW w:type="dxa" w:w="700"/>
            <w:tcMar>
              <w:top w:type="dxa" w:w="100"/>
              <w:left w:type="dxa" w:w="100"/>
              <w:bottom w:type="dxa" w:w="100"/>
              <w:right w:type="dxa" w:w="100"/>
            </w:tcMar>
          </w:tcPr>
          <w:p>
            <w:r>
              <w:rPr>
                <w:b w:val="false"/>
                <w:bCs w:val="false"/>
                <w:sz w:val="20"/>
                <w:szCs w:val="20"/>
              </w:rPr>
              <w:t xml:space="preserve">5.1</w:t>
            </w:r>
          </w:p>
        </w:tc>
        <w:tc>
          <w:tcPr>
            <w:tcW w:type="dxa" w:w="3600"/>
            <w:tcMar>
              <w:top w:type="dxa" w:w="100"/>
              <w:left w:type="dxa" w:w="100"/>
              <w:bottom w:type="dxa" w:w="100"/>
              <w:right w:type="dxa" w:w="100"/>
            </w:tcMar>
          </w:tcPr>
          <w:p>
            <w:r>
              <w:rPr>
                <w:b w:val="false"/>
                <w:bCs w:val="false"/>
                <w:sz w:val="20"/>
                <w:szCs w:val="20"/>
              </w:rPr>
              <w:t xml:space="preserve">Does DIRECTION EQ 'O' on POR.TRANSACTION map 1:1 to legacy TRANSACTION.TYPE = 'OT03', or is it a broader category (i.e., are there other outward transaction types besides OT03 that would also satisfy DIRECTION = 'O')?</w:t>
            </w:r>
          </w:p>
        </w:tc>
        <w:tc>
          <w:tcPr>
            <w:tcW w:type="dxa" w:w="3600"/>
            <w:tcMar>
              <w:top w:type="dxa" w:w="100"/>
              <w:left w:type="dxa" w:w="100"/>
              <w:bottom w:type="dxa" w:w="100"/>
              <w:right w:type="dxa" w:w="100"/>
            </w:tcMar>
          </w:tcPr>
          <w:p>
            <w:r>
              <w:rPr>
                <w:b w:val="false"/>
                <w:bCs w:val="false"/>
                <w:sz w:val="20"/>
                <w:szCs w:val="20"/>
              </w:rPr>
              <w:t xml:space="preserve">Legacy selection criteria was TRANSACTION.TYPE EQ 'OT03' AND CREDIT.CURRENCY NE 'EGP'. Our R25 selection currently uses DIRECTION EQ 'O' AND CreditMainAccountCurrencyCode NE 'EGP', with no explicit transaction-type filter. If DIRECTION='O' is broader than OT03, our report would include out-of-scope transactions.</w:t>
            </w:r>
          </w:p>
        </w:tc>
        <w:tc>
          <w:tcPr>
            <w:tcW w:type="dxa" w:w="2000"/>
            <w:tcMar>
              <w:top w:type="dxa" w:w="100"/>
              <w:left w:type="dxa" w:w="100"/>
              <w:bottom w:type="dxa" w:w="100"/>
              <w:right w:type="dxa" w:w="100"/>
            </w:tcMar>
          </w:tcPr>
          <w:p>
            <w:r>
              <w:rPr>
                <w:b w:val="false"/>
                <w:bCs w:val="false"/>
                <w:sz w:val="20"/>
                <w:szCs w:val="20"/>
              </w:rPr>
              <w:t xml:space="preserve"/>
            </w:r>
          </w:p>
        </w:tc>
      </w:tr>
      <w:tr>
        <w:tc>
          <w:tcPr>
            <w:tcW w:type="dxa" w:w="700"/>
            <w:tcMar>
              <w:top w:type="dxa" w:w="100"/>
              <w:left w:type="dxa" w:w="100"/>
              <w:bottom w:type="dxa" w:w="100"/>
              <w:right w:type="dxa" w:w="100"/>
            </w:tcMar>
          </w:tcPr>
          <w:p>
            <w:r>
              <w:rPr>
                <w:b w:val="false"/>
                <w:bCs w:val="false"/>
                <w:sz w:val="20"/>
                <w:szCs w:val="20"/>
              </w:rPr>
              <w:t xml:space="preserve">5.2</w:t>
            </w:r>
          </w:p>
        </w:tc>
        <w:tc>
          <w:tcPr>
            <w:tcW w:type="dxa" w:w="3600"/>
            <w:tcMar>
              <w:top w:type="dxa" w:w="100"/>
              <w:left w:type="dxa" w:w="100"/>
              <w:bottom w:type="dxa" w:w="100"/>
              <w:right w:type="dxa" w:w="100"/>
            </w:tcMar>
          </w:tcPr>
          <w:p>
            <w:r>
              <w:rPr>
                <w:b w:val="false"/>
                <w:bCs w:val="false"/>
                <w:sz w:val="20"/>
                <w:szCs w:val="20"/>
              </w:rPr>
              <w:t xml:space="preserve">If DIRECTION = 'O' is broader than OT03, what additional field/value on POR.TRANSACTION identifies the OT03-equivalent subtype specifically?</w:t>
            </w:r>
          </w:p>
        </w:tc>
        <w:tc>
          <w:tcPr>
            <w:tcW w:type="dxa" w:w="3600"/>
            <w:tcMar>
              <w:top w:type="dxa" w:w="100"/>
              <w:left w:type="dxa" w:w="100"/>
              <w:bottom w:type="dxa" w:w="100"/>
              <w:right w:type="dxa" w:w="100"/>
            </w:tcMar>
          </w:tcPr>
          <w:p>
            <w:r>
              <w:rPr>
                <w:b w:val="false"/>
                <w:bCs w:val="false"/>
                <w:sz w:val="20"/>
                <w:szCs w:val="20"/>
              </w:rPr>
              <w:t xml:space="preserve">Needed to add a precise second filter condition if required.</w:t>
            </w:r>
          </w:p>
        </w:tc>
        <w:tc>
          <w:tcPr>
            <w:tcW w:type="dxa" w:w="2000"/>
            <w:tcMar>
              <w:top w:type="dxa" w:w="100"/>
              <w:left w:type="dxa" w:w="100"/>
              <w:bottom w:type="dxa" w:w="100"/>
              <w:right w:type="dxa" w:w="100"/>
            </w:tcMar>
          </w:tcPr>
          <w:p>
            <w:r>
              <w:rPr>
                <w:b w:val="false"/>
                <w:bCs w:val="false"/>
                <w:sz w:val="20"/>
                <w:szCs w:val="20"/>
              </w:rPr>
              <w:t xml:space="preserve"/>
            </w:r>
          </w:p>
        </w:tc>
      </w:tr>
    </w:tbl>
    <w:p>
      <w:pPr>
        <w:pStyle w:val="Heading2"/>
        <w:spacing w:after="150" w:before="300"/>
      </w:pPr>
      <w:r>
        <w:rPr>
          <w:b/>
          <w:bCs/>
          <w:color w:val="1F4E79"/>
        </w:rPr>
        <w:t xml:space="preserve">6. Code / Key Format Equivalence (TPH output -&gt; Core lookups)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gridCol w:w="2000"/>
      </w:tblGrid>
      <w:tr>
        <w:trPr>
          <w:tblHeader/>
        </w:trPr>
        <w:tc>
          <w:tcPr>
            <w:tcW w:type="dxa" w:w="700"/>
            <w:shd w:fill="1F4E79" w:val="clear"/>
            <w:tcMar>
              <w:top w:type="dxa" w:w="100"/>
              <w:left w:type="dxa" w:w="100"/>
              <w:bottom w:type="dxa" w:w="100"/>
              <w:right w:type="dxa" w:w="100"/>
            </w:tcMar>
          </w:tcPr>
          <w:p>
            <w:r>
              <w:rPr>
                <w:b/>
                <w:bCs/>
                <w:color w:val="FFFFFF"/>
                <w:sz w:val="20"/>
                <w:szCs w:val="20"/>
              </w:rPr>
              <w:t xml:space="preserve">#</w:t>
            </w:r>
          </w:p>
        </w:tc>
        <w:tc>
          <w:tcPr>
            <w:tcW w:type="dxa" w:w="3600"/>
            <w:shd w:fill="1F4E79" w:val="clear"/>
            <w:tcMar>
              <w:top w:type="dxa" w:w="100"/>
              <w:left w:type="dxa" w:w="100"/>
              <w:bottom w:type="dxa" w:w="100"/>
              <w:right w:type="dxa" w:w="100"/>
            </w:tcMar>
          </w:tcPr>
          <w:p>
            <w:r>
              <w:rPr>
                <w:b/>
                <w:bCs/>
                <w:color w:val="FFFFFF"/>
                <w:sz w:val="20"/>
                <w:szCs w:val="20"/>
              </w:rPr>
              <w:t xml:space="preserve">Question</w:t>
            </w:r>
          </w:p>
        </w:tc>
        <w:tc>
          <w:tcPr>
            <w:tcW w:type="dxa" w:w="3600"/>
            <w:shd w:fill="1F4E79" w:val="clear"/>
            <w:tcMar>
              <w:top w:type="dxa" w:w="100"/>
              <w:left w:type="dxa" w:w="100"/>
              <w:bottom w:type="dxa" w:w="100"/>
              <w:right w:type="dxa" w:w="100"/>
            </w:tcMar>
          </w:tcPr>
          <w:p>
            <w:r>
              <w:rPr>
                <w:b/>
                <w:bCs/>
                <w:color w:val="FFFFFF"/>
                <w:sz w:val="20"/>
                <w:szCs w:val="20"/>
              </w:rPr>
              <w:t xml:space="preserve">Context / Why it matters</w:t>
            </w:r>
          </w:p>
        </w:tc>
        <w:tc>
          <w:tcPr>
            <w:tcW w:type="dxa" w:w="2000"/>
            <w:shd w:fill="1F4E79" w:val="clear"/>
            <w:tcMar>
              <w:top w:type="dxa" w:w="100"/>
              <w:left w:type="dxa" w:w="100"/>
              <w:bottom w:type="dxa" w:w="100"/>
              <w:right w:type="dxa" w:w="100"/>
            </w:tcMar>
          </w:tcPr>
          <w:p>
            <w:r>
              <w:rPr>
                <w:b/>
                <w:bCs/>
                <w:color w:val="FFFFFF"/>
                <w:sz w:val="20"/>
                <w:szCs w:val="20"/>
              </w:rPr>
              <w:t xml:space="preserve">Vendor Answer</w:t>
            </w:r>
          </w:p>
        </w:tc>
      </w:tr>
      <w:tr>
        <w:tc>
          <w:tcPr>
            <w:tcW w:type="dxa" w:w="700"/>
            <w:tcMar>
              <w:top w:type="dxa" w:w="100"/>
              <w:left w:type="dxa" w:w="100"/>
              <w:bottom w:type="dxa" w:w="100"/>
              <w:right w:type="dxa" w:w="100"/>
            </w:tcMar>
          </w:tcPr>
          <w:p>
            <w:r>
              <w:rPr>
                <w:b w:val="false"/>
                <w:bCs w:val="false"/>
                <w:sz w:val="20"/>
                <w:szCs w:val="20"/>
              </w:rPr>
              <w:t xml:space="preserve">6.1</w:t>
            </w:r>
          </w:p>
        </w:tc>
        <w:tc>
          <w:tcPr>
            <w:tcW w:type="dxa" w:w="3600"/>
            <w:tcMar>
              <w:top w:type="dxa" w:w="100"/>
              <w:left w:type="dxa" w:w="100"/>
              <w:bottom w:type="dxa" w:w="100"/>
              <w:right w:type="dxa" w:w="100"/>
            </w:tcMar>
          </w:tcPr>
          <w:p>
            <w:r>
              <w:rPr>
                <w:b w:val="false"/>
                <w:bCs w:val="false"/>
                <w:sz w:val="20"/>
                <w:szCs w:val="20"/>
              </w:rPr>
              <w:t xml:space="preserve">Does PPPTX.CreditMainAccountCurrencyCode use the exact same currency code values/format as the legacy FT.CREDIT.CURRENCY field that CIB.TT.CBE.CODE (GROUP.CODE='2') was originally populated and maintained against?</w:t>
            </w:r>
          </w:p>
        </w:tc>
        <w:tc>
          <w:tcPr>
            <w:tcW w:type="dxa" w:w="3600"/>
            <w:tcMar>
              <w:top w:type="dxa" w:w="100"/>
              <w:left w:type="dxa" w:w="100"/>
              <w:bottom w:type="dxa" w:w="100"/>
              <w:right w:type="dxa" w:w="100"/>
            </w:tcMar>
          </w:tcPr>
          <w:p>
            <w:r>
              <w:rPr>
                <w:b w:val="false"/>
                <w:bCs w:val="false"/>
                <w:sz w:val="20"/>
                <w:szCs w:val="20"/>
              </w:rPr>
              <w:t xml:space="preserve">Our Core enrichment routine looks up CIB.TT.CBE.CODE using this field verbatim as the key. If the code set, casing, or padding differs from what the table expects, every currency translation would silently return blank rather than erroring.</w:t>
            </w:r>
          </w:p>
        </w:tc>
        <w:tc>
          <w:tcPr>
            <w:tcW w:type="dxa" w:w="2000"/>
            <w:tcMar>
              <w:top w:type="dxa" w:w="100"/>
              <w:left w:type="dxa" w:w="100"/>
              <w:bottom w:type="dxa" w:w="100"/>
              <w:right w:type="dxa" w:w="100"/>
            </w:tcMar>
          </w:tcPr>
          <w:p>
            <w:r>
              <w:rPr>
                <w:b w:val="false"/>
                <w:bCs w:val="false"/>
                <w:sz w:val="20"/>
                <w:szCs w:val="20"/>
              </w:rPr>
              <w:t xml:space="preserve"/>
            </w:r>
          </w:p>
        </w:tc>
      </w:tr>
      <w:tr>
        <w:tc>
          <w:tcPr>
            <w:tcW w:type="dxa" w:w="700"/>
            <w:tcMar>
              <w:top w:type="dxa" w:w="100"/>
              <w:left w:type="dxa" w:w="100"/>
              <w:bottom w:type="dxa" w:w="100"/>
              <w:right w:type="dxa" w:w="100"/>
            </w:tcMar>
          </w:tcPr>
          <w:p>
            <w:r>
              <w:rPr>
                <w:b w:val="false"/>
                <w:bCs w:val="false"/>
                <w:sz w:val="20"/>
                <w:szCs w:val="20"/>
              </w:rPr>
              <w:t xml:space="preserve">6.2</w:t>
            </w:r>
          </w:p>
        </w:tc>
        <w:tc>
          <w:tcPr>
            <w:tcW w:type="dxa" w:w="3600"/>
            <w:tcMar>
              <w:top w:type="dxa" w:w="100"/>
              <w:left w:type="dxa" w:w="100"/>
              <w:bottom w:type="dxa" w:w="100"/>
              <w:right w:type="dxa" w:w="100"/>
            </w:tcMar>
          </w:tcPr>
          <w:p>
            <w:r>
              <w:rPr>
                <w:b w:val="false"/>
                <w:bCs w:val="false"/>
                <w:sz w:val="20"/>
                <w:szCs w:val="20"/>
              </w:rPr>
              <w:t xml:space="preserve">Does PPPTX.DebitMainAccount use the exact same account number format/length as legacy T24 account IDs used to key FBNK.ACCOUNT?</w:t>
            </w:r>
          </w:p>
        </w:tc>
        <w:tc>
          <w:tcPr>
            <w:tcW w:type="dxa" w:w="3600"/>
            <w:tcMar>
              <w:top w:type="dxa" w:w="100"/>
              <w:left w:type="dxa" w:w="100"/>
              <w:bottom w:type="dxa" w:w="100"/>
              <w:right w:type="dxa" w:w="100"/>
            </w:tcMar>
          </w:tcPr>
          <w:p>
            <w:r>
              <w:rPr>
                <w:b w:val="false"/>
                <w:bCs w:val="false"/>
                <w:sz w:val="20"/>
                <w:szCs w:val="20"/>
              </w:rPr>
              <w:t xml:space="preserve">Our Core routine reads FBNK.ACCOUNT directly using this value as the key to resolve the customer ID, which in turn drives sector/industry/short-name enrichment. Any format mismatch (padding, length, prefix) would cause the account lookup — and everything downstream of it — to fail silently, producing blank enrichment fields with no error.</w:t>
            </w:r>
          </w:p>
        </w:tc>
        <w:tc>
          <w:tcPr>
            <w:tcW w:type="dxa" w:w="2000"/>
            <w:tcMar>
              <w:top w:type="dxa" w:w="100"/>
              <w:left w:type="dxa" w:w="100"/>
              <w:bottom w:type="dxa" w:w="100"/>
              <w:right w:type="dxa" w:w="100"/>
            </w:tcMar>
          </w:tcPr>
          <w:p>
            <w:r>
              <w:rPr>
                <w:b w:val="false"/>
                <w:bCs w:val="false"/>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2026-09-19T12:45:05.958Z</dcterms:created>
  <dcterms:modified xsi:type="dcterms:W3CDTF">2026-09-19T12:45:05.967Z</dcterms:modified>
</cp:coreProperties>
</file>

<file path=docProps/custom.xml><?xml version="1.0" encoding="utf-8"?>
<Properties xmlns="http://schemas.openxmlformats.org/officeDocument/2006/custom-properties" xmlns:vt="http://schemas.openxmlformats.org/officeDocument/2006/docPropsVTypes"/>
</file>