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F3864"/>
          <w:sz w:val="34"/>
          <w:szCs w:val="34"/>
        </w:rPr>
        <w:t xml:space="preserve">Service Analysis: Create Outward Transfer</w:t>
      </w:r>
    </w:p>
    <w:p>
      <w:pPr>
        <w:spacing w:after="300"/>
      </w:pPr>
      <w:r>
        <w:rPr>
          <w:i/>
          <w:iCs/>
          <w:color w:val="555555"/>
          <w:sz w:val="22"/>
          <w:szCs w:val="22"/>
        </w:rPr>
        <w:t xml:space="preserve">T24 R20/FT → TPH R25/IRIS API Migration Audit</w:t>
      </w:r>
    </w:p>
    <w:p>
      <w:pPr>
        <w:spacing w:after="60"/>
      </w:pPr>
      <w:r>
        <w:rPr>
          <w:b/>
          <w:bCs/>
        </w:rPr>
        <w:t xml:space="preserve">Source Routine: </w:t>
      </w:r>
      <w:r>
        <w:t xml:space="preserve">CIB.OT.FT</w:t>
      </w:r>
    </w:p>
    <w:p>
      <w:pPr>
        <w:spacing w:after="60"/>
      </w:pPr>
      <w:r>
        <w:rPr>
          <w:b/>
          <w:bCs/>
        </w:rPr>
        <w:t xml:space="preserve">Type: </w:t>
      </w:r>
      <w:r>
        <w:t xml:space="preserve">OFS Wrapper Routine (Custom Call Routine)</w:t>
      </w:r>
    </w:p>
    <w:p>
      <w:pPr>
        <w:spacing w:after="60"/>
      </w:pPr>
      <w:r>
        <w:rPr>
          <w:b/>
          <w:bCs/>
        </w:rPr>
        <w:t xml:space="preserve">Current Version: </w:t>
      </w:r>
      <w:r>
        <w:t xml:space="preserve">T24 R20 / FT (OFS)</w:t>
      </w:r>
    </w:p>
    <w:p>
      <w:pPr>
        <w:spacing w:after="60"/>
      </w:pPr>
      <w:r>
        <w:rPr>
          <w:b/>
          <w:bCs/>
        </w:rPr>
        <w:t xml:space="preserve">Target: </w:t>
      </w:r>
      <w:r>
        <w:t xml:space="preserve">TPH R25 / IRIS API</w:t>
      </w:r>
    </w:p>
    <w:p>
      <w:pPr>
        <w:spacing w:after="60"/>
      </w:pPr>
      <w:r>
        <w:rPr>
          <w:b/>
          <w:bCs/>
        </w:rPr>
        <w:t xml:space="preserve">Used By (per code): </w:t>
      </w:r>
      <w:r>
        <w:t xml:space="preserve">Channels via CHNL.CODE — includes API, VOS, BPM, BB.MCP, and generic channels (channel-agnostic router)</w:t>
      </w:r>
    </w:p>
    <w:p>
      <w:pPr>
        <w:spacing w:after="60"/>
      </w:pPr>
      <w:r>
        <w:rPr>
          <w:b/>
          <w:bCs/>
        </w:rPr>
        <w:t xml:space="preserve">Service ID (SRVC.ID): </w:t>
      </w:r>
      <w:r>
        <w:t xml:space="preserve">1006 — parsed from header segment 1 (or segment 1 of the '#'-delimited sub-header when HEADER.ID starts with 'XML') and stored against every CIB.API.FT record for this service</w:t>
      </w:r>
    </w:p>
    <w:p>
      <w:pPr>
        <w:pStyle w:val="Heading1"/>
        <w:pBdr>
          <w:bottom w:val="single" w:color="2E5395" w:sz="6" w:space="4"/>
        </w:pBdr>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5"/>
        <w:gridCol w:w="6465"/>
      </w:tblGrid>
      <w:tr>
        <w:trPr>
          <w:tblHeader/>
        </w:trPr>
        <w:tc>
          <w:tcPr>
            <w:tcW w:type="dxa" w:w="2895"/>
            <w:shd w:fill="2E5395" w:val="clear"/>
            <w:tcMar>
              <w:top w:type="dxa" w:w="80"/>
              <w:left w:type="dxa" w:w="100"/>
              <w:bottom w:type="dxa" w:w="80"/>
              <w:right w:type="dxa" w:w="100"/>
            </w:tcMar>
          </w:tcPr>
          <w:p>
            <w:r>
              <w:rPr>
                <w:b/>
                <w:bCs/>
                <w:color w:val="FFFFFF"/>
              </w:rPr>
              <w:t xml:space="preserve">Field</w:t>
            </w:r>
          </w:p>
        </w:tc>
        <w:tc>
          <w:tcPr>
            <w:tcW w:type="dxa" w:w="6465"/>
            <w:shd w:fill="2E5395" w:val="clear"/>
            <w:tcMar>
              <w:top w:type="dxa" w:w="80"/>
              <w:left w:type="dxa" w:w="100"/>
              <w:bottom w:type="dxa" w:w="80"/>
              <w:right w:type="dxa" w:w="100"/>
            </w:tcMar>
          </w:tcPr>
          <w:p>
            <w:r>
              <w:rPr>
                <w:b/>
                <w:bCs/>
                <w:color w:val="FFFFFF"/>
              </w:rPr>
              <w:t xml:space="preserve">Value</w:t>
            </w:r>
          </w:p>
        </w:tc>
      </w:tr>
      <w:tr>
        <w:tc>
          <w:tcPr>
            <w:tcW w:type="dxa" w:w="2895"/>
            <w:tcMar>
              <w:top w:type="dxa" w:w="60"/>
              <w:left w:type="dxa" w:w="100"/>
              <w:bottom w:type="dxa" w:w="60"/>
              <w:right w:type="dxa" w:w="100"/>
            </w:tcMar>
          </w:tcPr>
          <w:p>
            <w:r>
              <w:rPr>
                <w:b w:val="false"/>
                <w:bCs w:val="false"/>
              </w:rPr>
              <w:t xml:space="preserve">Document Title</w:t>
            </w:r>
          </w:p>
        </w:tc>
        <w:tc>
          <w:tcPr>
            <w:tcW w:type="dxa" w:w="6465"/>
            <w:tcMar>
              <w:top w:type="dxa" w:w="60"/>
              <w:left w:type="dxa" w:w="100"/>
              <w:bottom w:type="dxa" w:w="60"/>
              <w:right w:type="dxa" w:w="100"/>
            </w:tcMar>
          </w:tcPr>
          <w:p>
            <w:r>
              <w:rPr>
                <w:b w:val="false"/>
                <w:bCs w:val="false"/>
              </w:rPr>
              <w:t xml:space="preserve">Service Analysis — Create Outward Transfer (CIB.OT.FT)</w:t>
            </w:r>
          </w:p>
        </w:tc>
      </w:tr>
      <w:tr>
        <w:tc>
          <w:tcPr>
            <w:tcW w:type="dxa" w:w="2895"/>
            <w:tcMar>
              <w:top w:type="dxa" w:w="60"/>
              <w:left w:type="dxa" w:w="100"/>
              <w:bottom w:type="dxa" w:w="60"/>
              <w:right w:type="dxa" w:w="100"/>
            </w:tcMar>
          </w:tcPr>
          <w:p>
            <w:r>
              <w:rPr>
                <w:b w:val="false"/>
                <w:bCs w:val="false"/>
              </w:rPr>
              <w:t xml:space="preserve">Version</w:t>
            </w:r>
          </w:p>
        </w:tc>
        <w:tc>
          <w:tcPr>
            <w:tcW w:type="dxa" w:w="6465"/>
            <w:tcMar>
              <w:top w:type="dxa" w:w="60"/>
              <w:left w:type="dxa" w:w="100"/>
              <w:bottom w:type="dxa" w:w="60"/>
              <w:right w:type="dxa" w:w="100"/>
            </w:tcMar>
          </w:tcPr>
          <w:p>
            <w:r>
              <w:rPr>
                <w:b w:val="false"/>
                <w:bCs w:val="false"/>
              </w:rPr>
              <w:t xml:space="preserve">1.1</w:t>
            </w:r>
          </w:p>
        </w:tc>
      </w:tr>
      <w:tr>
        <w:tc>
          <w:tcPr>
            <w:tcW w:type="dxa" w:w="2895"/>
            <w:tcMar>
              <w:top w:type="dxa" w:w="60"/>
              <w:left w:type="dxa" w:w="100"/>
              <w:bottom w:type="dxa" w:w="60"/>
              <w:right w:type="dxa" w:w="100"/>
            </w:tcMar>
          </w:tcPr>
          <w:p>
            <w:r>
              <w:rPr>
                <w:b w:val="false"/>
                <w:bCs w:val="false"/>
              </w:rPr>
              <w:t xml:space="preserve">Status</w:t>
            </w:r>
          </w:p>
        </w:tc>
        <w:tc>
          <w:tcPr>
            <w:tcW w:type="dxa" w:w="6465"/>
            <w:tcMar>
              <w:top w:type="dxa" w:w="60"/>
              <w:left w:type="dxa" w:w="100"/>
              <w:bottom w:type="dxa" w:w="60"/>
              <w:right w:type="dxa" w:w="100"/>
            </w:tcMar>
          </w:tcPr>
          <w:p>
            <w:r>
              <w:rPr>
                <w:b w:val="false"/>
                <w:bCs w:val="false"/>
              </w:rPr>
              <w:t xml:space="preserve">Draft — pending peer review</w:t>
            </w:r>
          </w:p>
        </w:tc>
      </w:tr>
      <w:tr>
        <w:tc>
          <w:tcPr>
            <w:tcW w:type="dxa" w:w="2895"/>
            <w:tcMar>
              <w:top w:type="dxa" w:w="60"/>
              <w:left w:type="dxa" w:w="100"/>
              <w:bottom w:type="dxa" w:w="60"/>
              <w:right w:type="dxa" w:w="100"/>
            </w:tcMar>
          </w:tcPr>
          <w:p>
            <w:r>
              <w:rPr>
                <w:b w:val="false"/>
                <w:bCs w:val="false"/>
              </w:rPr>
              <w:t xml:space="preserve">Prepared For</w:t>
            </w:r>
          </w:p>
        </w:tc>
        <w:tc>
          <w:tcPr>
            <w:tcW w:type="dxa" w:w="6465"/>
            <w:tcMar>
              <w:top w:type="dxa" w:w="60"/>
              <w:left w:type="dxa" w:w="100"/>
              <w:bottom w:type="dxa" w:w="60"/>
              <w:right w:type="dxa" w:w="100"/>
            </w:tcMar>
          </w:tcPr>
          <w:p>
            <w:r>
              <w:rPr>
                <w:b w:val="false"/>
                <w:bCs w:val="false"/>
              </w:rPr>
              <w:t xml:space="preserve">T24 R20→R25 / FT→TPH Migration Programme</w:t>
            </w:r>
          </w:p>
        </w:tc>
      </w:tr>
      <w:tr>
        <w:tc>
          <w:tcPr>
            <w:tcW w:type="dxa" w:w="2895"/>
            <w:tcMar>
              <w:top w:type="dxa" w:w="60"/>
              <w:left w:type="dxa" w:w="100"/>
              <w:bottom w:type="dxa" w:w="60"/>
              <w:right w:type="dxa" w:w="100"/>
            </w:tcMar>
          </w:tcPr>
          <w:p>
            <w:r>
              <w:rPr>
                <w:b w:val="false"/>
                <w:bCs w:val="false"/>
              </w:rPr>
              <w:t xml:space="preserve">Prepared Basis</w:t>
            </w:r>
          </w:p>
        </w:tc>
        <w:tc>
          <w:tcPr>
            <w:tcW w:type="dxa" w:w="6465"/>
            <w:tcMar>
              <w:top w:type="dxa" w:w="60"/>
              <w:left w:type="dxa" w:w="100"/>
              <w:bottom w:type="dxa" w:w="60"/>
              <w:right w:type="dxa" w:w="100"/>
            </w:tcMar>
          </w:tcPr>
          <w:p>
            <w:r>
              <w:rPr>
                <w:b w:val="false"/>
                <w:bCs w:val="false"/>
              </w:rPr>
              <w:t xml:space="preserve">Static code review of CIB.OT.FT (as supplied)</w:t>
            </w:r>
          </w:p>
        </w:tc>
      </w:tr>
      <w:tr>
        <w:tc>
          <w:tcPr>
            <w:tcW w:type="dxa" w:w="2895"/>
            <w:tcMar>
              <w:top w:type="dxa" w:w="60"/>
              <w:left w:type="dxa" w:w="100"/>
              <w:bottom w:type="dxa" w:w="60"/>
              <w:right w:type="dxa" w:w="100"/>
            </w:tcMar>
          </w:tcPr>
          <w:p>
            <w:r>
              <w:rPr>
                <w:b w:val="false"/>
                <w:bCs w:val="false"/>
              </w:rPr>
              <w:t xml:space="preserve">Last Updated</w:t>
            </w:r>
          </w:p>
        </w:tc>
        <w:tc>
          <w:tcPr>
            <w:tcW w:type="dxa" w:w="6465"/>
            <w:tcMar>
              <w:top w:type="dxa" w:w="60"/>
              <w:left w:type="dxa" w:w="100"/>
              <w:bottom w:type="dxa" w:w="60"/>
              <w:right w:type="dxa" w:w="100"/>
            </w:tcMar>
          </w:tcPr>
          <w:p>
            <w:r>
              <w:rPr>
                <w:b w:val="false"/>
                <w:bCs w:val="false"/>
              </w:rPr>
              <w:t xml:space="preserve">23-Aug-2026</w:t>
            </w:r>
          </w:p>
        </w:tc>
      </w:tr>
      <w:tr>
        <w:tc>
          <w:tcPr>
            <w:tcW w:type="dxa" w:w="2895"/>
            <w:tcMar>
              <w:top w:type="dxa" w:w="60"/>
              <w:left w:type="dxa" w:w="100"/>
              <w:bottom w:type="dxa" w:w="60"/>
              <w:right w:type="dxa" w:w="100"/>
            </w:tcMar>
          </w:tcPr>
          <w:p>
            <w:r>
              <w:rPr>
                <w:b w:val="false"/>
                <w:bCs w:val="false"/>
              </w:rPr>
              <w:t xml:space="preserve">Related Documents</w:t>
            </w:r>
          </w:p>
        </w:tc>
        <w:tc>
          <w:tcPr>
            <w:tcW w:type="dxa" w:w="6465"/>
            <w:tcMar>
              <w:top w:type="dxa" w:w="60"/>
              <w:left w:type="dxa" w:w="100"/>
              <w:bottom w:type="dxa" w:w="60"/>
              <w:right w:type="dxa" w:w="100"/>
            </w:tcMar>
          </w:tcPr>
          <w:p>
            <w:r>
              <w:rPr>
                <w:b w:val="false"/>
                <w:bCs w:val="false"/>
              </w:rPr>
              <w:t xml:space="preserve">CIB.API.VALIDATE.FT audit (pending), CIB.API.OVERRIDE table export (pending), ST.CIB.FI.FT.PARAM table export (pending)</w:t>
            </w:r>
          </w:p>
        </w:tc>
      </w:tr>
    </w:tbl>
    <w:p>
      <w:pPr>
        <w:pStyle w:val="Heading1"/>
        <w:pBdr>
          <w:bottom w:val="single" w:color="2E5395" w:sz="6" w:space="4"/>
        </w:pBdr>
        <w:spacing w:after="150" w:before="300"/>
      </w:pPr>
      <w:r>
        <w:t xml:space="preserve">Executive Summary</w:t>
      </w:r>
    </w:p>
    <w:p>
      <w:pPr>
        <w:spacing w:after="120"/>
      </w:pPr>
      <w:r>
        <w:t xml:space="preserve">CIB.OT.FT is a high-complexity, bespoke OFS orchestration routine with no direct 1:1 equivalent on TPH/IRIS. It combines input parsing, multi-layer business validation, config-table-driven rule branching (per channel and per customer industry), currency conversion, an idempotency cache, and post-posting auto-authorization. Migration risk is driven less by the OFS-to-API field mapping itself and more by the amount of business logic and control (limits, overdraft, restricted-industry posting blocks, auto-auth) currently embedded in Universe/BASIC code and config tables rather than in T24's native validation layer.</w:t>
      </w:r>
    </w:p>
    <w:p>
      <w:pPr>
        <w:pStyle w:val="Heading2"/>
        <w:spacing w:after="120" w:before="260"/>
      </w:pPr>
      <w:r>
        <w:t xml:space="preserve">Risk &amp; Priority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9"/>
        <w:gridCol w:w="1544"/>
        <w:gridCol w:w="5307"/>
      </w:tblGrid>
      <w:tr>
        <w:trPr>
          <w:tblHeader/>
        </w:trPr>
        <w:tc>
          <w:tcPr>
            <w:tcW w:type="dxa" w:w="2509"/>
            <w:shd w:fill="2E5395" w:val="clear"/>
            <w:tcMar>
              <w:top w:type="dxa" w:w="80"/>
              <w:left w:type="dxa" w:w="100"/>
              <w:bottom w:type="dxa" w:w="80"/>
              <w:right w:type="dxa" w:w="100"/>
            </w:tcMar>
          </w:tcPr>
          <w:p>
            <w:r>
              <w:rPr>
                <w:b/>
                <w:bCs/>
                <w:color w:val="FFFFFF"/>
              </w:rPr>
              <w:t xml:space="preserve">Dimension</w:t>
            </w:r>
          </w:p>
        </w:tc>
        <w:tc>
          <w:tcPr>
            <w:tcW w:type="dxa" w:w="1544"/>
            <w:shd w:fill="2E5395" w:val="clear"/>
            <w:tcMar>
              <w:top w:type="dxa" w:w="80"/>
              <w:left w:type="dxa" w:w="100"/>
              <w:bottom w:type="dxa" w:w="80"/>
              <w:right w:type="dxa" w:w="100"/>
            </w:tcMar>
          </w:tcPr>
          <w:p>
            <w:r>
              <w:rPr>
                <w:b/>
                <w:bCs/>
                <w:color w:val="FFFFFF"/>
              </w:rPr>
              <w:t xml:space="preserve">Rating</w:t>
            </w:r>
          </w:p>
        </w:tc>
        <w:tc>
          <w:tcPr>
            <w:tcW w:type="dxa" w:w="5307"/>
            <w:shd w:fill="2E5395" w:val="clear"/>
            <w:tcMar>
              <w:top w:type="dxa" w:w="80"/>
              <w:left w:type="dxa" w:w="100"/>
              <w:bottom w:type="dxa" w:w="80"/>
              <w:right w:type="dxa" w:w="100"/>
            </w:tcMar>
          </w:tcPr>
          <w:p>
            <w:r>
              <w:rPr>
                <w:b/>
                <w:bCs/>
                <w:color w:val="FFFFFF"/>
              </w:rPr>
              <w:t xml:space="preserve">Rationale</w:t>
            </w:r>
          </w:p>
        </w:tc>
      </w:tr>
      <w:tr>
        <w:tc>
          <w:tcPr>
            <w:tcW w:type="dxa" w:w="2509"/>
            <w:tcMar>
              <w:top w:type="dxa" w:w="60"/>
              <w:left w:type="dxa" w:w="100"/>
              <w:bottom w:type="dxa" w:w="60"/>
              <w:right w:type="dxa" w:w="100"/>
            </w:tcMar>
          </w:tcPr>
          <w:p>
            <w:r>
              <w:rPr>
                <w:b w:val="false"/>
                <w:bCs w:val="false"/>
              </w:rPr>
              <w:t xml:space="preserve">Business Criticality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Handles live outward funds transfer posting — a core financial (money-movement) transaction</w:t>
            </w:r>
          </w:p>
        </w:tc>
      </w:tr>
      <w:tr>
        <w:tc>
          <w:tcPr>
            <w:tcW w:type="dxa" w:w="2509"/>
            <w:tcMar>
              <w:top w:type="dxa" w:w="60"/>
              <w:left w:type="dxa" w:w="100"/>
              <w:bottom w:type="dxa" w:w="60"/>
              <w:right w:type="dxa" w:w="100"/>
            </w:tcMar>
          </w:tcPr>
          <w:p>
            <w:r>
              <w:rPr>
                <w:b w:val="false"/>
                <w:bCs w:val="false"/>
              </w:rPr>
              <w:t xml:space="preserve">Migration Complexity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51 input fields, 4 custom status codes, 8+ external routine dependencies, 4 config tables, channel-specific branching</w:t>
            </w:r>
          </w:p>
        </w:tc>
      </w:tr>
      <w:tr>
        <w:tc>
          <w:tcPr>
            <w:tcW w:type="dxa" w:w="2509"/>
            <w:tcMar>
              <w:top w:type="dxa" w:w="60"/>
              <w:left w:type="dxa" w:w="100"/>
              <w:bottom w:type="dxa" w:w="60"/>
              <w:right w:type="dxa" w:w="100"/>
            </w:tcMar>
          </w:tcPr>
          <w:p>
            <w:r>
              <w:rPr>
                <w:b w:val="false"/>
                <w:bCs w:val="false"/>
              </w:rPr>
              <w:t xml:space="preserve">Control/Compliance Sensitivity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Contains overdraft authorization bypass, auto-authorization, and industry-based posting restriction logic — all control-relevant</w:t>
            </w:r>
          </w:p>
        </w:tc>
      </w:tr>
      <w:tr>
        <w:tc>
          <w:tcPr>
            <w:tcW w:type="dxa" w:w="2509"/>
            <w:tcMar>
              <w:top w:type="dxa" w:w="60"/>
              <w:left w:type="dxa" w:w="100"/>
              <w:bottom w:type="dxa" w:w="60"/>
              <w:right w:type="dxa" w:w="100"/>
            </w:tcMar>
          </w:tcPr>
          <w:p>
            <w:r>
              <w:rPr>
                <w:b w:val="false"/>
                <w:bCs w:val="false"/>
              </w:rPr>
              <w:t xml:space="preserve">Testing Priority</w:t>
            </w:r>
          </w:p>
        </w:tc>
        <w:tc>
          <w:tcPr>
            <w:tcW w:type="dxa" w:w="1544"/>
            <w:tcMar>
              <w:top w:type="dxa" w:w="60"/>
              <w:left w:type="dxa" w:w="100"/>
              <w:bottom w:type="dxa" w:w="60"/>
              <w:right w:type="dxa" w:w="100"/>
            </w:tcMar>
          </w:tcPr>
          <w:p>
            <w:r>
              <w:rPr>
                <w:b w:val="false"/>
                <w:bCs w:val="false"/>
              </w:rPr>
              <w:t xml:space="preserve">P1 — test first</w:t>
            </w:r>
          </w:p>
        </w:tc>
        <w:tc>
          <w:tcPr>
            <w:tcW w:type="dxa" w:w="5307"/>
            <w:tcMar>
              <w:top w:type="dxa" w:w="60"/>
              <w:left w:type="dxa" w:w="100"/>
              <w:bottom w:type="dxa" w:w="60"/>
              <w:right w:type="dxa" w:w="100"/>
            </w:tcMar>
          </w:tcPr>
          <w:p>
            <w:r>
              <w:rPr>
                <w:b w:val="false"/>
                <w:bCs w:val="false"/>
              </w:rPr>
              <w:t xml:space="preserve">Financial transaction with multiple silent business-rule branches; regression coverage must include every channel (API, VOS, BPM, BB.MCP) and every status code path</w:t>
            </w:r>
          </w:p>
        </w:tc>
      </w:tr>
    </w:tbl>
    <w:p>
      <w:pPr>
        <w:pStyle w:val="Heading1"/>
        <w:pBdr>
          <w:bottom w:val="single" w:color="2E5395" w:sz="6" w:space="4"/>
        </w:pBdr>
        <w:spacing w:after="150" w:before="300"/>
      </w:pPr>
      <w:r>
        <w:t xml:space="preserve">Service Description (Business View)</w:t>
      </w:r>
    </w:p>
    <w:p>
      <w:pPr>
        <w:spacing w:after="120"/>
      </w:pPr>
      <w:r>
        <w:t xml:space="preserve">"Create Outward Transfer" lets a customer or bank operator send money out of a CIB account to a beneficiary — whether that beneficiary holds an account at CIB, at another bank locally, or at a bank abroad. It covers the everyday "send money" journey behind channels such as internet/mobile banking, the corporate/business banking portal (BB.MCP), branch/teller-assisted transfers (BPM), and other API-driven integrations (VOS and generic API clients).</w:t>
      </w:r>
    </w:p>
    <w:p>
      <w:pPr>
        <w:spacing w:after="120"/>
      </w:pPr>
      <w:r>
        <w:t xml:space="preserve">In plain terms, when this service is called it:</w:t>
      </w:r>
    </w:p>
    <w:p>
      <w:pPr>
        <w:pStyle w:val="ListParagraph"/>
        <w:numPr>
          <w:ilvl w:val="0"/>
          <w:numId w:val="1"/>
        </w:numPr>
        <w:spacing w:after="60"/>
      </w:pPr>
      <w:r>
        <w:t xml:space="preserve">Confirms the request hasn't already been processed (protects against double-submission, e.g. a channel retry or network timeout causing the same payment to be sent twice).</w:t>
      </w:r>
    </w:p>
    <w:p>
      <w:pPr>
        <w:pStyle w:val="ListParagraph"/>
        <w:numPr>
          <w:ilvl w:val="0"/>
          <w:numId w:val="1"/>
        </w:numPr>
        <w:spacing w:after="60"/>
      </w:pPr>
      <w:r>
        <w:t xml:space="preserve">Checks whether the requesting channel or transaction type is currently allowed to transact (e.g. temporarily blocked channels, restricted transaction types).</w:t>
      </w:r>
    </w:p>
    <w:p>
      <w:pPr>
        <w:pStyle w:val="ListParagraph"/>
        <w:numPr>
          <w:ilvl w:val="0"/>
          <w:numId w:val="1"/>
        </w:numPr>
        <w:spacing w:after="60"/>
      </w:pPr>
      <w:r>
        <w:t xml:space="preserve">For certain business/corporate customers, checks whether their industry or account is subject to a posting restriction (e.g. a customer flagged for enhanced control who cannot self-initiate certain payments) and blocks the transfer with an explanation if so.</w:t>
      </w:r>
    </w:p>
    <w:p>
      <w:pPr>
        <w:pStyle w:val="ListParagraph"/>
        <w:numPr>
          <w:ilvl w:val="0"/>
          <w:numId w:val="1"/>
        </w:numPr>
        <w:spacing w:after="60"/>
      </w:pPr>
      <w:r>
        <w:t xml:space="preserve">Confirms the customer has enough available funds to cover the transfer — converting currency if the account and the transfer are in different currencies — and, depending on the channel's configuration, may allow the transfer to proceed into an overdraft with a hold for review rather than rejecting it outright.</w:t>
      </w:r>
    </w:p>
    <w:p>
      <w:pPr>
        <w:pStyle w:val="ListParagraph"/>
        <w:numPr>
          <w:ilvl w:val="0"/>
          <w:numId w:val="1"/>
        </w:numPr>
        <w:spacing w:after="60"/>
      </w:pPr>
      <w:r>
        <w:t xml:space="preserve">Validates the beneficiary's account/IBAN and correctly identifies the beneficiary's bank, intermediary bank, and any routing details needed to route the payment domestically or internationally (including SWIFT-style MT/MX name formatting for cross-border payments).</w:t>
      </w:r>
    </w:p>
    <w:p>
      <w:pPr>
        <w:pStyle w:val="ListParagraph"/>
        <w:numPr>
          <w:ilvl w:val="0"/>
          <w:numId w:val="1"/>
        </w:numPr>
        <w:spacing w:after="60"/>
      </w:pPr>
      <w:r>
        <w:t xml:space="preserve">Works out who pays the transfer charges (the sender, the beneficiary, or shared) and applies the correct commission code and amount.</w:t>
      </w:r>
    </w:p>
    <w:p>
      <w:pPr>
        <w:pStyle w:val="ListParagraph"/>
        <w:numPr>
          <w:ilvl w:val="0"/>
          <w:numId w:val="1"/>
        </w:numPr>
        <w:spacing w:after="60"/>
      </w:pPr>
      <w:r>
        <w:t xml:space="preserve">Submits the payment for posting in the core banking ledger and, where the channel is configured to allow it, automatically authorizes the transaction so the customer doesn't need to wait for a second banker to approve it.</w:t>
      </w:r>
    </w:p>
    <w:p>
      <w:pPr>
        <w:pStyle w:val="ListParagraph"/>
        <w:numPr>
          <w:ilvl w:val="0"/>
          <w:numId w:val="1"/>
        </w:numPr>
        <w:spacing w:after="60"/>
      </w:pPr>
      <w:r>
        <w:t xml:space="preserve">Sends back a clear outcome to the channel: success with a reference number, or a rejection with a specific reason (insufficient funds, restricted, blocked, etc.) that the channel can show to the customer.</w:t>
      </w:r>
    </w:p>
    <w:p>
      <w:pPr>
        <w:spacing w:after="120"/>
      </w:pPr>
      <w:r>
        <w:rPr>
          <w:i/>
          <w:iCs/>
        </w:rPr>
        <w:t xml:space="preserve">Who uses it: retail and corporate customers initiating transfers via digital channels, and CIB staff/branch systems initiating transfers on a customer's behalf. Typical triggers: "Send Money" / "Transfer Funds" / "International Wire" actions in the mobile app, internet banking, the Business Banking portal, or a partner system integrating via API.</w:t>
      </w:r>
    </w:p>
    <w:p>
      <w:pPr>
        <w:pStyle w:val="Heading1"/>
        <w:pBdr>
          <w:bottom w:val="single" w:color="2E5395" w:sz="6" w:space="4"/>
        </w:pBdr>
        <w:spacing w:after="150" w:before="300"/>
      </w:pPr>
      <w:r>
        <w:t xml:space="preserve">1. Purpose</w:t>
      </w:r>
    </w:p>
    <w:p>
      <w:pPr>
        <w:spacing w:after="120"/>
      </w:pPr>
      <w:r>
        <w:t xml:space="preserve">Takes a pipe-delimited (|) flat string (I.PARAM) built by the channel, parses it into ~45 fields, builds an OFS record, and posts it to FUNDS.TRANSFER via OFS.BULK.MANAGER. Returns a pipe-delimited response (O.MSG) with status code, FT ID, raw OFS record, paid amount, and overrides.</w:t>
      </w:r>
    </w:p>
    <w:p>
      <w:pPr>
        <w:spacing w:after="120"/>
      </w:pPr>
      <w:r>
        <w:t xml:space="preserve">This is not a T24 standard API — it's a bespoke OFS orchestration wrapper. This is exactly the kind of routine that has no direct 1:1 equivalent in IRIS APIs, so it needs careful field-by-field and rule-by-rule mapping.</w:t>
      </w:r>
    </w:p>
    <w:p>
      <w:pPr>
        <w:pStyle w:val="Heading1"/>
        <w:pBdr>
          <w:bottom w:val="single" w:color="2E5395" w:sz="6" w:space="4"/>
        </w:pBdr>
        <w:spacing w:after="150" w:before="300"/>
      </w:pPr>
      <w:r>
        <w:t xml:space="preserve">2. Input Contract (I.PARAM — positional, pipe-delimited)</w:t>
      </w:r>
    </w:p>
    <w:p>
      <w:pPr>
        <w:spacing w:after="120"/>
      </w:pPr>
      <w:r>
        <w:rPr>
          <w:i/>
          <w:iCs/>
          <w:color w:val="555555"/>
        </w:rPr>
        <w:t xml:space="preserve">Not every field taken from the input is written into the OFS record posted to FUNDS.TRANSFER. The "Posted to OFS?" column below shows exactly what happens to each field: some are posted as ledger data, some only flow into the OFS service-call header, some are used purely for internal validation/control-flow and never posted at all, and a few show no downstream reference in this routine and need verification before being assumed safe to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1778"/>
        <w:gridCol w:w="2246"/>
        <w:gridCol w:w="4774"/>
      </w:tblGrid>
      <w:tr>
        <w:trPr>
          <w:tblHeader/>
        </w:trPr>
        <w:tc>
          <w:tcPr>
            <w:tcW w:type="dxa" w:w="562"/>
            <w:shd w:fill="2E5395" w:val="clear"/>
            <w:tcMar>
              <w:top w:type="dxa" w:w="80"/>
              <w:left w:type="dxa" w:w="100"/>
              <w:bottom w:type="dxa" w:w="80"/>
              <w:right w:type="dxa" w:w="100"/>
            </w:tcMar>
          </w:tcPr>
          <w:p>
            <w:r>
              <w:rPr>
                <w:b/>
                <w:bCs/>
                <w:color w:val="FFFFFF"/>
              </w:rPr>
              <w:t xml:space="preserve">#</w:t>
            </w:r>
          </w:p>
        </w:tc>
        <w:tc>
          <w:tcPr>
            <w:tcW w:type="dxa" w:w="1778"/>
            <w:shd w:fill="2E5395" w:val="clear"/>
            <w:tcMar>
              <w:top w:type="dxa" w:w="80"/>
              <w:left w:type="dxa" w:w="100"/>
              <w:bottom w:type="dxa" w:w="80"/>
              <w:right w:type="dxa" w:w="100"/>
            </w:tcMar>
          </w:tcPr>
          <w:p>
            <w:r>
              <w:rPr>
                <w:b/>
                <w:bCs/>
                <w:color w:val="FFFFFF"/>
              </w:rPr>
              <w:t xml:space="preserve">Field</w:t>
            </w:r>
          </w:p>
        </w:tc>
        <w:tc>
          <w:tcPr>
            <w:tcW w:type="dxa" w:w="2246"/>
            <w:shd w:fill="2E5395" w:val="clear"/>
            <w:tcMar>
              <w:top w:type="dxa" w:w="80"/>
              <w:left w:type="dxa" w:w="100"/>
              <w:bottom w:type="dxa" w:w="80"/>
              <w:right w:type="dxa" w:w="100"/>
            </w:tcMar>
          </w:tcPr>
          <w:p>
            <w:r>
              <w:rPr>
                <w:b/>
                <w:bCs/>
                <w:color w:val="FFFFFF"/>
              </w:rPr>
              <w:t xml:space="preserve">Posted to OFS?</w:t>
            </w:r>
          </w:p>
        </w:tc>
        <w:tc>
          <w:tcPr>
            <w:tcW w:type="dxa" w:w="4774"/>
            <w:shd w:fill="2E5395" w:val="clear"/>
            <w:tcMar>
              <w:top w:type="dxa" w:w="80"/>
              <w:left w:type="dxa" w:w="100"/>
              <w:bottom w:type="dxa" w:w="80"/>
              <w:right w:type="dxa" w:w="100"/>
            </w:tcMar>
          </w:tcPr>
          <w:p>
            <w:r>
              <w:rPr>
                <w:b/>
                <w:bCs/>
                <w:color w:val="FFFFFF"/>
              </w:rPr>
              <w:t xml:space="preserve">Notes</w:t>
            </w:r>
          </w:p>
        </w:tc>
      </w:tr>
      <w:tr>
        <w:tc>
          <w:tcPr>
            <w:tcW w:type="dxa" w:w="562"/>
            <w:tcMar>
              <w:top w:type="dxa" w:w="60"/>
              <w:left w:type="dxa" w:w="100"/>
              <w:bottom w:type="dxa" w:w="60"/>
              <w:right w:type="dxa" w:w="100"/>
            </w:tcMar>
          </w:tcPr>
          <w:p>
            <w:r>
              <w:rPr>
                <w:b w:val="false"/>
                <w:bCs w:val="false"/>
              </w:rPr>
              <w:t xml:space="preserve">Header</w:t>
            </w:r>
          </w:p>
        </w:tc>
        <w:tc>
          <w:tcPr>
            <w:tcW w:type="dxa" w:w="1778"/>
            <w:tcMar>
              <w:top w:type="dxa" w:w="60"/>
              <w:left w:type="dxa" w:w="100"/>
              <w:bottom w:type="dxa" w:w="60"/>
              <w:right w:type="dxa" w:w="100"/>
            </w:tcMar>
          </w:tcPr>
          <w:p>
            <w:r>
              <w:rPr>
                <w:b w:val="false"/>
                <w:bCs w:val="false"/>
              </w:rPr>
              <w:t xml:space="preserve">SRVC.ID#CHNL.CODE#MSG.ID#TOKEN.ID</w:t>
            </w:r>
          </w:p>
        </w:tc>
        <w:tc>
          <w:tcPr>
            <w:tcW w:type="dxa" w:w="2246"/>
            <w:tcMar>
              <w:top w:type="dxa" w:w="60"/>
              <w:left w:type="dxa" w:w="100"/>
              <w:bottom w:type="dxa" w:w="60"/>
              <w:right w:type="dxa" w:w="100"/>
            </w:tcMar>
          </w:tcPr>
          <w:p>
            <w:r>
              <w:rPr>
                <w:b w:val="false"/>
                <w:bCs w:val="false"/>
              </w:rPr>
              <w:t xml:space="preserve">Posted (OFS header/routing only)</w:t>
            </w:r>
          </w:p>
        </w:tc>
        <w:tc>
          <w:tcPr>
            <w:tcW w:type="dxa" w:w="4774"/>
            <w:tcMar>
              <w:top w:type="dxa" w:w="60"/>
              <w:left w:type="dxa" w:w="100"/>
              <w:bottom w:type="dxa" w:w="60"/>
              <w:right w:type="dxa" w:w="100"/>
            </w:tcMar>
          </w:tcPr>
          <w:p>
            <w:r>
              <w:rPr>
                <w:b w:val="false"/>
                <w:bCs w:val="false"/>
              </w:rPr>
              <w:t xml:space="preserve">Used to key CIB.API.FT audit record and drive channel-config lookups; not itself an OFS data field</w:t>
            </w:r>
          </w:p>
        </w:tc>
      </w:tr>
      <w:tr>
        <w:tc>
          <w:tcPr>
            <w:tcW w:type="dxa" w:w="562"/>
            <w:tcMar>
              <w:top w:type="dxa" w:w="60"/>
              <w:left w:type="dxa" w:w="100"/>
              <w:bottom w:type="dxa" w:w="60"/>
              <w:right w:type="dxa" w:w="100"/>
            </w:tcMar>
          </w:tcPr>
          <w:p>
            <w:r>
              <w:rPr>
                <w:b w:val="false"/>
                <w:bCs w:val="false"/>
              </w:rPr>
              <w:t xml:space="preserve">1</w:t>
            </w:r>
          </w:p>
        </w:tc>
        <w:tc>
          <w:tcPr>
            <w:tcW w:type="dxa" w:w="1778"/>
            <w:tcMar>
              <w:top w:type="dxa" w:w="60"/>
              <w:left w:type="dxa" w:w="100"/>
              <w:bottom w:type="dxa" w:w="60"/>
              <w:right w:type="dxa" w:w="100"/>
            </w:tcMar>
          </w:tcPr>
          <w:p>
            <w:r>
              <w:rPr>
                <w:b w:val="false"/>
                <w:bCs w:val="false"/>
              </w:rPr>
              <w:t xml:space="preserve">TXN.TYPE</w:t>
            </w:r>
          </w:p>
        </w:tc>
        <w:tc>
          <w:tcPr>
            <w:tcW w:type="dxa" w:w="2246"/>
            <w:tcMar>
              <w:top w:type="dxa" w:w="60"/>
              <w:left w:type="dxa" w:w="100"/>
              <w:bottom w:type="dxa" w:w="60"/>
              <w:right w:type="dxa" w:w="100"/>
            </w:tcMar>
          </w:tcPr>
          <w:p>
            <w:r>
              <w:rPr>
                <w:b w:val="false"/>
                <w:bCs w:val="false"/>
              </w:rPr>
              <w:t xml:space="preserve">NOT posted — control-flow/validation only</w:t>
            </w:r>
          </w:p>
        </w:tc>
        <w:tc>
          <w:tcPr>
            <w:tcW w:type="dxa" w:w="4774"/>
            <w:tcMar>
              <w:top w:type="dxa" w:w="60"/>
              <w:left w:type="dxa" w:w="100"/>
              <w:bottom w:type="dxa" w:w="60"/>
              <w:right w:type="dxa" w:w="100"/>
            </w:tcMar>
          </w:tcPr>
          <w:p>
            <w:r>
              <w:rPr>
                <w:b w:val="false"/>
                <w:bCs w:val="false"/>
              </w:rPr>
              <w:t xml:space="preserve">Used only as input to CIB.API.VALIDATE.FT restriction check — never written to the OFS record</w:t>
            </w:r>
          </w:p>
        </w:tc>
      </w:tr>
      <w:tr>
        <w:tc>
          <w:tcPr>
            <w:tcW w:type="dxa" w:w="562"/>
            <w:tcMar>
              <w:top w:type="dxa" w:w="60"/>
              <w:left w:type="dxa" w:w="100"/>
              <w:bottom w:type="dxa" w:w="60"/>
              <w:right w:type="dxa" w:w="100"/>
            </w:tcMar>
          </w:tcPr>
          <w:p>
            <w:r>
              <w:rPr>
                <w:b w:val="false"/>
                <w:bCs w:val="false"/>
              </w:rPr>
              <w:t xml:space="preserve">2</w:t>
            </w:r>
          </w:p>
        </w:tc>
        <w:tc>
          <w:tcPr>
            <w:tcW w:type="dxa" w:w="1778"/>
            <w:tcMar>
              <w:top w:type="dxa" w:w="60"/>
              <w:left w:type="dxa" w:w="100"/>
              <w:bottom w:type="dxa" w:w="60"/>
              <w:right w:type="dxa" w:w="100"/>
            </w:tcMar>
          </w:tcPr>
          <w:p>
            <w:r>
              <w:rPr>
                <w:b w:val="false"/>
                <w:bCs w:val="false"/>
              </w:rPr>
              <w:t xml:space="preserve">BOOK.DATE</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 dead field, or used in logic not shown here</w:t>
            </w:r>
          </w:p>
        </w:tc>
      </w:tr>
      <w:tr>
        <w:tc>
          <w:tcPr>
            <w:tcW w:type="dxa" w:w="562"/>
            <w:tcMar>
              <w:top w:type="dxa" w:w="60"/>
              <w:left w:type="dxa" w:w="100"/>
              <w:bottom w:type="dxa" w:w="60"/>
              <w:right w:type="dxa" w:w="100"/>
            </w:tcMar>
          </w:tcPr>
          <w:p>
            <w:r>
              <w:rPr>
                <w:b w:val="false"/>
                <w:bCs w:val="false"/>
              </w:rPr>
              <w:t xml:space="preserve">3</w:t>
            </w:r>
          </w:p>
        </w:tc>
        <w:tc>
          <w:tcPr>
            <w:tcW w:type="dxa" w:w="1778"/>
            <w:tcMar>
              <w:top w:type="dxa" w:w="60"/>
              <w:left w:type="dxa" w:w="100"/>
              <w:bottom w:type="dxa" w:w="60"/>
              <w:right w:type="dxa" w:w="100"/>
            </w:tcMar>
          </w:tcPr>
          <w:p>
            <w:r>
              <w:rPr>
                <w:b w:val="false"/>
                <w:bCs w:val="false"/>
              </w:rPr>
              <w:t xml:space="preserve">VALUE.DATE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CREDIT.VALUE.DATE (defaults to TODAY if blank)</w:t>
            </w:r>
          </w:p>
        </w:tc>
      </w:tr>
      <w:tr>
        <w:tc>
          <w:tcPr>
            <w:tcW w:type="dxa" w:w="562"/>
            <w:tcMar>
              <w:top w:type="dxa" w:w="60"/>
              <w:left w:type="dxa" w:w="100"/>
              <w:bottom w:type="dxa" w:w="60"/>
              <w:right w:type="dxa" w:w="100"/>
            </w:tcMar>
          </w:tcPr>
          <w:p>
            <w:r>
              <w:rPr>
                <w:b w:val="false"/>
                <w:bCs w:val="false"/>
              </w:rPr>
              <w:t xml:space="preserve">4</w:t>
            </w:r>
          </w:p>
        </w:tc>
        <w:tc>
          <w:tcPr>
            <w:tcW w:type="dxa" w:w="1778"/>
            <w:tcMar>
              <w:top w:type="dxa" w:w="60"/>
              <w:left w:type="dxa" w:w="100"/>
              <w:bottom w:type="dxa" w:w="60"/>
              <w:right w:type="dxa" w:w="100"/>
            </w:tcMar>
          </w:tcPr>
          <w:p>
            <w:r>
              <w:rPr>
                <w:b w:val="false"/>
                <w:bCs w:val="false"/>
              </w:rPr>
              <w:t xml:space="preserve">BRANCH.CODE</w:t>
            </w:r>
          </w:p>
        </w:tc>
        <w:tc>
          <w:tcPr>
            <w:tcW w:type="dxa" w:w="2246"/>
            <w:tcMar>
              <w:top w:type="dxa" w:w="60"/>
              <w:left w:type="dxa" w:w="100"/>
              <w:bottom w:type="dxa" w:w="60"/>
              <w:right w:type="dxa" w:w="100"/>
            </w:tcMar>
          </w:tcPr>
          <w:p>
            <w:r>
              <w:rPr>
                <w:b w:val="false"/>
                <w:bCs w:val="false"/>
              </w:rPr>
              <w:t xml:space="preserve">Posted (OFS header/routing only)</w:t>
            </w:r>
          </w:p>
        </w:tc>
        <w:tc>
          <w:tcPr>
            <w:tcW w:type="dxa" w:w="4774"/>
            <w:tcMar>
              <w:top w:type="dxa" w:w="60"/>
              <w:left w:type="dxa" w:w="100"/>
              <w:bottom w:type="dxa" w:w="60"/>
              <w:right w:type="dxa" w:w="100"/>
            </w:tcMar>
          </w:tcPr>
          <w:p>
            <w:r>
              <w:rPr>
                <w:b w:val="false"/>
                <w:bCs w:val="false"/>
              </w:rPr>
              <w:t xml:space="preserve">Used in the OFS header/routing segment of OFSRECORD, not as a named FT field</w:t>
            </w:r>
          </w:p>
        </w:tc>
      </w:tr>
      <w:tr>
        <w:tc>
          <w:tcPr>
            <w:tcW w:type="dxa" w:w="562"/>
            <w:tcMar>
              <w:top w:type="dxa" w:w="60"/>
              <w:left w:type="dxa" w:w="100"/>
              <w:bottom w:type="dxa" w:w="60"/>
              <w:right w:type="dxa" w:w="100"/>
            </w:tcMar>
          </w:tcPr>
          <w:p>
            <w:r>
              <w:rPr>
                <w:b w:val="false"/>
                <w:bCs w:val="false"/>
              </w:rPr>
              <w:t xml:space="preserve">5</w:t>
            </w:r>
          </w:p>
        </w:tc>
        <w:tc>
          <w:tcPr>
            <w:tcW w:type="dxa" w:w="1778"/>
            <w:tcMar>
              <w:top w:type="dxa" w:w="60"/>
              <w:left w:type="dxa" w:w="100"/>
              <w:bottom w:type="dxa" w:w="60"/>
              <w:right w:type="dxa" w:w="100"/>
            </w:tcMar>
          </w:tcPr>
          <w:p>
            <w:r>
              <w:rPr>
                <w:b w:val="false"/>
                <w:bCs w:val="false"/>
              </w:rPr>
              <w:t xml:space="preserve">PROFIT.CNTR</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Split into PROFIT.CNTR.CUST/PROFIT.CNTR.DEBT but neither variable is referenced again downstream — verify</w:t>
            </w:r>
          </w:p>
        </w:tc>
      </w:tr>
      <w:tr>
        <w:tc>
          <w:tcPr>
            <w:tcW w:type="dxa" w:w="562"/>
            <w:tcMar>
              <w:top w:type="dxa" w:w="60"/>
              <w:left w:type="dxa" w:w="100"/>
              <w:bottom w:type="dxa" w:w="60"/>
              <w:right w:type="dxa" w:w="100"/>
            </w:tcMar>
          </w:tcPr>
          <w:p>
            <w:r>
              <w:rPr>
                <w:b w:val="false"/>
                <w:bCs w:val="false"/>
              </w:rPr>
              <w:t xml:space="preserve">6</w:t>
            </w:r>
          </w:p>
        </w:tc>
        <w:tc>
          <w:tcPr>
            <w:tcW w:type="dxa" w:w="1778"/>
            <w:tcMar>
              <w:top w:type="dxa" w:w="60"/>
              <w:left w:type="dxa" w:w="100"/>
              <w:bottom w:type="dxa" w:w="60"/>
              <w:right w:type="dxa" w:w="100"/>
            </w:tcMar>
          </w:tcPr>
          <w:p>
            <w:r>
              <w:rPr>
                <w:b w:val="false"/>
                <w:bCs w:val="false"/>
              </w:rPr>
              <w:t xml:space="preserve">SRC.ACC.ID</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DEBIT.ACCT.NO; also drives available-balance calculation</w:t>
            </w:r>
          </w:p>
        </w:tc>
      </w:tr>
      <w:tr>
        <w:tc>
          <w:tcPr>
            <w:tcW w:type="dxa" w:w="562"/>
            <w:tcMar>
              <w:top w:type="dxa" w:w="60"/>
              <w:left w:type="dxa" w:w="100"/>
              <w:bottom w:type="dxa" w:w="60"/>
              <w:right w:type="dxa" w:w="100"/>
            </w:tcMar>
          </w:tcPr>
          <w:p>
            <w:r>
              <w:rPr>
                <w:b w:val="false"/>
                <w:bCs w:val="false"/>
              </w:rPr>
              <w:t xml:space="preserve">7</w:t>
            </w:r>
          </w:p>
        </w:tc>
        <w:tc>
          <w:tcPr>
            <w:tcW w:type="dxa" w:w="1778"/>
            <w:tcMar>
              <w:top w:type="dxa" w:w="60"/>
              <w:left w:type="dxa" w:w="100"/>
              <w:bottom w:type="dxa" w:w="60"/>
              <w:right w:type="dxa" w:w="100"/>
            </w:tcMar>
          </w:tcPr>
          <w:p>
            <w:r>
              <w:rPr>
                <w:b w:val="false"/>
                <w:bCs w:val="false"/>
              </w:rPr>
              <w:t xml:space="preserve">SRC.CURR</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CREDIT.CURRENCY; also used for cross-currency check</w:t>
            </w:r>
          </w:p>
        </w:tc>
      </w:tr>
      <w:tr>
        <w:tc>
          <w:tcPr>
            <w:tcW w:type="dxa" w:w="562"/>
            <w:tcMar>
              <w:top w:type="dxa" w:w="60"/>
              <w:left w:type="dxa" w:w="100"/>
              <w:bottom w:type="dxa" w:w="60"/>
              <w:right w:type="dxa" w:w="100"/>
            </w:tcMar>
          </w:tcPr>
          <w:p>
            <w:r>
              <w:rPr>
                <w:b w:val="false"/>
                <w:bCs w:val="false"/>
              </w:rPr>
              <w:t xml:space="preserve">8</w:t>
            </w:r>
          </w:p>
        </w:tc>
        <w:tc>
          <w:tcPr>
            <w:tcW w:type="dxa" w:w="1778"/>
            <w:tcMar>
              <w:top w:type="dxa" w:w="60"/>
              <w:left w:type="dxa" w:w="100"/>
              <w:bottom w:type="dxa" w:w="60"/>
              <w:right w:type="dxa" w:w="100"/>
            </w:tcMar>
          </w:tcPr>
          <w:p>
            <w:r>
              <w:rPr>
                <w:b w:val="false"/>
                <w:bCs w:val="false"/>
              </w:rPr>
              <w:t xml:space="preserve">SRC.AMT</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CREDIT.AMOUNT; also used in the available-balance comparison</w:t>
            </w:r>
          </w:p>
        </w:tc>
      </w:tr>
      <w:tr>
        <w:tc>
          <w:tcPr>
            <w:tcW w:type="dxa" w:w="562"/>
            <w:tcMar>
              <w:top w:type="dxa" w:w="60"/>
              <w:left w:type="dxa" w:w="100"/>
              <w:bottom w:type="dxa" w:w="60"/>
              <w:right w:type="dxa" w:w="100"/>
            </w:tcMar>
          </w:tcPr>
          <w:p>
            <w:r>
              <w:rPr>
                <w:b w:val="false"/>
                <w:bCs w:val="false"/>
              </w:rPr>
              <w:t xml:space="preserve">9</w:t>
            </w:r>
          </w:p>
        </w:tc>
        <w:tc>
          <w:tcPr>
            <w:tcW w:type="dxa" w:w="1778"/>
            <w:tcMar>
              <w:top w:type="dxa" w:w="60"/>
              <w:left w:type="dxa" w:w="100"/>
              <w:bottom w:type="dxa" w:w="60"/>
              <w:right w:type="dxa" w:w="100"/>
            </w:tcMar>
          </w:tcPr>
          <w:p>
            <w:r>
              <w:rPr>
                <w:b w:val="false"/>
                <w:bCs w:val="false"/>
              </w:rPr>
              <w:t xml:space="preserve">SRC.NARR</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w:t>
            </w:r>
          </w:p>
        </w:tc>
      </w:tr>
      <w:tr>
        <w:tc>
          <w:tcPr>
            <w:tcW w:type="dxa" w:w="562"/>
            <w:tcMar>
              <w:top w:type="dxa" w:w="60"/>
              <w:left w:type="dxa" w:w="100"/>
              <w:bottom w:type="dxa" w:w="60"/>
              <w:right w:type="dxa" w:w="100"/>
            </w:tcMar>
          </w:tcPr>
          <w:p>
            <w:r>
              <w:rPr>
                <w:b w:val="false"/>
                <w:bCs w:val="false"/>
              </w:rPr>
              <w:t xml:space="preserve">10</w:t>
            </w:r>
          </w:p>
        </w:tc>
        <w:tc>
          <w:tcPr>
            <w:tcW w:type="dxa" w:w="1778"/>
            <w:tcMar>
              <w:top w:type="dxa" w:w="60"/>
              <w:left w:type="dxa" w:w="100"/>
              <w:bottom w:type="dxa" w:w="60"/>
              <w:right w:type="dxa" w:w="100"/>
            </w:tcMar>
          </w:tcPr>
          <w:p>
            <w:r>
              <w:rPr>
                <w:b w:val="false"/>
                <w:bCs w:val="false"/>
              </w:rPr>
              <w:t xml:space="preserve">BEN.NAME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BEN.CUSTOMER (multi-part, MT→MX transliteration for non-EGP)</w:t>
            </w:r>
          </w:p>
        </w:tc>
      </w:tr>
      <w:tr>
        <w:tc>
          <w:tcPr>
            <w:tcW w:type="dxa" w:w="562"/>
            <w:tcMar>
              <w:top w:type="dxa" w:w="60"/>
              <w:left w:type="dxa" w:w="100"/>
              <w:bottom w:type="dxa" w:w="60"/>
              <w:right w:type="dxa" w:w="100"/>
            </w:tcMar>
          </w:tcPr>
          <w:p>
            <w:r>
              <w:rPr>
                <w:b w:val="false"/>
                <w:bCs w:val="false"/>
              </w:rPr>
              <w:t xml:space="preserve">11</w:t>
            </w:r>
          </w:p>
        </w:tc>
        <w:tc>
          <w:tcPr>
            <w:tcW w:type="dxa" w:w="1778"/>
            <w:tcMar>
              <w:top w:type="dxa" w:w="60"/>
              <w:left w:type="dxa" w:w="100"/>
              <w:bottom w:type="dxa" w:w="60"/>
              <w:right w:type="dxa" w:w="100"/>
            </w:tcMar>
          </w:tcPr>
          <w:p>
            <w:r>
              <w:rPr>
                <w:b w:val="false"/>
                <w:bCs w:val="false"/>
              </w:rPr>
              <w:t xml:space="preserve">BEN.ACC</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IBAN.BEN or BEN.ACCT.NO depending on IBAN validation result</w:t>
            </w:r>
          </w:p>
        </w:tc>
      </w:tr>
      <w:tr>
        <w:tc>
          <w:tcPr>
            <w:tcW w:type="dxa" w:w="562"/>
            <w:tcMar>
              <w:top w:type="dxa" w:w="60"/>
              <w:left w:type="dxa" w:w="100"/>
              <w:bottom w:type="dxa" w:w="60"/>
              <w:right w:type="dxa" w:w="100"/>
            </w:tcMar>
          </w:tcPr>
          <w:p>
            <w:r>
              <w:rPr>
                <w:b w:val="false"/>
                <w:bCs w:val="false"/>
              </w:rPr>
              <w:t xml:space="preserve">12–14</w:t>
            </w:r>
          </w:p>
        </w:tc>
        <w:tc>
          <w:tcPr>
            <w:tcW w:type="dxa" w:w="1778"/>
            <w:tcMar>
              <w:top w:type="dxa" w:w="60"/>
              <w:left w:type="dxa" w:w="100"/>
              <w:bottom w:type="dxa" w:w="60"/>
              <w:right w:type="dxa" w:w="100"/>
            </w:tcMar>
          </w:tcPr>
          <w:p>
            <w:r>
              <w:rPr>
                <w:b w:val="false"/>
                <w:bCs w:val="false"/>
              </w:rPr>
              <w:t xml:space="preserve">BEN.ADDR.1/2/3</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w:t>
            </w:r>
          </w:p>
        </w:tc>
      </w:tr>
      <w:tr>
        <w:tc>
          <w:tcPr>
            <w:tcW w:type="dxa" w:w="562"/>
            <w:tcMar>
              <w:top w:type="dxa" w:w="60"/>
              <w:left w:type="dxa" w:w="100"/>
              <w:bottom w:type="dxa" w:w="60"/>
              <w:right w:type="dxa" w:w="100"/>
            </w:tcMar>
          </w:tcPr>
          <w:p>
            <w:r>
              <w:rPr>
                <w:b w:val="false"/>
                <w:bCs w:val="false"/>
              </w:rPr>
              <w:t xml:space="preserve">15</w:t>
            </w:r>
          </w:p>
        </w:tc>
        <w:tc>
          <w:tcPr>
            <w:tcW w:type="dxa" w:w="1778"/>
            <w:tcMar>
              <w:top w:type="dxa" w:w="60"/>
              <w:left w:type="dxa" w:w="100"/>
              <w:bottom w:type="dxa" w:w="60"/>
              <w:right w:type="dxa" w:w="100"/>
            </w:tcMar>
          </w:tcPr>
          <w:p>
            <w:r>
              <w:rPr>
                <w:b w:val="false"/>
                <w:bCs w:val="false"/>
              </w:rPr>
              <w:t xml:space="preserve">CHARGE.IND</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w:t>
            </w:r>
          </w:p>
        </w:tc>
      </w:tr>
      <w:tr>
        <w:tc>
          <w:tcPr>
            <w:tcW w:type="dxa" w:w="562"/>
            <w:tcMar>
              <w:top w:type="dxa" w:w="60"/>
              <w:left w:type="dxa" w:w="100"/>
              <w:bottom w:type="dxa" w:w="60"/>
              <w:right w:type="dxa" w:w="100"/>
            </w:tcMar>
          </w:tcPr>
          <w:p>
            <w:r>
              <w:rPr>
                <w:b w:val="false"/>
                <w:bCs w:val="false"/>
              </w:rPr>
              <w:t xml:space="preserve">16</w:t>
            </w:r>
          </w:p>
        </w:tc>
        <w:tc>
          <w:tcPr>
            <w:tcW w:type="dxa" w:w="1778"/>
            <w:tcMar>
              <w:top w:type="dxa" w:w="60"/>
              <w:left w:type="dxa" w:w="100"/>
              <w:bottom w:type="dxa" w:w="60"/>
              <w:right w:type="dxa" w:w="100"/>
            </w:tcMar>
          </w:tcPr>
          <w:p>
            <w:r>
              <w:rPr>
                <w:b w:val="false"/>
                <w:bCs w:val="false"/>
              </w:rPr>
              <w:t xml:space="preserve">BEN.BK.NAME</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 (only BEN.BIC.CD is actually posted)</w:t>
            </w:r>
          </w:p>
        </w:tc>
      </w:tr>
      <w:tr>
        <w:tc>
          <w:tcPr>
            <w:tcW w:type="dxa" w:w="562"/>
            <w:tcMar>
              <w:top w:type="dxa" w:w="60"/>
              <w:left w:type="dxa" w:w="100"/>
              <w:bottom w:type="dxa" w:w="60"/>
              <w:right w:type="dxa" w:w="100"/>
            </w:tcMar>
          </w:tcPr>
          <w:p>
            <w:r>
              <w:rPr>
                <w:b w:val="false"/>
                <w:bCs w:val="false"/>
              </w:rPr>
              <w:t xml:space="preserve">17</w:t>
            </w:r>
          </w:p>
        </w:tc>
        <w:tc>
          <w:tcPr>
            <w:tcW w:type="dxa" w:w="1778"/>
            <w:tcMar>
              <w:top w:type="dxa" w:w="60"/>
              <w:left w:type="dxa" w:w="100"/>
              <w:bottom w:type="dxa" w:w="60"/>
              <w:right w:type="dxa" w:w="100"/>
            </w:tcMar>
          </w:tcPr>
          <w:p>
            <w:r>
              <w:rPr>
                <w:b w:val="false"/>
                <w:bCs w:val="false"/>
              </w:rPr>
              <w:t xml:space="preserve">BEN.BIC.CD</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BNK.NME.57</w:t>
            </w:r>
          </w:p>
        </w:tc>
      </w:tr>
      <w:tr>
        <w:tc>
          <w:tcPr>
            <w:tcW w:type="dxa" w:w="562"/>
            <w:tcMar>
              <w:top w:type="dxa" w:w="60"/>
              <w:left w:type="dxa" w:w="100"/>
              <w:bottom w:type="dxa" w:w="60"/>
              <w:right w:type="dxa" w:w="100"/>
            </w:tcMar>
          </w:tcPr>
          <w:p>
            <w:r>
              <w:rPr>
                <w:b w:val="false"/>
                <w:bCs w:val="false"/>
              </w:rPr>
              <w:t xml:space="preserve">18</w:t>
            </w:r>
          </w:p>
        </w:tc>
        <w:tc>
          <w:tcPr>
            <w:tcW w:type="dxa" w:w="1778"/>
            <w:tcMar>
              <w:top w:type="dxa" w:w="60"/>
              <w:left w:type="dxa" w:w="100"/>
              <w:bottom w:type="dxa" w:w="60"/>
              <w:right w:type="dxa" w:w="100"/>
            </w:tcMar>
          </w:tcPr>
          <w:p>
            <w:r>
              <w:rPr>
                <w:b w:val="false"/>
                <w:bCs w:val="false"/>
              </w:rPr>
              <w:t xml:space="preserve">BEN.BK.SORT.CD</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w:t>
            </w:r>
          </w:p>
        </w:tc>
      </w:tr>
      <w:tr>
        <w:tc>
          <w:tcPr>
            <w:tcW w:type="dxa" w:w="562"/>
            <w:tcMar>
              <w:top w:type="dxa" w:w="60"/>
              <w:left w:type="dxa" w:w="100"/>
              <w:bottom w:type="dxa" w:w="60"/>
              <w:right w:type="dxa" w:w="100"/>
            </w:tcMar>
          </w:tcPr>
          <w:p>
            <w:r>
              <w:rPr>
                <w:b w:val="false"/>
                <w:bCs w:val="false"/>
              </w:rPr>
              <w:t xml:space="preserve">19</w:t>
            </w:r>
          </w:p>
        </w:tc>
        <w:tc>
          <w:tcPr>
            <w:tcW w:type="dxa" w:w="1778"/>
            <w:tcMar>
              <w:top w:type="dxa" w:w="60"/>
              <w:left w:type="dxa" w:w="100"/>
              <w:bottom w:type="dxa" w:w="60"/>
              <w:right w:type="dxa" w:w="100"/>
            </w:tcMar>
          </w:tcPr>
          <w:p>
            <w:r>
              <w:rPr>
                <w:b w:val="false"/>
                <w:bCs w:val="false"/>
              </w:rPr>
              <w:t xml:space="preserve">BEN.BK.BRANCH</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w:t>
            </w:r>
          </w:p>
        </w:tc>
      </w:tr>
      <w:tr>
        <w:tc>
          <w:tcPr>
            <w:tcW w:type="dxa" w:w="562"/>
            <w:tcMar>
              <w:top w:type="dxa" w:w="60"/>
              <w:left w:type="dxa" w:w="100"/>
              <w:bottom w:type="dxa" w:w="60"/>
              <w:right w:type="dxa" w:w="100"/>
            </w:tcMar>
          </w:tcPr>
          <w:p>
            <w:r>
              <w:rPr>
                <w:b w:val="false"/>
                <w:bCs w:val="false"/>
              </w:rPr>
              <w:t xml:space="preserve">20</w:t>
            </w:r>
          </w:p>
        </w:tc>
        <w:tc>
          <w:tcPr>
            <w:tcW w:type="dxa" w:w="1778"/>
            <w:tcMar>
              <w:top w:type="dxa" w:w="60"/>
              <w:left w:type="dxa" w:w="100"/>
              <w:bottom w:type="dxa" w:w="60"/>
              <w:right w:type="dxa" w:w="100"/>
            </w:tcMar>
          </w:tcPr>
          <w:p>
            <w:r>
              <w:rPr>
                <w:b w:val="false"/>
                <w:bCs w:val="false"/>
              </w:rPr>
              <w:t xml:space="preserve">BEN.BK.BRN.CD</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w:t>
            </w:r>
          </w:p>
        </w:tc>
      </w:tr>
      <w:tr>
        <w:tc>
          <w:tcPr>
            <w:tcW w:type="dxa" w:w="562"/>
            <w:tcMar>
              <w:top w:type="dxa" w:w="60"/>
              <w:left w:type="dxa" w:w="100"/>
              <w:bottom w:type="dxa" w:w="60"/>
              <w:right w:type="dxa" w:w="100"/>
            </w:tcMar>
          </w:tcPr>
          <w:p>
            <w:r>
              <w:rPr>
                <w:b w:val="false"/>
                <w:bCs w:val="false"/>
              </w:rPr>
              <w:t xml:space="preserve">21</w:t>
            </w:r>
          </w:p>
        </w:tc>
        <w:tc>
          <w:tcPr>
            <w:tcW w:type="dxa" w:w="1778"/>
            <w:tcMar>
              <w:top w:type="dxa" w:w="60"/>
              <w:left w:type="dxa" w:w="100"/>
              <w:bottom w:type="dxa" w:w="60"/>
              <w:right w:type="dxa" w:w="100"/>
            </w:tcMar>
          </w:tcPr>
          <w:p>
            <w:r>
              <w:rPr>
                <w:b w:val="false"/>
                <w:bCs w:val="false"/>
              </w:rPr>
              <w:t xml:space="preserve">BEN.NARRATIVE</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 (distinct from FT.NARRATIVE, which IS posted)</w:t>
            </w:r>
          </w:p>
        </w:tc>
      </w:tr>
      <w:tr>
        <w:tc>
          <w:tcPr>
            <w:tcW w:type="dxa" w:w="562"/>
            <w:tcMar>
              <w:top w:type="dxa" w:w="60"/>
              <w:left w:type="dxa" w:w="100"/>
              <w:bottom w:type="dxa" w:w="60"/>
              <w:right w:type="dxa" w:w="100"/>
            </w:tcMar>
          </w:tcPr>
          <w:p>
            <w:r>
              <w:rPr>
                <w:b w:val="false"/>
                <w:bCs w:val="false"/>
              </w:rPr>
              <w:t xml:space="preserve">22</w:t>
            </w:r>
          </w:p>
        </w:tc>
        <w:tc>
          <w:tcPr>
            <w:tcW w:type="dxa" w:w="1778"/>
            <w:tcMar>
              <w:top w:type="dxa" w:w="60"/>
              <w:left w:type="dxa" w:w="100"/>
              <w:bottom w:type="dxa" w:w="60"/>
              <w:right w:type="dxa" w:w="100"/>
            </w:tcMar>
          </w:tcPr>
          <w:p>
            <w:r>
              <w:rPr>
                <w:b w:val="false"/>
                <w:bCs w:val="false"/>
              </w:rPr>
              <w:t xml:space="preserve">BEN.OUR.CHARGES</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as-is; also drives COMMISSION.CODE derivation logic</w:t>
            </w:r>
          </w:p>
        </w:tc>
      </w:tr>
      <w:tr>
        <w:tc>
          <w:tcPr>
            <w:tcW w:type="dxa" w:w="562"/>
            <w:tcMar>
              <w:top w:type="dxa" w:w="60"/>
              <w:left w:type="dxa" w:w="100"/>
              <w:bottom w:type="dxa" w:w="60"/>
              <w:right w:type="dxa" w:w="100"/>
            </w:tcMar>
          </w:tcPr>
          <w:p>
            <w:r>
              <w:rPr>
                <w:b w:val="false"/>
                <w:bCs w:val="false"/>
              </w:rPr>
              <w:t xml:space="preserve">23</w:t>
            </w:r>
          </w:p>
        </w:tc>
        <w:tc>
          <w:tcPr>
            <w:tcW w:type="dxa" w:w="1778"/>
            <w:tcMar>
              <w:top w:type="dxa" w:w="60"/>
              <w:left w:type="dxa" w:w="100"/>
              <w:bottom w:type="dxa" w:w="60"/>
              <w:right w:type="dxa" w:w="100"/>
            </w:tcMar>
          </w:tcPr>
          <w:p>
            <w:r>
              <w:rPr>
                <w:b w:val="false"/>
                <w:bCs w:val="false"/>
              </w:rPr>
              <w:t xml:space="preserve">COMMISSION.CODE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but may be overwritten/cleared by the OUR/BEN/SHA + account-length rule</w:t>
            </w:r>
          </w:p>
        </w:tc>
      </w:tr>
      <w:tr>
        <w:tc>
          <w:tcPr>
            <w:tcW w:type="dxa" w:w="562"/>
            <w:tcMar>
              <w:top w:type="dxa" w:w="60"/>
              <w:left w:type="dxa" w:w="100"/>
              <w:bottom w:type="dxa" w:w="60"/>
              <w:right w:type="dxa" w:w="100"/>
            </w:tcMar>
          </w:tcPr>
          <w:p>
            <w:r>
              <w:rPr>
                <w:b w:val="false"/>
                <w:bCs w:val="false"/>
              </w:rPr>
              <w:t xml:space="preserve">24</w:t>
            </w:r>
          </w:p>
        </w:tc>
        <w:tc>
          <w:tcPr>
            <w:tcW w:type="dxa" w:w="1778"/>
            <w:tcMar>
              <w:top w:type="dxa" w:w="60"/>
              <w:left w:type="dxa" w:w="100"/>
              <w:bottom w:type="dxa" w:w="60"/>
              <w:right w:type="dxa" w:w="100"/>
            </w:tcMar>
          </w:tcPr>
          <w:p>
            <w:r>
              <w:rPr>
                <w:b w:val="false"/>
                <w:bCs w:val="false"/>
              </w:rPr>
              <w:t xml:space="preserve">COMMISSION.TYPE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COMMISSION.TYPE:n (looped, multivalue)</w:t>
            </w:r>
          </w:p>
        </w:tc>
      </w:tr>
      <w:tr>
        <w:tc>
          <w:tcPr>
            <w:tcW w:type="dxa" w:w="562"/>
            <w:tcMar>
              <w:top w:type="dxa" w:w="60"/>
              <w:left w:type="dxa" w:w="100"/>
              <w:bottom w:type="dxa" w:w="60"/>
              <w:right w:type="dxa" w:w="100"/>
            </w:tcMar>
          </w:tcPr>
          <w:p>
            <w:r>
              <w:rPr>
                <w:b w:val="false"/>
                <w:bCs w:val="false"/>
              </w:rPr>
              <w:t xml:space="preserve">25</w:t>
            </w:r>
          </w:p>
        </w:tc>
        <w:tc>
          <w:tcPr>
            <w:tcW w:type="dxa" w:w="1778"/>
            <w:tcMar>
              <w:top w:type="dxa" w:w="60"/>
              <w:left w:type="dxa" w:w="100"/>
              <w:bottom w:type="dxa" w:w="60"/>
              <w:right w:type="dxa" w:w="100"/>
            </w:tcMar>
          </w:tcPr>
          <w:p>
            <w:r>
              <w:rPr>
                <w:b w:val="false"/>
                <w:bCs w:val="false"/>
              </w:rPr>
              <w:t xml:space="preserve">COMMISSION.AMOUNT</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COMMISSION.AMT:n (looped, paired with above)</w:t>
            </w:r>
          </w:p>
        </w:tc>
      </w:tr>
      <w:tr>
        <w:tc>
          <w:tcPr>
            <w:tcW w:type="dxa" w:w="562"/>
            <w:tcMar>
              <w:top w:type="dxa" w:w="60"/>
              <w:left w:type="dxa" w:w="100"/>
              <w:bottom w:type="dxa" w:w="60"/>
              <w:right w:type="dxa" w:w="100"/>
            </w:tcMar>
          </w:tcPr>
          <w:p>
            <w:r>
              <w:rPr>
                <w:b w:val="false"/>
                <w:bCs w:val="false"/>
              </w:rPr>
              <w:t xml:space="preserve">26</w:t>
            </w:r>
          </w:p>
        </w:tc>
        <w:tc>
          <w:tcPr>
            <w:tcW w:type="dxa" w:w="1778"/>
            <w:tcMar>
              <w:top w:type="dxa" w:w="60"/>
              <w:left w:type="dxa" w:w="100"/>
              <w:bottom w:type="dxa" w:w="60"/>
              <w:right w:type="dxa" w:w="100"/>
            </w:tcMar>
          </w:tcPr>
          <w:p>
            <w:r>
              <w:rPr>
                <w:b w:val="false"/>
                <w:bCs w:val="false"/>
              </w:rPr>
              <w:t xml:space="preserve">GTS.CONTROL</w:t>
            </w:r>
          </w:p>
        </w:tc>
        <w:tc>
          <w:tcPr>
            <w:tcW w:type="dxa" w:w="2246"/>
            <w:tcMar>
              <w:top w:type="dxa" w:w="60"/>
              <w:left w:type="dxa" w:w="100"/>
              <w:bottom w:type="dxa" w:w="60"/>
              <w:right w:type="dxa" w:w="100"/>
            </w:tcMar>
          </w:tcPr>
          <w:p>
            <w:r>
              <w:rPr>
                <w:b w:val="false"/>
                <w:bCs w:val="false"/>
              </w:rPr>
              <w:t xml:space="preserve">Posted (OFS header/routing only)</w:t>
            </w:r>
          </w:p>
        </w:tc>
        <w:tc>
          <w:tcPr>
            <w:tcW w:type="dxa" w:w="4774"/>
            <w:tcMar>
              <w:top w:type="dxa" w:w="60"/>
              <w:left w:type="dxa" w:w="100"/>
              <w:bottom w:type="dxa" w:w="60"/>
              <w:right w:type="dxa" w:w="100"/>
            </w:tcMar>
          </w:tcPr>
          <w:p>
            <w:r>
              <w:rPr>
                <w:b w:val="false"/>
                <w:bCs w:val="false"/>
              </w:rPr>
              <w:t xml:space="preserve">Used in the OFS header/routing segment of OFSRECORD, not as a named FT field</w:t>
            </w:r>
          </w:p>
        </w:tc>
      </w:tr>
      <w:tr>
        <w:tc>
          <w:tcPr>
            <w:tcW w:type="dxa" w:w="562"/>
            <w:tcMar>
              <w:top w:type="dxa" w:w="60"/>
              <w:left w:type="dxa" w:w="100"/>
              <w:bottom w:type="dxa" w:w="60"/>
              <w:right w:type="dxa" w:w="100"/>
            </w:tcMar>
          </w:tcPr>
          <w:p>
            <w:r>
              <w:rPr>
                <w:b w:val="false"/>
                <w:bCs w:val="false"/>
              </w:rPr>
              <w:t xml:space="preserve">27</w:t>
            </w:r>
          </w:p>
        </w:tc>
        <w:tc>
          <w:tcPr>
            <w:tcW w:type="dxa" w:w="1778"/>
            <w:tcMar>
              <w:top w:type="dxa" w:w="60"/>
              <w:left w:type="dxa" w:w="100"/>
              <w:bottom w:type="dxa" w:w="60"/>
              <w:right w:type="dxa" w:w="100"/>
            </w:tcMar>
          </w:tcPr>
          <w:p>
            <w:r>
              <w:rPr>
                <w:b w:val="false"/>
                <w:bCs w:val="false"/>
              </w:rPr>
              <w:t xml:space="preserve">AUTH.FLAG</w:t>
            </w:r>
          </w:p>
        </w:tc>
        <w:tc>
          <w:tcPr>
            <w:tcW w:type="dxa" w:w="2246"/>
            <w:tcMar>
              <w:top w:type="dxa" w:w="60"/>
              <w:left w:type="dxa" w:w="100"/>
              <w:bottom w:type="dxa" w:w="60"/>
              <w:right w:type="dxa" w:w="100"/>
            </w:tcMar>
          </w:tcPr>
          <w:p>
            <w:r>
              <w:rPr>
                <w:b w:val="false"/>
                <w:bCs w:val="false"/>
              </w:rPr>
              <w:t xml:space="preserve">Posted (OFS header/routing only)</w:t>
            </w:r>
          </w:p>
        </w:tc>
        <w:tc>
          <w:tcPr>
            <w:tcW w:type="dxa" w:w="4774"/>
            <w:tcMar>
              <w:top w:type="dxa" w:w="60"/>
              <w:left w:type="dxa" w:w="100"/>
              <w:bottom w:type="dxa" w:w="60"/>
              <w:right w:type="dxa" w:w="100"/>
            </w:tcMar>
          </w:tcPr>
          <w:p>
            <w:r>
              <w:rPr>
                <w:b w:val="false"/>
                <w:bCs w:val="false"/>
              </w:rPr>
              <w:t xml:space="preserve">Used in the OFS header/routing segment; also drives control-flow (overwritten to 1 if AUTH.FLAG.NEW set)</w:t>
            </w:r>
          </w:p>
        </w:tc>
      </w:tr>
      <w:tr>
        <w:tc>
          <w:tcPr>
            <w:tcW w:type="dxa" w:w="562"/>
            <w:tcMar>
              <w:top w:type="dxa" w:w="60"/>
              <w:left w:type="dxa" w:w="100"/>
              <w:bottom w:type="dxa" w:w="60"/>
              <w:right w:type="dxa" w:w="100"/>
            </w:tcMar>
          </w:tcPr>
          <w:p>
            <w:r>
              <w:rPr>
                <w:b w:val="false"/>
                <w:bCs w:val="false"/>
              </w:rPr>
              <w:t xml:space="preserve">28</w:t>
            </w:r>
          </w:p>
        </w:tc>
        <w:tc>
          <w:tcPr>
            <w:tcW w:type="dxa" w:w="1778"/>
            <w:tcMar>
              <w:top w:type="dxa" w:w="60"/>
              <w:left w:type="dxa" w:w="100"/>
              <w:bottom w:type="dxa" w:w="60"/>
              <w:right w:type="dxa" w:w="100"/>
            </w:tcMar>
          </w:tcPr>
          <w:p>
            <w:r>
              <w:rPr>
                <w:b w:val="false"/>
                <w:bCs w:val="false"/>
              </w:rPr>
              <w:t xml:space="preserve">OD.TYPE</w:t>
            </w:r>
          </w:p>
        </w:tc>
        <w:tc>
          <w:tcPr>
            <w:tcW w:type="dxa" w:w="2246"/>
            <w:tcMar>
              <w:top w:type="dxa" w:w="60"/>
              <w:left w:type="dxa" w:w="100"/>
              <w:bottom w:type="dxa" w:w="60"/>
              <w:right w:type="dxa" w:w="100"/>
            </w:tcMar>
          </w:tcPr>
          <w:p>
            <w:r>
              <w:rPr>
                <w:b w:val="false"/>
                <w:bCs w:val="false"/>
              </w:rPr>
              <w:t xml:space="preserve">NOT posted — control-flow/validation only</w:t>
            </w:r>
          </w:p>
        </w:tc>
        <w:tc>
          <w:tcPr>
            <w:tcW w:type="dxa" w:w="4774"/>
            <w:tcMar>
              <w:top w:type="dxa" w:w="60"/>
              <w:left w:type="dxa" w:w="100"/>
              <w:bottom w:type="dxa" w:w="60"/>
              <w:right w:type="dxa" w:w="100"/>
            </w:tcMar>
          </w:tcPr>
          <w:p>
            <w:r>
              <w:rPr>
                <w:b w:val="false"/>
                <w:bCs w:val="false"/>
              </w:rPr>
              <w:t xml:space="preserve">Control-flow only — gates the balance check (AVAL.BALANCE &gt;= SRC.AMT OR OD.TYPE='Y'); never written to OFS</w:t>
            </w:r>
          </w:p>
        </w:tc>
      </w:tr>
      <w:tr>
        <w:tc>
          <w:tcPr>
            <w:tcW w:type="dxa" w:w="562"/>
            <w:tcMar>
              <w:top w:type="dxa" w:w="60"/>
              <w:left w:type="dxa" w:w="100"/>
              <w:bottom w:type="dxa" w:w="60"/>
              <w:right w:type="dxa" w:w="100"/>
            </w:tcMar>
          </w:tcPr>
          <w:p>
            <w:r>
              <w:rPr>
                <w:b w:val="false"/>
                <w:bCs w:val="false"/>
              </w:rPr>
              <w:t xml:space="preserve">29</w:t>
            </w:r>
          </w:p>
        </w:tc>
        <w:tc>
          <w:tcPr>
            <w:tcW w:type="dxa" w:w="1778"/>
            <w:tcMar>
              <w:top w:type="dxa" w:w="60"/>
              <w:left w:type="dxa" w:w="100"/>
              <w:bottom w:type="dxa" w:w="60"/>
              <w:right w:type="dxa" w:w="100"/>
            </w:tcMar>
          </w:tcPr>
          <w:p>
            <w:r>
              <w:rPr>
                <w:b w:val="false"/>
                <w:bCs w:val="false"/>
              </w:rPr>
              <w:t xml:space="preserve">ORDERING.CUST</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ORDERING.CUST:n (looped) and ORD.CUST.ACCT</w:t>
            </w:r>
          </w:p>
        </w:tc>
      </w:tr>
      <w:tr>
        <w:tc>
          <w:tcPr>
            <w:tcW w:type="dxa" w:w="562"/>
            <w:tcMar>
              <w:top w:type="dxa" w:w="60"/>
              <w:left w:type="dxa" w:w="100"/>
              <w:bottom w:type="dxa" w:w="60"/>
              <w:right w:type="dxa" w:w="100"/>
            </w:tcMar>
          </w:tcPr>
          <w:p>
            <w:r>
              <w:rPr>
                <w:b w:val="false"/>
                <w:bCs w:val="false"/>
              </w:rPr>
              <w:t xml:space="preserve">30</w:t>
            </w:r>
          </w:p>
        </w:tc>
        <w:tc>
          <w:tcPr>
            <w:tcW w:type="dxa" w:w="1778"/>
            <w:tcMar>
              <w:top w:type="dxa" w:w="60"/>
              <w:left w:type="dxa" w:w="100"/>
              <w:bottom w:type="dxa" w:w="60"/>
              <w:right w:type="dxa" w:w="100"/>
            </w:tcMar>
          </w:tcPr>
          <w:p>
            <w:r>
              <w:rPr>
                <w:b w:val="false"/>
                <w:bCs w:val="false"/>
              </w:rPr>
              <w:t xml:space="preserve">ORDERING.BANK</w:t>
            </w:r>
          </w:p>
        </w:tc>
        <w:tc>
          <w:tcPr>
            <w:tcW w:type="dxa" w:w="2246"/>
            <w:tcMar>
              <w:top w:type="dxa" w:w="60"/>
              <w:left w:type="dxa" w:w="100"/>
              <w:bottom w:type="dxa" w:w="60"/>
              <w:right w:type="dxa" w:w="100"/>
            </w:tcMar>
          </w:tcPr>
          <w:p>
            <w:r>
              <w:rPr>
                <w:b w:val="false"/>
                <w:bCs w:val="false"/>
              </w:rPr>
              <w:t xml:space="preserve">Posted AND repurposed for control-flow (dual-use)</w:t>
            </w:r>
          </w:p>
        </w:tc>
        <w:tc>
          <w:tcPr>
            <w:tcW w:type="dxa" w:w="4774"/>
            <w:tcMar>
              <w:top w:type="dxa" w:w="60"/>
              <w:left w:type="dxa" w:w="100"/>
              <w:bottom w:type="dxa" w:w="60"/>
              <w:right w:type="dxa" w:w="100"/>
            </w:tcMar>
          </w:tcPr>
          <w:p>
            <w:r>
              <w:rPr>
                <w:b w:val="false"/>
                <w:bCs w:val="false"/>
              </w:rPr>
              <w:t xml:space="preserve">→ ORDERING.BANK:n (posted); also silently repurposed as the AUTH.FLAG.NEW source when no channel override routine fires — a dual-use field</w:t>
            </w:r>
          </w:p>
        </w:tc>
      </w:tr>
      <w:tr>
        <w:tc>
          <w:tcPr>
            <w:tcW w:type="dxa" w:w="562"/>
            <w:tcMar>
              <w:top w:type="dxa" w:w="60"/>
              <w:left w:type="dxa" w:w="100"/>
              <w:bottom w:type="dxa" w:w="60"/>
              <w:right w:type="dxa" w:w="100"/>
            </w:tcMar>
          </w:tcPr>
          <w:p>
            <w:r>
              <w:rPr>
                <w:b w:val="false"/>
                <w:bCs w:val="false"/>
              </w:rPr>
              <w:t xml:space="preserve">31</w:t>
            </w:r>
          </w:p>
        </w:tc>
        <w:tc>
          <w:tcPr>
            <w:tcW w:type="dxa" w:w="1778"/>
            <w:tcMar>
              <w:top w:type="dxa" w:w="60"/>
              <w:left w:type="dxa" w:w="100"/>
              <w:bottom w:type="dxa" w:w="60"/>
              <w:right w:type="dxa" w:w="100"/>
            </w:tcMar>
          </w:tcPr>
          <w:p>
            <w:r>
              <w:rPr>
                <w:b w:val="false"/>
                <w:bCs w:val="false"/>
              </w:rPr>
              <w:t xml:space="preserve">CREDIT.ACCT.NO</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as-is</w:t>
            </w:r>
          </w:p>
        </w:tc>
      </w:tr>
      <w:tr>
        <w:tc>
          <w:tcPr>
            <w:tcW w:type="dxa" w:w="562"/>
            <w:tcMar>
              <w:top w:type="dxa" w:w="60"/>
              <w:left w:type="dxa" w:w="100"/>
              <w:bottom w:type="dxa" w:w="60"/>
              <w:right w:type="dxa" w:w="100"/>
            </w:tcMar>
          </w:tcPr>
          <w:p>
            <w:r>
              <w:rPr>
                <w:b w:val="false"/>
                <w:bCs w:val="false"/>
              </w:rPr>
              <w:t xml:space="preserve">32</w:t>
            </w:r>
          </w:p>
        </w:tc>
        <w:tc>
          <w:tcPr>
            <w:tcW w:type="dxa" w:w="1778"/>
            <w:tcMar>
              <w:top w:type="dxa" w:w="60"/>
              <w:left w:type="dxa" w:w="100"/>
              <w:bottom w:type="dxa" w:w="60"/>
              <w:right w:type="dxa" w:w="100"/>
            </w:tcMar>
          </w:tcPr>
          <w:p>
            <w:r>
              <w:rPr>
                <w:b w:val="false"/>
                <w:bCs w:val="false"/>
              </w:rPr>
              <w:t xml:space="preserve">CUSTOMER.SPREAD</w:t>
            </w:r>
          </w:p>
        </w:tc>
        <w:tc>
          <w:tcPr>
            <w:tcW w:type="dxa" w:w="2246"/>
            <w:tcMar>
              <w:top w:type="dxa" w:w="60"/>
              <w:left w:type="dxa" w:w="100"/>
              <w:bottom w:type="dxa" w:w="60"/>
              <w:right w:type="dxa" w:w="100"/>
            </w:tcMar>
          </w:tcPr>
          <w:p>
            <w:r>
              <w:rPr>
                <w:b w:val="false"/>
                <w:bCs w:val="false"/>
              </w:rPr>
              <w:t xml:space="preserve">NOT posted — unreferenced downstream (verify)</w:t>
            </w:r>
          </w:p>
        </w:tc>
        <w:tc>
          <w:tcPr>
            <w:tcW w:type="dxa" w:w="4774"/>
            <w:tcMar>
              <w:top w:type="dxa" w:w="60"/>
              <w:left w:type="dxa" w:w="100"/>
              <w:bottom w:type="dxa" w:w="60"/>
              <w:right w:type="dxa" w:w="100"/>
            </w:tcMar>
          </w:tcPr>
          <w:p>
            <w:r>
              <w:rPr>
                <w:b w:val="false"/>
                <w:bCs w:val="false"/>
              </w:rPr>
              <w:t xml:space="preserve">Parsed but no further reference found downstream — verify</w:t>
            </w:r>
          </w:p>
        </w:tc>
      </w:tr>
      <w:tr>
        <w:tc>
          <w:tcPr>
            <w:tcW w:type="dxa" w:w="562"/>
            <w:tcMar>
              <w:top w:type="dxa" w:w="60"/>
              <w:left w:type="dxa" w:w="100"/>
              <w:bottom w:type="dxa" w:w="60"/>
              <w:right w:type="dxa" w:w="100"/>
            </w:tcMar>
          </w:tcPr>
          <w:p>
            <w:r>
              <w:rPr>
                <w:b w:val="false"/>
                <w:bCs w:val="false"/>
              </w:rPr>
              <w:t xml:space="preserve">33</w:t>
            </w:r>
          </w:p>
        </w:tc>
        <w:tc>
          <w:tcPr>
            <w:tcW w:type="dxa" w:w="1778"/>
            <w:tcMar>
              <w:top w:type="dxa" w:w="60"/>
              <w:left w:type="dxa" w:w="100"/>
              <w:bottom w:type="dxa" w:w="60"/>
              <w:right w:type="dxa" w:w="100"/>
            </w:tcMar>
          </w:tcPr>
          <w:p>
            <w:r>
              <w:rPr>
                <w:b w:val="false"/>
                <w:bCs w:val="false"/>
              </w:rPr>
              <w:t xml:space="preserve">CUSTOMER.RATE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zeroed out if channel = BPM and value = 0</w:t>
            </w:r>
          </w:p>
        </w:tc>
      </w:tr>
      <w:tr>
        <w:tc>
          <w:tcPr>
            <w:tcW w:type="dxa" w:w="562"/>
            <w:tcMar>
              <w:top w:type="dxa" w:w="60"/>
              <w:left w:type="dxa" w:w="100"/>
              <w:bottom w:type="dxa" w:w="60"/>
              <w:right w:type="dxa" w:w="100"/>
            </w:tcMar>
          </w:tcPr>
          <w:p>
            <w:r>
              <w:rPr>
                <w:b w:val="false"/>
                <w:bCs w:val="false"/>
              </w:rPr>
              <w:t xml:space="preserve">34</w:t>
            </w:r>
          </w:p>
        </w:tc>
        <w:tc>
          <w:tcPr>
            <w:tcW w:type="dxa" w:w="1778"/>
            <w:tcMar>
              <w:top w:type="dxa" w:w="60"/>
              <w:left w:type="dxa" w:w="100"/>
              <w:bottom w:type="dxa" w:w="60"/>
              <w:right w:type="dxa" w:w="100"/>
            </w:tcMar>
          </w:tcPr>
          <w:p>
            <w:r>
              <w:rPr>
                <w:b w:val="false"/>
                <w:bCs w:val="false"/>
              </w:rPr>
              <w:t xml:space="preserve">FREE.MARKT.CODE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as-is</w:t>
            </w:r>
          </w:p>
        </w:tc>
      </w:tr>
      <w:tr>
        <w:tc>
          <w:tcPr>
            <w:tcW w:type="dxa" w:w="562"/>
            <w:tcMar>
              <w:top w:type="dxa" w:w="60"/>
              <w:left w:type="dxa" w:w="100"/>
              <w:bottom w:type="dxa" w:w="60"/>
              <w:right w:type="dxa" w:w="100"/>
            </w:tcMar>
          </w:tcPr>
          <w:p>
            <w:r>
              <w:rPr>
                <w:b w:val="false"/>
                <w:bCs w:val="false"/>
              </w:rPr>
              <w:t xml:space="preserve">35</w:t>
            </w:r>
          </w:p>
        </w:tc>
        <w:tc>
          <w:tcPr>
            <w:tcW w:type="dxa" w:w="1778"/>
            <w:tcMar>
              <w:top w:type="dxa" w:w="60"/>
              <w:left w:type="dxa" w:w="100"/>
              <w:bottom w:type="dxa" w:w="60"/>
              <w:right w:type="dxa" w:w="100"/>
            </w:tcMar>
          </w:tcPr>
          <w:p>
            <w:r>
              <w:rPr>
                <w:b w:val="false"/>
                <w:bCs w:val="false"/>
              </w:rPr>
              <w:t xml:space="preserve">FT.NARRATIVE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DEBIT.THEIR.REF</w:t>
            </w:r>
          </w:p>
        </w:tc>
      </w:tr>
      <w:tr>
        <w:tc>
          <w:tcPr>
            <w:tcW w:type="dxa" w:w="562"/>
            <w:tcMar>
              <w:top w:type="dxa" w:w="60"/>
              <w:left w:type="dxa" w:w="100"/>
              <w:bottom w:type="dxa" w:w="60"/>
              <w:right w:type="dxa" w:w="100"/>
            </w:tcMar>
          </w:tcPr>
          <w:p>
            <w:r>
              <w:rPr>
                <w:b w:val="false"/>
                <w:bCs w:val="false"/>
              </w:rPr>
              <w:t xml:space="preserve">36</w:t>
            </w:r>
          </w:p>
        </w:tc>
        <w:tc>
          <w:tcPr>
            <w:tcW w:type="dxa" w:w="1778"/>
            <w:tcMar>
              <w:top w:type="dxa" w:w="60"/>
              <w:left w:type="dxa" w:w="100"/>
              <w:bottom w:type="dxa" w:w="60"/>
              <w:right w:type="dxa" w:w="100"/>
            </w:tcMar>
          </w:tcPr>
          <w:p>
            <w:r>
              <w:rPr>
                <w:b w:val="false"/>
                <w:bCs w:val="false"/>
              </w:rPr>
              <w:t xml:space="preserve">INTERMED.BANK.ACCT</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INTERMED.BANK.ACC</w:t>
            </w:r>
          </w:p>
        </w:tc>
      </w:tr>
      <w:tr>
        <w:tc>
          <w:tcPr>
            <w:tcW w:type="dxa" w:w="562"/>
            <w:tcMar>
              <w:top w:type="dxa" w:w="60"/>
              <w:left w:type="dxa" w:w="100"/>
              <w:bottom w:type="dxa" w:w="60"/>
              <w:right w:type="dxa" w:w="100"/>
            </w:tcMar>
          </w:tcPr>
          <w:p>
            <w:r>
              <w:rPr>
                <w:b w:val="false"/>
                <w:bCs w:val="false"/>
              </w:rPr>
              <w:t xml:space="preserve">37</w:t>
            </w:r>
          </w:p>
        </w:tc>
        <w:tc>
          <w:tcPr>
            <w:tcW w:type="dxa" w:w="1778"/>
            <w:tcMar>
              <w:top w:type="dxa" w:w="60"/>
              <w:left w:type="dxa" w:w="100"/>
              <w:bottom w:type="dxa" w:w="60"/>
              <w:right w:type="dxa" w:w="100"/>
            </w:tcMar>
          </w:tcPr>
          <w:p>
            <w:r>
              <w:rPr>
                <w:b w:val="false"/>
                <w:bCs w:val="false"/>
              </w:rPr>
              <w:t xml:space="preserve">INTERMED.BANK</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INTERMED.BANK:n (looped)</w:t>
            </w:r>
          </w:p>
        </w:tc>
      </w:tr>
      <w:tr>
        <w:tc>
          <w:tcPr>
            <w:tcW w:type="dxa" w:w="562"/>
            <w:tcMar>
              <w:top w:type="dxa" w:w="60"/>
              <w:left w:type="dxa" w:w="100"/>
              <w:bottom w:type="dxa" w:w="60"/>
              <w:right w:type="dxa" w:w="100"/>
            </w:tcMar>
          </w:tcPr>
          <w:p>
            <w:r>
              <w:rPr>
                <w:b w:val="false"/>
                <w:bCs w:val="false"/>
              </w:rPr>
              <w:t xml:space="preserve">38</w:t>
            </w:r>
          </w:p>
        </w:tc>
        <w:tc>
          <w:tcPr>
            <w:tcW w:type="dxa" w:w="1778"/>
            <w:tcMar>
              <w:top w:type="dxa" w:w="60"/>
              <w:left w:type="dxa" w:w="100"/>
              <w:bottom w:type="dxa" w:w="60"/>
              <w:right w:type="dxa" w:w="100"/>
            </w:tcMar>
          </w:tcPr>
          <w:p>
            <w:r>
              <w:rPr>
                <w:b w:val="false"/>
                <w:bCs w:val="false"/>
              </w:rPr>
              <w:t xml:space="preserve">ACCT.WITH.BANK.ACC</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as-is</w:t>
            </w:r>
          </w:p>
        </w:tc>
      </w:tr>
      <w:tr>
        <w:tc>
          <w:tcPr>
            <w:tcW w:type="dxa" w:w="562"/>
            <w:tcMar>
              <w:top w:type="dxa" w:w="60"/>
              <w:left w:type="dxa" w:w="100"/>
              <w:bottom w:type="dxa" w:w="60"/>
              <w:right w:type="dxa" w:w="100"/>
            </w:tcMar>
          </w:tcPr>
          <w:p>
            <w:r>
              <w:rPr>
                <w:b w:val="false"/>
                <w:bCs w:val="false"/>
              </w:rPr>
              <w:t xml:space="preserve">39</w:t>
            </w:r>
          </w:p>
        </w:tc>
        <w:tc>
          <w:tcPr>
            <w:tcW w:type="dxa" w:w="1778"/>
            <w:tcMar>
              <w:top w:type="dxa" w:w="60"/>
              <w:left w:type="dxa" w:w="100"/>
              <w:bottom w:type="dxa" w:w="60"/>
              <w:right w:type="dxa" w:w="100"/>
            </w:tcMar>
          </w:tcPr>
          <w:p>
            <w:r>
              <w:rPr>
                <w:b w:val="false"/>
                <w:bCs w:val="false"/>
              </w:rPr>
              <w:t xml:space="preserve">ACCT.WITH.BANK</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ACCT.WITH.BANK:n (looped, capped at 4; SC/BL/CH/FW prefix escaping)</w:t>
            </w:r>
          </w:p>
        </w:tc>
      </w:tr>
      <w:tr>
        <w:tc>
          <w:tcPr>
            <w:tcW w:type="dxa" w:w="562"/>
            <w:tcMar>
              <w:top w:type="dxa" w:w="60"/>
              <w:left w:type="dxa" w:w="100"/>
              <w:bottom w:type="dxa" w:w="60"/>
              <w:right w:type="dxa" w:w="100"/>
            </w:tcMar>
          </w:tcPr>
          <w:p>
            <w:r>
              <w:rPr>
                <w:b w:val="false"/>
                <w:bCs w:val="false"/>
              </w:rPr>
              <w:t xml:space="preserve">40</w:t>
            </w:r>
          </w:p>
        </w:tc>
        <w:tc>
          <w:tcPr>
            <w:tcW w:type="dxa" w:w="1778"/>
            <w:tcMar>
              <w:top w:type="dxa" w:w="60"/>
              <w:left w:type="dxa" w:w="100"/>
              <w:bottom w:type="dxa" w:w="60"/>
              <w:right w:type="dxa" w:w="100"/>
            </w:tcMar>
          </w:tcPr>
          <w:p>
            <w:r>
              <w:rPr>
                <w:b w:val="false"/>
                <w:bCs w:val="false"/>
              </w:rPr>
              <w:t xml:space="preserve">PAYMENT.DETAILS</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PAYMENT.DETAILS:n (looped, capped at 4)</w:t>
            </w:r>
          </w:p>
        </w:tc>
      </w:tr>
      <w:tr>
        <w:tc>
          <w:tcPr>
            <w:tcW w:type="dxa" w:w="562"/>
            <w:tcMar>
              <w:top w:type="dxa" w:w="60"/>
              <w:left w:type="dxa" w:w="100"/>
              <w:bottom w:type="dxa" w:w="60"/>
              <w:right w:type="dxa" w:w="100"/>
            </w:tcMar>
          </w:tcPr>
          <w:p>
            <w:r>
              <w:rPr>
                <w:b w:val="false"/>
                <w:bCs w:val="false"/>
              </w:rPr>
              <w:t xml:space="preserve">41</w:t>
            </w:r>
          </w:p>
        </w:tc>
        <w:tc>
          <w:tcPr>
            <w:tcW w:type="dxa" w:w="1778"/>
            <w:tcMar>
              <w:top w:type="dxa" w:w="60"/>
              <w:left w:type="dxa" w:w="100"/>
              <w:bottom w:type="dxa" w:w="60"/>
              <w:right w:type="dxa" w:w="100"/>
            </w:tcMar>
          </w:tcPr>
          <w:p>
            <w:r>
              <w:rPr>
                <w:b w:val="false"/>
                <w:bCs w:val="false"/>
              </w:rPr>
              <w:t xml:space="preserve">BK.TO.BK.OUT</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via FILL.SUB.VALUE merge logic against the existing FT record</w:t>
            </w:r>
          </w:p>
        </w:tc>
      </w:tr>
      <w:tr>
        <w:tc>
          <w:tcPr>
            <w:tcW w:type="dxa" w:w="562"/>
            <w:tcMar>
              <w:top w:type="dxa" w:w="60"/>
              <w:left w:type="dxa" w:w="100"/>
              <w:bottom w:type="dxa" w:w="60"/>
              <w:right w:type="dxa" w:w="100"/>
            </w:tcMar>
          </w:tcPr>
          <w:p>
            <w:r>
              <w:rPr>
                <w:b w:val="false"/>
                <w:bCs w:val="false"/>
              </w:rPr>
              <w:t xml:space="preserve">42</w:t>
            </w:r>
          </w:p>
        </w:tc>
        <w:tc>
          <w:tcPr>
            <w:tcW w:type="dxa" w:w="1778"/>
            <w:tcMar>
              <w:top w:type="dxa" w:w="60"/>
              <w:left w:type="dxa" w:w="100"/>
              <w:bottom w:type="dxa" w:w="60"/>
              <w:right w:type="dxa" w:w="100"/>
            </w:tcMar>
          </w:tcPr>
          <w:p>
            <w:r>
              <w:rPr>
                <w:b w:val="false"/>
                <w:bCs w:val="false"/>
              </w:rPr>
              <w:t xml:space="preserve">FUNCTION.ID</w:t>
            </w:r>
          </w:p>
        </w:tc>
        <w:tc>
          <w:tcPr>
            <w:tcW w:type="dxa" w:w="2246"/>
            <w:tcMar>
              <w:top w:type="dxa" w:w="60"/>
              <w:left w:type="dxa" w:w="100"/>
              <w:bottom w:type="dxa" w:w="60"/>
              <w:right w:type="dxa" w:w="100"/>
            </w:tcMar>
          </w:tcPr>
          <w:p>
            <w:r>
              <w:rPr>
                <w:b w:val="false"/>
                <w:bCs w:val="false"/>
              </w:rPr>
              <w:t xml:space="preserve">Posted (OFS header/routing only)</w:t>
            </w:r>
          </w:p>
        </w:tc>
        <w:tc>
          <w:tcPr>
            <w:tcW w:type="dxa" w:w="4774"/>
            <w:tcMar>
              <w:top w:type="dxa" w:w="60"/>
              <w:left w:type="dxa" w:w="100"/>
              <w:bottom w:type="dxa" w:w="60"/>
              <w:right w:type="dxa" w:w="100"/>
            </w:tcMar>
          </w:tcPr>
          <w:p>
            <w:r>
              <w:rPr>
                <w:b w:val="false"/>
                <w:bCs w:val="false"/>
              </w:rPr>
              <w:t xml:space="preserve">Used in the OFS header/routing segment (VALIDATE vs PROCESS mode) — not a named FT field</w:t>
            </w:r>
          </w:p>
        </w:tc>
      </w:tr>
      <w:tr>
        <w:tc>
          <w:tcPr>
            <w:tcW w:type="dxa" w:w="562"/>
            <w:tcMar>
              <w:top w:type="dxa" w:w="60"/>
              <w:left w:type="dxa" w:w="100"/>
              <w:bottom w:type="dxa" w:w="60"/>
              <w:right w:type="dxa" w:w="100"/>
            </w:tcMar>
          </w:tcPr>
          <w:p>
            <w:r>
              <w:rPr>
                <w:b w:val="false"/>
                <w:bCs w:val="false"/>
              </w:rPr>
              <w:t xml:space="preserve">43</w:t>
            </w:r>
          </w:p>
        </w:tc>
        <w:tc>
          <w:tcPr>
            <w:tcW w:type="dxa" w:w="1778"/>
            <w:tcMar>
              <w:top w:type="dxa" w:w="60"/>
              <w:left w:type="dxa" w:w="100"/>
              <w:bottom w:type="dxa" w:w="60"/>
              <w:right w:type="dxa" w:w="100"/>
            </w:tcMar>
          </w:tcPr>
          <w:p>
            <w:r>
              <w:rPr>
                <w:b w:val="false"/>
                <w:bCs w:val="false"/>
              </w:rPr>
              <w:t xml:space="preserve">FT.TXN.NARR</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FT.TXN.NARR::</w:t>
            </w:r>
          </w:p>
        </w:tc>
      </w:tr>
      <w:tr>
        <w:tc>
          <w:tcPr>
            <w:tcW w:type="dxa" w:w="562"/>
            <w:tcMar>
              <w:top w:type="dxa" w:w="60"/>
              <w:left w:type="dxa" w:w="100"/>
              <w:bottom w:type="dxa" w:w="60"/>
              <w:right w:type="dxa" w:w="100"/>
            </w:tcMar>
          </w:tcPr>
          <w:p>
            <w:r>
              <w:rPr>
                <w:b w:val="false"/>
                <w:bCs w:val="false"/>
              </w:rPr>
              <w:t xml:space="preserve">44</w:t>
            </w:r>
          </w:p>
        </w:tc>
        <w:tc>
          <w:tcPr>
            <w:tcW w:type="dxa" w:w="1778"/>
            <w:tcMar>
              <w:top w:type="dxa" w:w="60"/>
              <w:left w:type="dxa" w:w="100"/>
              <w:bottom w:type="dxa" w:w="60"/>
              <w:right w:type="dxa" w:w="100"/>
            </w:tcMar>
          </w:tcPr>
          <w:p>
            <w:r>
              <w:rPr>
                <w:b w:val="false"/>
                <w:bCs w:val="false"/>
              </w:rPr>
              <w:t xml:space="preserve">CHRG.ACCT.NO</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CHARGES.ACCT.NO</w:t>
            </w:r>
          </w:p>
        </w:tc>
      </w:tr>
      <w:tr>
        <w:tc>
          <w:tcPr>
            <w:tcW w:type="dxa" w:w="562"/>
            <w:tcMar>
              <w:top w:type="dxa" w:w="60"/>
              <w:left w:type="dxa" w:w="100"/>
              <w:bottom w:type="dxa" w:w="60"/>
              <w:right w:type="dxa" w:w="100"/>
            </w:tcMar>
          </w:tcPr>
          <w:p>
            <w:r>
              <w:rPr>
                <w:b w:val="false"/>
                <w:bCs w:val="false"/>
              </w:rPr>
              <w:t xml:space="preserve">45</w:t>
            </w:r>
          </w:p>
        </w:tc>
        <w:tc>
          <w:tcPr>
            <w:tcW w:type="dxa" w:w="1778"/>
            <w:tcMar>
              <w:top w:type="dxa" w:w="60"/>
              <w:left w:type="dxa" w:w="100"/>
              <w:bottom w:type="dxa" w:w="60"/>
              <w:right w:type="dxa" w:w="100"/>
            </w:tcMar>
          </w:tcPr>
          <w:p>
            <w:r>
              <w:rPr>
                <w:b w:val="false"/>
                <w:bCs w:val="false"/>
              </w:rPr>
              <w:t xml:space="preserve">CREDIT.THEIR.REF</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as-is</w:t>
            </w:r>
          </w:p>
        </w:tc>
      </w:tr>
      <w:tr>
        <w:tc>
          <w:tcPr>
            <w:tcW w:type="dxa" w:w="562"/>
            <w:tcMar>
              <w:top w:type="dxa" w:w="60"/>
              <w:left w:type="dxa" w:w="100"/>
              <w:bottom w:type="dxa" w:w="60"/>
              <w:right w:type="dxa" w:w="100"/>
            </w:tcMar>
          </w:tcPr>
          <w:p>
            <w:r>
              <w:rPr>
                <w:b w:val="false"/>
                <w:bCs w:val="false"/>
              </w:rPr>
              <w:t xml:space="preserve">46</w:t>
            </w:r>
          </w:p>
        </w:tc>
        <w:tc>
          <w:tcPr>
            <w:tcW w:type="dxa" w:w="1778"/>
            <w:tcMar>
              <w:top w:type="dxa" w:w="60"/>
              <w:left w:type="dxa" w:w="100"/>
              <w:bottom w:type="dxa" w:w="60"/>
              <w:right w:type="dxa" w:w="100"/>
            </w:tcMar>
          </w:tcPr>
          <w:p>
            <w:r>
              <w:rPr>
                <w:b w:val="false"/>
                <w:bCs w:val="false"/>
              </w:rPr>
              <w:t xml:space="preserve">DEBIT_VALUE.DATE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 DEBIT.VALUE.DATE (defaults to VALUE.DATE if blank)</w:t>
            </w:r>
          </w:p>
        </w:tc>
      </w:tr>
      <w:tr>
        <w:tc>
          <w:tcPr>
            <w:tcW w:type="dxa" w:w="562"/>
            <w:tcMar>
              <w:top w:type="dxa" w:w="60"/>
              <w:left w:type="dxa" w:w="100"/>
              <w:bottom w:type="dxa" w:w="60"/>
              <w:right w:type="dxa" w:w="100"/>
            </w:tcMar>
          </w:tcPr>
          <w:p>
            <w:r>
              <w:rPr>
                <w:b w:val="false"/>
                <w:bCs w:val="false"/>
              </w:rPr>
              <w:t xml:space="preserve">47</w:t>
            </w:r>
          </w:p>
        </w:tc>
        <w:tc>
          <w:tcPr>
            <w:tcW w:type="dxa" w:w="1778"/>
            <w:tcMar>
              <w:top w:type="dxa" w:w="60"/>
              <w:left w:type="dxa" w:w="100"/>
              <w:bottom w:type="dxa" w:w="60"/>
              <w:right w:type="dxa" w:w="100"/>
            </w:tcMar>
          </w:tcPr>
          <w:p>
            <w:r>
              <w:rPr>
                <w:b w:val="false"/>
                <w:bCs w:val="false"/>
              </w:rPr>
              <w:t xml:space="preserve">VERSION.NAME</w:t>
            </w:r>
          </w:p>
        </w:tc>
        <w:tc>
          <w:tcPr>
            <w:tcW w:type="dxa" w:w="2246"/>
            <w:tcMar>
              <w:top w:type="dxa" w:w="60"/>
              <w:left w:type="dxa" w:w="100"/>
              <w:bottom w:type="dxa" w:w="60"/>
              <w:right w:type="dxa" w:w="100"/>
            </w:tcMar>
          </w:tcPr>
          <w:p>
            <w:r>
              <w:rPr>
                <w:b w:val="false"/>
                <w:bCs w:val="false"/>
              </w:rPr>
              <w:t xml:space="preserve">Posted (OFS header/routing only)</w:t>
            </w:r>
          </w:p>
        </w:tc>
        <w:tc>
          <w:tcPr>
            <w:tcW w:type="dxa" w:w="4774"/>
            <w:tcMar>
              <w:top w:type="dxa" w:w="60"/>
              <w:left w:type="dxa" w:w="100"/>
              <w:bottom w:type="dxa" w:w="60"/>
              <w:right w:type="dxa" w:w="100"/>
            </w:tcMar>
          </w:tcPr>
          <w:p>
            <w:r>
              <w:rPr>
                <w:b w:val="false"/>
                <w:bCs w:val="false"/>
              </w:rPr>
              <w:t xml:space="preserve">Used in the OFS header/routing segment (selects the FT version template) — not a named FT field</w:t>
            </w:r>
          </w:p>
        </w:tc>
      </w:tr>
      <w:tr>
        <w:tc>
          <w:tcPr>
            <w:tcW w:type="dxa" w:w="562"/>
            <w:tcMar>
              <w:top w:type="dxa" w:w="60"/>
              <w:left w:type="dxa" w:w="100"/>
              <w:bottom w:type="dxa" w:w="60"/>
              <w:right w:type="dxa" w:w="100"/>
            </w:tcMar>
          </w:tcPr>
          <w:p>
            <w:r>
              <w:rPr>
                <w:b w:val="false"/>
                <w:bCs w:val="false"/>
              </w:rPr>
              <w:t xml:space="preserve">48</w:t>
            </w:r>
          </w:p>
        </w:tc>
        <w:tc>
          <w:tcPr>
            <w:tcW w:type="dxa" w:w="1778"/>
            <w:tcMar>
              <w:top w:type="dxa" w:w="60"/>
              <w:left w:type="dxa" w:w="100"/>
              <w:bottom w:type="dxa" w:w="60"/>
              <w:right w:type="dxa" w:w="100"/>
            </w:tcMar>
          </w:tcPr>
          <w:p>
            <w:r>
              <w:rPr>
                <w:b w:val="false"/>
                <w:bCs w:val="false"/>
              </w:rPr>
              <w:t xml:space="preserve">OLD.CBE.CODE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as-is (CBE regulatory reporting field)</w:t>
            </w:r>
          </w:p>
        </w:tc>
      </w:tr>
      <w:tr>
        <w:tc>
          <w:tcPr>
            <w:tcW w:type="dxa" w:w="562"/>
            <w:tcMar>
              <w:top w:type="dxa" w:w="60"/>
              <w:left w:type="dxa" w:w="100"/>
              <w:bottom w:type="dxa" w:w="60"/>
              <w:right w:type="dxa" w:w="100"/>
            </w:tcMar>
          </w:tcPr>
          <w:p>
            <w:r>
              <w:rPr>
                <w:b w:val="false"/>
                <w:bCs w:val="false"/>
              </w:rPr>
              <w:t xml:space="preserve">49</w:t>
            </w:r>
          </w:p>
        </w:tc>
        <w:tc>
          <w:tcPr>
            <w:tcW w:type="dxa" w:w="1778"/>
            <w:tcMar>
              <w:top w:type="dxa" w:w="60"/>
              <w:left w:type="dxa" w:w="100"/>
              <w:bottom w:type="dxa" w:w="60"/>
              <w:right w:type="dxa" w:w="100"/>
            </w:tcMar>
          </w:tcPr>
          <w:p>
            <w:r>
              <w:rPr>
                <w:b w:val="false"/>
                <w:bCs w:val="false"/>
              </w:rPr>
              <w:t xml:space="preserve">NEW.CBE.CODE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as-is (CBE regulatory reporting field)</w:t>
            </w:r>
          </w:p>
        </w:tc>
      </w:tr>
      <w:tr>
        <w:tc>
          <w:tcPr>
            <w:tcW w:type="dxa" w:w="562"/>
            <w:tcMar>
              <w:top w:type="dxa" w:w="60"/>
              <w:left w:type="dxa" w:w="100"/>
              <w:bottom w:type="dxa" w:w="60"/>
              <w:right w:type="dxa" w:w="100"/>
            </w:tcMar>
          </w:tcPr>
          <w:p>
            <w:r>
              <w:rPr>
                <w:b w:val="false"/>
                <w:bCs w:val="false"/>
              </w:rPr>
              <w:t xml:space="preserve">50</w:t>
            </w:r>
          </w:p>
        </w:tc>
        <w:tc>
          <w:tcPr>
            <w:tcW w:type="dxa" w:w="1778"/>
            <w:tcMar>
              <w:top w:type="dxa" w:w="60"/>
              <w:left w:type="dxa" w:w="100"/>
              <w:bottom w:type="dxa" w:w="60"/>
              <w:right w:type="dxa" w:w="100"/>
            </w:tcMar>
          </w:tcPr>
          <w:p>
            <w:r>
              <w:rPr>
                <w:b w:val="false"/>
                <w:bCs w:val="false"/>
              </w:rPr>
              <w:t xml:space="preserve">SELL.CODE</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as-is (CBE regulatory reporting field)</w:t>
            </w:r>
          </w:p>
        </w:tc>
      </w:tr>
      <w:tr>
        <w:tc>
          <w:tcPr>
            <w:tcW w:type="dxa" w:w="562"/>
            <w:tcMar>
              <w:top w:type="dxa" w:w="60"/>
              <w:left w:type="dxa" w:w="100"/>
              <w:bottom w:type="dxa" w:w="60"/>
              <w:right w:type="dxa" w:w="100"/>
            </w:tcMar>
          </w:tcPr>
          <w:p>
            <w:r>
              <w:rPr>
                <w:b w:val="false"/>
                <w:bCs w:val="false"/>
              </w:rPr>
              <w:t xml:space="preserve">51</w:t>
            </w:r>
          </w:p>
        </w:tc>
        <w:tc>
          <w:tcPr>
            <w:tcW w:type="dxa" w:w="1778"/>
            <w:tcMar>
              <w:top w:type="dxa" w:w="60"/>
              <w:left w:type="dxa" w:w="100"/>
              <w:bottom w:type="dxa" w:w="60"/>
              <w:right w:type="dxa" w:w="100"/>
            </w:tcMar>
          </w:tcPr>
          <w:p>
            <w:r>
              <w:rPr>
                <w:b w:val="false"/>
                <w:bCs w:val="false"/>
              </w:rPr>
              <w:t xml:space="preserve">CBE.NAR.AR</w:t>
            </w:r>
          </w:p>
        </w:tc>
        <w:tc>
          <w:tcPr>
            <w:tcW w:type="dxa" w:w="2246"/>
            <w:tcMar>
              <w:top w:type="dxa" w:w="60"/>
              <w:left w:type="dxa" w:w="100"/>
              <w:bottom w:type="dxa" w:w="60"/>
              <w:right w:type="dxa" w:w="100"/>
            </w:tcMar>
          </w:tcPr>
          <w:p>
            <w:r>
              <w:rPr>
                <w:b w:val="false"/>
                <w:bCs w:val="false"/>
              </w:rPr>
              <w:t xml:space="preserve">Posted to OFS (data field)</w:t>
            </w:r>
          </w:p>
        </w:tc>
        <w:tc>
          <w:tcPr>
            <w:tcW w:type="dxa" w:w="4774"/>
            <w:tcMar>
              <w:top w:type="dxa" w:w="60"/>
              <w:left w:type="dxa" w:w="100"/>
              <w:bottom w:type="dxa" w:w="60"/>
              <w:right w:type="dxa" w:w="100"/>
            </w:tcMar>
          </w:tcPr>
          <w:p>
            <w:r>
              <w:rPr>
                <w:b w:val="false"/>
                <w:bCs w:val="false"/>
              </w:rPr>
              <w:t xml:space="preserve">Posted as-is (CBE regulatory reporting field, Arabic narrative)</w:t>
            </w:r>
          </w:p>
        </w:tc>
      </w:tr>
    </w:tbl>
    <w:p>
      <w:pPr>
        <w:spacing w:after="200"/>
      </w:pPr>
    </w:p>
    <w:p>
      <w:pPr>
        <w:spacing w:after="120"/>
      </w:pPr>
      <w:r>
        <w:rPr>
          <w:b/>
          <w:bCs/>
        </w:rPr>
        <w:t xml:space="preserve">Pre-processing: input is sanitized — &amp;, /, ',', ', ", (, ), {, }, : are all replaced with safe placeholder chars (- or ^) before parsing. This is a hidden validation/normalization layer that must be replicated in TPH/IRIS if the same special-character handling is expected.</w:t>
      </w:r>
    </w:p>
    <w:p>
      <w:pPr>
        <w:pStyle w:val="Heading2"/>
        <w:spacing w:after="120" w:before="260"/>
      </w:pPr>
      <w:r>
        <w:t xml:space="preserve">2.1 Fields Received But NOT Posted to the Core Ledger — Needs a Decision</w:t>
      </w:r>
    </w:p>
    <w:p>
      <w:pPr>
        <w:spacing w:after="120"/>
      </w:pPr>
      <w:r>
        <w:rPr>
          <w:color w:val="C00000"/>
        </w:rPr>
        <w:t xml:space="preserve">The following input fields are accepted from the channel but, based on this routine's code, never make it into the FUNDS.TRANSFER posting. For each, the migration team must explicitly decide: (a) intentionally drop it in the new IRIS request contract, (b) discover where else it's used in T24 R20 (a routine not covered by this file) before dropping it, or (c) it was already dead code that predates the current requirements and can be safely retired.</w:t>
      </w:r>
    </w:p>
    <w:p>
      <w:pPr>
        <w:pStyle w:val="ListParagraph"/>
        <w:numPr>
          <w:ilvl w:val="0"/>
          <w:numId w:val="1"/>
        </w:numPr>
        <w:spacing w:after="60"/>
      </w:pPr>
      <w:r>
        <w:t xml:space="preserve">BOOK.DATE — parsed, no downstream reference found</w:t>
      </w:r>
    </w:p>
    <w:p>
      <w:pPr>
        <w:pStyle w:val="ListParagraph"/>
        <w:numPr>
          <w:ilvl w:val="0"/>
          <w:numId w:val="1"/>
        </w:numPr>
        <w:spacing w:after="60"/>
      </w:pPr>
      <w:r>
        <w:t xml:space="preserve">PROFIT.CNTR — split into CUST/DEBT components, neither referenced again</w:t>
      </w:r>
    </w:p>
    <w:p>
      <w:pPr>
        <w:pStyle w:val="ListParagraph"/>
        <w:numPr>
          <w:ilvl w:val="0"/>
          <w:numId w:val="1"/>
        </w:numPr>
        <w:spacing w:after="60"/>
      </w:pPr>
      <w:r>
        <w:t xml:space="preserve">SRC.NARR — parsed, no downstream reference found</w:t>
      </w:r>
    </w:p>
    <w:p>
      <w:pPr>
        <w:pStyle w:val="ListParagraph"/>
        <w:numPr>
          <w:ilvl w:val="0"/>
          <w:numId w:val="1"/>
        </w:numPr>
        <w:spacing w:after="60"/>
      </w:pPr>
      <w:r>
        <w:t xml:space="preserve">BEN.ADDR.1, BEN.ADDR.2, BEN.ADDR.3 — beneficiary address lines parsed, never posted or used</w:t>
      </w:r>
    </w:p>
    <w:p>
      <w:pPr>
        <w:pStyle w:val="ListParagraph"/>
        <w:numPr>
          <w:ilvl w:val="0"/>
          <w:numId w:val="1"/>
        </w:numPr>
        <w:spacing w:after="60"/>
      </w:pPr>
      <w:r>
        <w:t xml:space="preserve">CHARGE.IND — parsed, no downstream reference found</w:t>
      </w:r>
    </w:p>
    <w:p>
      <w:pPr>
        <w:pStyle w:val="ListParagraph"/>
        <w:numPr>
          <w:ilvl w:val="0"/>
          <w:numId w:val="1"/>
        </w:numPr>
        <w:spacing w:after="60"/>
      </w:pPr>
      <w:r>
        <w:t xml:space="preserve">BEN.BK.NAME — parsed; only the BIC code (BEN.BIC.CD) actually gets posted, the bank name text does not</w:t>
      </w:r>
    </w:p>
    <w:p>
      <w:pPr>
        <w:pStyle w:val="ListParagraph"/>
        <w:numPr>
          <w:ilvl w:val="0"/>
          <w:numId w:val="1"/>
        </w:numPr>
        <w:spacing w:after="60"/>
      </w:pPr>
      <w:r>
        <w:t xml:space="preserve">BEN.BK.SORT.CD, BEN.BK.BRANCH, BEN.BK.BRN.CD — beneficiary bank routing detail fields parsed, never posted or used</w:t>
      </w:r>
    </w:p>
    <w:p>
      <w:pPr>
        <w:pStyle w:val="ListParagraph"/>
        <w:numPr>
          <w:ilvl w:val="0"/>
          <w:numId w:val="1"/>
        </w:numPr>
        <w:spacing w:after="60"/>
      </w:pPr>
      <w:r>
        <w:t xml:space="preserve">BEN.NARRATIVE — parsed but distinct from FT.NARRATIVE (which is posted) — this specific field is dropped</w:t>
      </w:r>
    </w:p>
    <w:p>
      <w:pPr>
        <w:pStyle w:val="ListParagraph"/>
        <w:numPr>
          <w:ilvl w:val="0"/>
          <w:numId w:val="1"/>
        </w:numPr>
        <w:spacing w:after="60"/>
      </w:pPr>
      <w:r>
        <w:t xml:space="preserve">CUSTOMER.SPREAD — parsed, no downstream reference found</w:t>
      </w:r>
    </w:p>
    <w:p>
      <w:pPr>
        <w:spacing w:after="120"/>
      </w:pPr>
      <w:r>
        <w:rPr>
          <w:i/>
          <w:iCs/>
        </w:rPr>
        <w:t xml:space="preserve">Separately, two fields are consumed only for validation/control-flow and are correctly never posted as ledger data — this is expected behavior, not a gap: TXN.TYPE (restriction check input) and OD.TYPE (overdraft balance-check gate).</w:t>
      </w:r>
    </w:p>
    <w:p>
      <w:pPr>
        <w:pStyle w:val="Heading1"/>
        <w:pBdr>
          <w:bottom w:val="single" w:color="2E5395" w:sz="6" w:space="4"/>
        </w:pBdr>
        <w:spacing w:after="150" w:before="300"/>
      </w:pPr>
      <w:r>
        <w:t xml:space="preserve">2A. Technical Processing Flow (Sequence)</w:t>
      </w:r>
    </w:p>
    <w:p>
      <w:pPr>
        <w:spacing w:after="120"/>
      </w:pPr>
      <w:r>
        <w:t xml:space="preserve">Step-by-step execution order as implemented in CIB.OT.FT, useful for building an equivalent orchestration sequence (e.g. BPEL/API-gateway flow) in TPH:</w:t>
      </w:r>
    </w:p>
    <w:p>
      <w:pPr>
        <w:spacing w:after="80"/>
      </w:pPr>
      <w:r>
        <w:rPr>
          <w:b/>
          <w:bCs/>
        </w:rPr>
        <w:t xml:space="preserve">1. </w:t>
      </w:r>
      <w:r>
        <w:t xml:space="preserve">OPEN.FILES — opens all required file handles (F.ACCOUNT.RETAIL.CU.ACCT, F.COMPANY, FBNK.NOSTRO.ACC, F.ACCOUNT, F.CURRENCY, FBNK.FUNDS.TRANSFER, FBNK.FUNDS.TRANSFER$NAU, FBNK.CIB.API.FT, F.CIB.ONLINE.FTS, F.CIB.API.OVERRIDE, F.ST.CIB.FI.FT.PARAM, FBNK.CUSTOMER).</w:t>
      </w:r>
    </w:p>
    <w:p>
      <w:pPr>
        <w:spacing w:after="80"/>
      </w:pPr>
      <w:r>
        <w:rPr>
          <w:b/>
          <w:bCs/>
        </w:rPr>
        <w:t xml:space="preserve">2. </w:t>
      </w:r>
      <w:r>
        <w:t xml:space="preserve">Sanitize I.PARAM — strip/replace reserved delimiter characters so downstream FIELD() parsing is safe.</w:t>
      </w:r>
    </w:p>
    <w:p>
      <w:pPr>
        <w:spacing w:after="80"/>
      </w:pPr>
      <w:r>
        <w:rPr>
          <w:b/>
          <w:bCs/>
        </w:rPr>
        <w:t xml:space="preserve">3. </w:t>
      </w:r>
      <w:r>
        <w:t xml:space="preserve">SAVE.MSG — parse header (SRVC.ID, CHNL.CODE, MSG.ID, TOKEN.ID), resolve per-channel override config (CIB.API.OVERRIDE) and Business Banking industry flag (CHECK.FI.IND.UPD.FLAG / ST.CIB.FI.FT.PARAM), parse all 51 positional fields, then read-or-create the CIB.API.FT audit/idempotency record for this MSG.ID.</w:t>
      </w:r>
    </w:p>
    <w:p>
      <w:pPr>
        <w:spacing w:after="80"/>
      </w:pPr>
      <w:r>
        <w:rPr>
          <w:b/>
          <w:bCs/>
        </w:rPr>
        <w:t xml:space="preserve">4. </w:t>
      </w:r>
      <w:r>
        <w:t xml:space="preserve">Idempotency gate — if CIB.API.FT already shows CUR.STATUS = 0000 for this MSG.ID, skip straight to building the cached response (no re-validation, no re-posting).</w:t>
      </w:r>
    </w:p>
    <w:p>
      <w:pPr>
        <w:spacing w:after="80"/>
      </w:pPr>
      <w:r>
        <w:rPr>
          <w:b/>
          <w:bCs/>
        </w:rPr>
        <w:t xml:space="preserve">5. </w:t>
      </w:r>
      <w:r>
        <w:t xml:space="preserve">Channel restriction gate (API channel only) — call CIB.API.VALIDATE.FT; if restricted, short-circuit with status 0006.</w:t>
      </w:r>
    </w:p>
    <w:p>
      <w:pPr>
        <w:spacing w:after="80"/>
      </w:pPr>
      <w:r>
        <w:rPr>
          <w:b/>
          <w:bCs/>
        </w:rPr>
        <w:t xml:space="preserve">6. </w:t>
      </w:r>
      <w:r>
        <w:t xml:space="preserve">FT.PROCESS — normalize SRC.ACC.ID format, compute available balance (GET.NET.AVL.BL), convert currency if needed (GET.EQ.AMOUNT / EXCHRATE), apply overdraft/auth-flag logic.</w:t>
      </w:r>
    </w:p>
    <w:p>
      <w:pPr>
        <w:spacing w:after="80"/>
      </w:pPr>
      <w:r>
        <w:rPr>
          <w:b/>
          <w:bCs/>
        </w:rPr>
        <w:t xml:space="preserve">7. </w:t>
      </w:r>
      <w:r>
        <w:t xml:space="preserve">Business Banking gate — if BB.FLAG is set and a posting-restriction match is found, short-circuit with status 3003 before the balance check is even evaluated.</w:t>
      </w:r>
    </w:p>
    <w:p>
      <w:pPr>
        <w:spacing w:after="80"/>
      </w:pPr>
      <w:r>
        <w:rPr>
          <w:b/>
          <w:bCs/>
        </w:rPr>
        <w:t xml:space="preserve">8. </w:t>
      </w:r>
      <w:r>
        <w:t xml:space="preserve">Balance gate — if available balance is insufficient and no overdraft override applies, short-circuit with status 0011 (Business Banking) or 0006 (standard).</w:t>
      </w:r>
    </w:p>
    <w:p>
      <w:pPr>
        <w:spacing w:after="80"/>
      </w:pPr>
      <w:r>
        <w:rPr>
          <w:b/>
          <w:bCs/>
        </w:rPr>
        <w:t xml:space="preserve">9. </w:t>
      </w:r>
      <w:r>
        <w:t xml:space="preserve">Build OFSRECORD — assemble the full OFS string field-by-field (see 2B below), including BIC/IBAN resolution, commission-code derivation, and CBE reporting fields.</w:t>
      </w:r>
    </w:p>
    <w:p>
      <w:pPr>
        <w:spacing w:after="80"/>
      </w:pPr>
      <w:r>
        <w:rPr>
          <w:b/>
          <w:bCs/>
        </w:rPr>
        <w:t xml:space="preserve">10. </w:t>
      </w:r>
      <w:r>
        <w:t xml:space="preserve">BB.MCP dry-run gate — for BB.MCP channel only, run a VALIDATE-mode OFS call first; if ACCT.UNAUTH.OD override is returned, short-circuit with status 0011.</w:t>
      </w:r>
    </w:p>
    <w:p>
      <w:pPr>
        <w:spacing w:after="80"/>
      </w:pPr>
      <w:r>
        <w:rPr>
          <w:b/>
          <w:bCs/>
        </w:rPr>
        <w:t xml:space="preserve">11. </w:t>
      </w:r>
      <w:r>
        <w:t xml:space="preserve">Post — call OFS.INITIALISE.SOURCE + OFS.BULK.MANAGER to submit the real (PROCESS-mode) OFS record to FUNDS.TRANSFER.</w:t>
      </w:r>
    </w:p>
    <w:p>
      <w:pPr>
        <w:spacing w:after="80"/>
      </w:pPr>
      <w:r>
        <w:rPr>
          <w:b/>
          <w:bCs/>
        </w:rPr>
        <w:t xml:space="preserve">12. </w:t>
      </w:r>
      <w:r>
        <w:t xml:space="preserve">Parse OFS response — extract success flag, FT.ID, and status; on success set PAID.AMOUNT and call UPDATE.FTS.ONLINE (SMS trigger + journal).</w:t>
      </w:r>
    </w:p>
    <w:p>
      <w:pPr>
        <w:spacing w:after="80"/>
      </w:pPr>
      <w:r>
        <w:rPr>
          <w:b/>
          <w:bCs/>
        </w:rPr>
        <w:t xml:space="preserve">13. </w:t>
      </w:r>
      <w:r>
        <w:t xml:space="preserve">Re-read FUNDS.TRANSFER (NAU or live) to fetch OVERRIDE text for the response payload.</w:t>
      </w:r>
    </w:p>
    <w:p>
      <w:pPr>
        <w:spacing w:after="80"/>
      </w:pPr>
      <w:r>
        <w:rPr>
          <w:b/>
          <w:bCs/>
        </w:rPr>
        <w:t xml:space="preserve">14. </w:t>
      </w:r>
      <w:r>
        <w:t xml:space="preserve">Conditional auto-authorization — if channel config requires it and the record is in an auth-pending state, call CIB.MSG.AUTHORIZE.SC.</w:t>
      </w:r>
    </w:p>
    <w:p>
      <w:pPr>
        <w:spacing w:after="80"/>
      </w:pPr>
      <w:r>
        <w:rPr>
          <w:b/>
          <w:bCs/>
        </w:rPr>
        <w:t xml:space="preserve">15. </w:t>
      </w:r>
      <w:r>
        <w:t xml:space="preserve">UPDATE.MSG — persist final CUR.STATUS, FT.ID, OFSRECORD, PAID.AMOUNT back to CIB.API.FT (skipped when FUNCTION.ID = VALIDATE, i.e. dry-run/enquiry calls don't overwrite the audit record).</w:t>
      </w:r>
    </w:p>
    <w:p>
      <w:pPr>
        <w:spacing w:after="80"/>
      </w:pPr>
      <w:r>
        <w:rPr>
          <w:b/>
          <w:bCs/>
        </w:rPr>
        <w:t xml:space="preserve">16. </w:t>
      </w:r>
      <w:r>
        <w:t xml:space="preserve">Return O.MSG to caller in the format HEADER.ID|STATUS|FT.ID|OFSRECORD|PAID.AMOUNT|OVERRIDE|.</w:t>
      </w:r>
    </w:p>
    <w:p>
      <w:pPr>
        <w:pStyle w:val="Heading1"/>
        <w:pBdr>
          <w:bottom w:val="single" w:color="2E5395" w:sz="6" w:space="4"/>
        </w:pBdr>
        <w:spacing w:after="150" w:before="300"/>
      </w:pPr>
      <w:r>
        <w:t xml:space="preserve">2B. OFS Record Field Construction Map</w:t>
      </w:r>
    </w:p>
    <w:p>
      <w:pPr>
        <w:spacing w:after="120"/>
      </w:pPr>
      <w:r>
        <w:t xml:space="preserve">Shows exactly how each field posted to FUNDS.TRANSFER (via OFS) is derived. This is the field-by-field spec needed to build the equivalent IRIS API request payload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2617"/>
        <w:gridCol w:w="4328"/>
      </w:tblGrid>
      <w:tr>
        <w:trPr>
          <w:tblHeader/>
        </w:trPr>
        <w:tc>
          <w:tcPr>
            <w:tcW w:type="dxa" w:w="2415"/>
            <w:shd w:fill="2E5395" w:val="clear"/>
            <w:tcMar>
              <w:top w:type="dxa" w:w="80"/>
              <w:left w:type="dxa" w:w="100"/>
              <w:bottom w:type="dxa" w:w="80"/>
              <w:right w:type="dxa" w:w="100"/>
            </w:tcMar>
          </w:tcPr>
          <w:p>
            <w:r>
              <w:rPr>
                <w:b/>
                <w:bCs/>
                <w:color w:val="FFFFFF"/>
              </w:rPr>
              <w:t xml:space="preserve">OFS Field</w:t>
            </w:r>
          </w:p>
        </w:tc>
        <w:tc>
          <w:tcPr>
            <w:tcW w:type="dxa" w:w="2617"/>
            <w:shd w:fill="2E5395" w:val="clear"/>
            <w:tcMar>
              <w:top w:type="dxa" w:w="80"/>
              <w:left w:type="dxa" w:w="100"/>
              <w:bottom w:type="dxa" w:w="80"/>
              <w:right w:type="dxa" w:w="100"/>
            </w:tcMar>
          </w:tcPr>
          <w:p>
            <w:r>
              <w:rPr>
                <w:b/>
                <w:bCs/>
                <w:color w:val="FFFFFF"/>
              </w:rPr>
              <w:t xml:space="preserve">Source Field(s)</w:t>
            </w:r>
          </w:p>
        </w:tc>
        <w:tc>
          <w:tcPr>
            <w:tcW w:type="dxa" w:w="4328"/>
            <w:shd w:fill="2E5395" w:val="clear"/>
            <w:tcMar>
              <w:top w:type="dxa" w:w="80"/>
              <w:left w:type="dxa" w:w="100"/>
              <w:bottom w:type="dxa" w:w="80"/>
              <w:right w:type="dxa" w:w="100"/>
            </w:tcMar>
          </w:tcPr>
          <w:p>
            <w:r>
              <w:rPr>
                <w:b/>
                <w:bCs/>
                <w:color w:val="FFFFFF"/>
              </w:rPr>
              <w:t xml:space="preserve">Transform / Rule</w:t>
            </w:r>
          </w:p>
        </w:tc>
      </w:tr>
      <w:tr>
        <w:tc>
          <w:tcPr>
            <w:tcW w:type="dxa" w:w="2415"/>
            <w:tcMar>
              <w:top w:type="dxa" w:w="60"/>
              <w:left w:type="dxa" w:w="100"/>
              <w:bottom w:type="dxa" w:w="60"/>
              <w:right w:type="dxa" w:w="100"/>
            </w:tcMar>
          </w:tcPr>
          <w:p>
            <w:r>
              <w:rPr>
                <w:b w:val="false"/>
                <w:bCs w:val="false"/>
              </w:rPr>
              <w:t xml:space="preserve">DEBIT.ACCT.NO</w:t>
            </w:r>
          </w:p>
        </w:tc>
        <w:tc>
          <w:tcPr>
            <w:tcW w:type="dxa" w:w="2617"/>
            <w:tcMar>
              <w:top w:type="dxa" w:w="60"/>
              <w:left w:type="dxa" w:w="100"/>
              <w:bottom w:type="dxa" w:w="60"/>
              <w:right w:type="dxa" w:w="100"/>
            </w:tcMar>
          </w:tcPr>
          <w:p>
            <w:r>
              <w:rPr>
                <w:b w:val="false"/>
                <w:bCs w:val="false"/>
              </w:rPr>
              <w:t xml:space="preserve">SRC.ACC.ID</w:t>
            </w:r>
          </w:p>
        </w:tc>
        <w:tc>
          <w:tcPr>
            <w:tcW w:type="dxa" w:w="4328"/>
            <w:tcMar>
              <w:top w:type="dxa" w:w="60"/>
              <w:left w:type="dxa" w:w="100"/>
              <w:bottom w:type="dxa" w:w="60"/>
              <w:right w:type="dxa" w:w="100"/>
            </w:tcMar>
          </w:tcPr>
          <w:p>
            <w:r>
              <w:rPr>
                <w:b w:val="false"/>
                <w:bCs w:val="false"/>
              </w:rPr>
              <w:t xml:space="preserve">Normalized (short-format account re-mapped via F.ACCOUNT.RETAIL.CU.ACCT lookup if ≤10 chars)</w:t>
            </w:r>
          </w:p>
        </w:tc>
      </w:tr>
      <w:tr>
        <w:tc>
          <w:tcPr>
            <w:tcW w:type="dxa" w:w="2415"/>
            <w:tcMar>
              <w:top w:type="dxa" w:w="60"/>
              <w:left w:type="dxa" w:w="100"/>
              <w:bottom w:type="dxa" w:w="60"/>
              <w:right w:type="dxa" w:w="100"/>
            </w:tcMar>
          </w:tcPr>
          <w:p>
            <w:r>
              <w:rPr>
                <w:b w:val="false"/>
                <w:bCs w:val="false"/>
              </w:rPr>
              <w:t xml:space="preserve">CREDIT.ACCT.NO</w:t>
            </w:r>
          </w:p>
        </w:tc>
        <w:tc>
          <w:tcPr>
            <w:tcW w:type="dxa" w:w="2617"/>
            <w:tcMar>
              <w:top w:type="dxa" w:w="60"/>
              <w:left w:type="dxa" w:w="100"/>
              <w:bottom w:type="dxa" w:w="60"/>
              <w:right w:type="dxa" w:w="100"/>
            </w:tcMar>
          </w:tcPr>
          <w:p>
            <w:r>
              <w:rPr>
                <w:b w:val="false"/>
                <w:bCs w:val="false"/>
              </w:rPr>
              <w:t xml:space="preserve">CREDIT.ACCT.NO</w:t>
            </w:r>
          </w:p>
        </w:tc>
        <w:tc>
          <w:tcPr>
            <w:tcW w:type="dxa" w:w="4328"/>
            <w:tcMar>
              <w:top w:type="dxa" w:w="60"/>
              <w:left w:type="dxa" w:w="100"/>
              <w:bottom w:type="dxa" w:w="60"/>
              <w:right w:type="dxa" w:w="100"/>
            </w:tcMar>
          </w:tcPr>
          <w:p>
            <w:r>
              <w:rPr>
                <w:b w:val="false"/>
                <w:bCs w:val="false"/>
              </w:rPr>
              <w:t xml:space="preserve">Passed through as-is</w:t>
            </w:r>
          </w:p>
        </w:tc>
      </w:tr>
      <w:tr>
        <w:tc>
          <w:tcPr>
            <w:tcW w:type="dxa" w:w="2415"/>
            <w:tcMar>
              <w:top w:type="dxa" w:w="60"/>
              <w:left w:type="dxa" w:w="100"/>
              <w:bottom w:type="dxa" w:w="60"/>
              <w:right w:type="dxa" w:w="100"/>
            </w:tcMar>
          </w:tcPr>
          <w:p>
            <w:r>
              <w:rPr>
                <w:b w:val="false"/>
                <w:bCs w:val="false"/>
              </w:rPr>
              <w:t xml:space="preserve">CREDIT.CURRENCY / CREDIT.AMOUNT</w:t>
            </w:r>
          </w:p>
        </w:tc>
        <w:tc>
          <w:tcPr>
            <w:tcW w:type="dxa" w:w="2617"/>
            <w:tcMar>
              <w:top w:type="dxa" w:w="60"/>
              <w:left w:type="dxa" w:w="100"/>
              <w:bottom w:type="dxa" w:w="60"/>
              <w:right w:type="dxa" w:w="100"/>
            </w:tcMar>
          </w:tcPr>
          <w:p>
            <w:r>
              <w:rPr>
                <w:b w:val="false"/>
                <w:bCs w:val="false"/>
              </w:rPr>
              <w:t xml:space="preserve">SRC.CURR / SRC.AMT</w:t>
            </w:r>
          </w:p>
        </w:tc>
        <w:tc>
          <w:tcPr>
            <w:tcW w:type="dxa" w:w="4328"/>
            <w:tcMar>
              <w:top w:type="dxa" w:w="60"/>
              <w:left w:type="dxa" w:w="100"/>
              <w:bottom w:type="dxa" w:w="60"/>
              <w:right w:type="dxa" w:w="100"/>
            </w:tcMar>
          </w:tcPr>
          <w:p>
            <w:r>
              <w:rPr>
                <w:b w:val="false"/>
                <w:bCs w:val="false"/>
              </w:rPr>
              <w:t xml:space="preserve">Direct pass-through</w:t>
            </w:r>
          </w:p>
        </w:tc>
      </w:tr>
      <w:tr>
        <w:tc>
          <w:tcPr>
            <w:tcW w:type="dxa" w:w="2415"/>
            <w:tcMar>
              <w:top w:type="dxa" w:w="60"/>
              <w:left w:type="dxa" w:w="100"/>
              <w:bottom w:type="dxa" w:w="60"/>
              <w:right w:type="dxa" w:w="100"/>
            </w:tcMar>
          </w:tcPr>
          <w:p>
            <w:r>
              <w:rPr>
                <w:b w:val="false"/>
                <w:bCs w:val="false"/>
              </w:rPr>
              <w:t xml:space="preserve">CREDIT.VALUE.DATE</w:t>
            </w:r>
          </w:p>
        </w:tc>
        <w:tc>
          <w:tcPr>
            <w:tcW w:type="dxa" w:w="2617"/>
            <w:tcMar>
              <w:top w:type="dxa" w:w="60"/>
              <w:left w:type="dxa" w:w="100"/>
              <w:bottom w:type="dxa" w:w="60"/>
              <w:right w:type="dxa" w:w="100"/>
            </w:tcMar>
          </w:tcPr>
          <w:p>
            <w:r>
              <w:rPr>
                <w:b w:val="false"/>
                <w:bCs w:val="false"/>
              </w:rPr>
              <w:t xml:space="preserve">VALUE.DATE</w:t>
            </w:r>
          </w:p>
        </w:tc>
        <w:tc>
          <w:tcPr>
            <w:tcW w:type="dxa" w:w="4328"/>
            <w:tcMar>
              <w:top w:type="dxa" w:w="60"/>
              <w:left w:type="dxa" w:w="100"/>
              <w:bottom w:type="dxa" w:w="60"/>
              <w:right w:type="dxa" w:w="100"/>
            </w:tcMar>
          </w:tcPr>
          <w:p>
            <w:r>
              <w:rPr>
                <w:b w:val="false"/>
                <w:bCs w:val="false"/>
              </w:rPr>
              <w:t xml:space="preserve">Defaults to TODAY if blank</w:t>
            </w:r>
          </w:p>
        </w:tc>
      </w:tr>
      <w:tr>
        <w:tc>
          <w:tcPr>
            <w:tcW w:type="dxa" w:w="2415"/>
            <w:tcMar>
              <w:top w:type="dxa" w:w="60"/>
              <w:left w:type="dxa" w:w="100"/>
              <w:bottom w:type="dxa" w:w="60"/>
              <w:right w:type="dxa" w:w="100"/>
            </w:tcMar>
          </w:tcPr>
          <w:p>
            <w:r>
              <w:rPr>
                <w:b w:val="false"/>
                <w:bCs w:val="false"/>
              </w:rPr>
              <w:t xml:space="preserve">DEBIT.VALUE.DATE</w:t>
            </w:r>
          </w:p>
        </w:tc>
        <w:tc>
          <w:tcPr>
            <w:tcW w:type="dxa" w:w="2617"/>
            <w:tcMar>
              <w:top w:type="dxa" w:w="60"/>
              <w:left w:type="dxa" w:w="100"/>
              <w:bottom w:type="dxa" w:w="60"/>
              <w:right w:type="dxa" w:w="100"/>
            </w:tcMar>
          </w:tcPr>
          <w:p>
            <w:r>
              <w:rPr>
                <w:b w:val="false"/>
                <w:bCs w:val="false"/>
              </w:rPr>
              <w:t xml:space="preserve">DEBIT_VALUE.DATE</w:t>
            </w:r>
          </w:p>
        </w:tc>
        <w:tc>
          <w:tcPr>
            <w:tcW w:type="dxa" w:w="4328"/>
            <w:tcMar>
              <w:top w:type="dxa" w:w="60"/>
              <w:left w:type="dxa" w:w="100"/>
              <w:bottom w:type="dxa" w:w="60"/>
              <w:right w:type="dxa" w:w="100"/>
            </w:tcMar>
          </w:tcPr>
          <w:p>
            <w:r>
              <w:rPr>
                <w:b w:val="false"/>
                <w:bCs w:val="false"/>
              </w:rPr>
              <w:t xml:space="preserve">Defaults to VALUE.DATE if blank</w:t>
            </w:r>
          </w:p>
        </w:tc>
      </w:tr>
      <w:tr>
        <w:tc>
          <w:tcPr>
            <w:tcW w:type="dxa" w:w="2415"/>
            <w:tcMar>
              <w:top w:type="dxa" w:w="60"/>
              <w:left w:type="dxa" w:w="100"/>
              <w:bottom w:type="dxa" w:w="60"/>
              <w:right w:type="dxa" w:w="100"/>
            </w:tcMar>
          </w:tcPr>
          <w:p>
            <w:r>
              <w:rPr>
                <w:b w:val="false"/>
                <w:bCs w:val="false"/>
              </w:rPr>
              <w:t xml:space="preserve">ORDERING.CUST:n</w:t>
            </w:r>
          </w:p>
        </w:tc>
        <w:tc>
          <w:tcPr>
            <w:tcW w:type="dxa" w:w="2617"/>
            <w:tcMar>
              <w:top w:type="dxa" w:w="60"/>
              <w:left w:type="dxa" w:w="100"/>
              <w:bottom w:type="dxa" w:w="60"/>
              <w:right w:type="dxa" w:w="100"/>
            </w:tcMar>
          </w:tcPr>
          <w:p>
            <w:r>
              <w:rPr>
                <w:b w:val="false"/>
                <w:bCs w:val="false"/>
              </w:rPr>
              <w:t xml:space="preserve">ORDERING.CUST</w:t>
            </w:r>
          </w:p>
        </w:tc>
        <w:tc>
          <w:tcPr>
            <w:tcW w:type="dxa" w:w="4328"/>
            <w:tcMar>
              <w:top w:type="dxa" w:w="60"/>
              <w:left w:type="dxa" w:w="100"/>
              <w:bottom w:type="dxa" w:w="60"/>
              <w:right w:type="dxa" w:w="100"/>
            </w:tcMar>
          </w:tcPr>
          <w:p>
            <w:r>
              <w:rPr>
                <w:b w:val="false"/>
                <w:bCs w:val="false"/>
              </w:rPr>
              <w:t xml:space="preserve">'_' split into multivalue; '~'→'_' unescape per line</w:t>
            </w:r>
          </w:p>
        </w:tc>
      </w:tr>
      <w:tr>
        <w:tc>
          <w:tcPr>
            <w:tcW w:type="dxa" w:w="2415"/>
            <w:tcMar>
              <w:top w:type="dxa" w:w="60"/>
              <w:left w:type="dxa" w:w="100"/>
              <w:bottom w:type="dxa" w:w="60"/>
              <w:right w:type="dxa" w:w="100"/>
            </w:tcMar>
          </w:tcPr>
          <w:p>
            <w:r>
              <w:rPr>
                <w:b w:val="false"/>
                <w:bCs w:val="false"/>
              </w:rPr>
              <w:t xml:space="preserve">ORD.CUST.ACCT</w:t>
            </w:r>
          </w:p>
        </w:tc>
        <w:tc>
          <w:tcPr>
            <w:tcW w:type="dxa" w:w="2617"/>
            <w:tcMar>
              <w:top w:type="dxa" w:w="60"/>
              <w:left w:type="dxa" w:w="100"/>
              <w:bottom w:type="dxa" w:w="60"/>
              <w:right w:type="dxa" w:w="100"/>
            </w:tcMar>
          </w:tcPr>
          <w:p>
            <w:r>
              <w:rPr>
                <w:b w:val="false"/>
                <w:bCs w:val="false"/>
              </w:rPr>
              <w:t xml:space="preserve">ORDERING.CUST (first value)</w:t>
            </w:r>
          </w:p>
        </w:tc>
        <w:tc>
          <w:tcPr>
            <w:tcW w:type="dxa" w:w="4328"/>
            <w:tcMar>
              <w:top w:type="dxa" w:w="60"/>
              <w:left w:type="dxa" w:w="100"/>
              <w:bottom w:type="dxa" w:w="60"/>
              <w:right w:type="dxa" w:w="100"/>
            </w:tcMar>
          </w:tcPr>
          <w:p>
            <w:r>
              <w:rPr>
                <w:b w:val="false"/>
                <w:bCs w:val="false"/>
              </w:rPr>
              <w:t xml:space="preserve">Only set when ORDERING.CUST is non-blank AND SRC.ACC.ID length &gt; 12</w:t>
            </w:r>
          </w:p>
        </w:tc>
      </w:tr>
      <w:tr>
        <w:tc>
          <w:tcPr>
            <w:tcW w:type="dxa" w:w="2415"/>
            <w:tcMar>
              <w:top w:type="dxa" w:w="60"/>
              <w:left w:type="dxa" w:w="100"/>
              <w:bottom w:type="dxa" w:w="60"/>
              <w:right w:type="dxa" w:w="100"/>
            </w:tcMar>
          </w:tcPr>
          <w:p>
            <w:r>
              <w:rPr>
                <w:b w:val="false"/>
                <w:bCs w:val="false"/>
              </w:rPr>
              <w:t xml:space="preserve">PAYMENT.DETAILS:n</w:t>
            </w:r>
          </w:p>
        </w:tc>
        <w:tc>
          <w:tcPr>
            <w:tcW w:type="dxa" w:w="2617"/>
            <w:tcMar>
              <w:top w:type="dxa" w:w="60"/>
              <w:left w:type="dxa" w:w="100"/>
              <w:bottom w:type="dxa" w:w="60"/>
              <w:right w:type="dxa" w:w="100"/>
            </w:tcMar>
          </w:tcPr>
          <w:p>
            <w:r>
              <w:rPr>
                <w:b w:val="false"/>
                <w:bCs w:val="false"/>
              </w:rPr>
              <w:t xml:space="preserve">PAYMENT.DETAILS</w:t>
            </w:r>
          </w:p>
        </w:tc>
        <w:tc>
          <w:tcPr>
            <w:tcW w:type="dxa" w:w="4328"/>
            <w:tcMar>
              <w:top w:type="dxa" w:w="60"/>
              <w:left w:type="dxa" w:w="100"/>
              <w:bottom w:type="dxa" w:w="60"/>
              <w:right w:type="dxa" w:w="100"/>
            </w:tcMar>
          </w:tcPr>
          <w:p>
            <w:r>
              <w:rPr>
                <w:b w:val="false"/>
                <w:bCs w:val="false"/>
              </w:rPr>
              <w:t xml:space="preserve">'_' split, capped at 4 lines</w:t>
            </w:r>
          </w:p>
        </w:tc>
      </w:tr>
      <w:tr>
        <w:tc>
          <w:tcPr>
            <w:tcW w:type="dxa" w:w="2415"/>
            <w:tcMar>
              <w:top w:type="dxa" w:w="60"/>
              <w:left w:type="dxa" w:w="100"/>
              <w:bottom w:type="dxa" w:w="60"/>
              <w:right w:type="dxa" w:w="100"/>
            </w:tcMar>
          </w:tcPr>
          <w:p>
            <w:r>
              <w:rPr>
                <w:b w:val="false"/>
                <w:bCs w:val="false"/>
              </w:rPr>
              <w:t xml:space="preserve">BEN.CUSTOMER:n</w:t>
            </w:r>
          </w:p>
        </w:tc>
        <w:tc>
          <w:tcPr>
            <w:tcW w:type="dxa" w:w="2617"/>
            <w:tcMar>
              <w:top w:type="dxa" w:w="60"/>
              <w:left w:type="dxa" w:w="100"/>
              <w:bottom w:type="dxa" w:w="60"/>
              <w:right w:type="dxa" w:w="100"/>
            </w:tcMar>
          </w:tcPr>
          <w:p>
            <w:r>
              <w:rPr>
                <w:b w:val="false"/>
                <w:bCs w:val="false"/>
              </w:rPr>
              <w:t xml:space="preserve">BEN.NAME</w:t>
            </w:r>
          </w:p>
        </w:tc>
        <w:tc>
          <w:tcPr>
            <w:tcW w:type="dxa" w:w="4328"/>
            <w:tcMar>
              <w:top w:type="dxa" w:w="60"/>
              <w:left w:type="dxa" w:w="100"/>
              <w:bottom w:type="dxa" w:w="60"/>
              <w:right w:type="dxa" w:w="100"/>
            </w:tcMar>
          </w:tcPr>
          <w:p>
            <w:r>
              <w:rPr>
                <w:b w:val="false"/>
                <w:bCs w:val="false"/>
              </w:rPr>
              <w:t xml:space="preserve">Reformatted: first two name parts merged, MT→MX transliteration via CIB.MT.MX for non-EGP, then parts 3–4 re-appended; capped at 4 lines</w:t>
            </w:r>
          </w:p>
        </w:tc>
      </w:tr>
      <w:tr>
        <w:tc>
          <w:tcPr>
            <w:tcW w:type="dxa" w:w="2415"/>
            <w:tcMar>
              <w:top w:type="dxa" w:w="60"/>
              <w:left w:type="dxa" w:w="100"/>
              <w:bottom w:type="dxa" w:w="60"/>
              <w:right w:type="dxa" w:w="100"/>
            </w:tcMar>
          </w:tcPr>
          <w:p>
            <w:r>
              <w:rPr>
                <w:b w:val="false"/>
                <w:bCs w:val="false"/>
              </w:rPr>
              <w:t xml:space="preserve">IBAN.BEN or BEN.ACCT.NO</w:t>
            </w:r>
          </w:p>
        </w:tc>
        <w:tc>
          <w:tcPr>
            <w:tcW w:type="dxa" w:w="2617"/>
            <w:tcMar>
              <w:top w:type="dxa" w:w="60"/>
              <w:left w:type="dxa" w:w="100"/>
              <w:bottom w:type="dxa" w:w="60"/>
              <w:right w:type="dxa" w:w="100"/>
            </w:tcMar>
          </w:tcPr>
          <w:p>
            <w:r>
              <w:rPr>
                <w:b w:val="false"/>
                <w:bCs w:val="false"/>
              </w:rPr>
              <w:t xml:space="preserve">BEN.ACC</w:t>
            </w:r>
          </w:p>
        </w:tc>
        <w:tc>
          <w:tcPr>
            <w:tcW w:type="dxa" w:w="4328"/>
            <w:tcMar>
              <w:top w:type="dxa" w:w="60"/>
              <w:left w:type="dxa" w:w="100"/>
              <w:bottom w:type="dxa" w:w="60"/>
              <w:right w:type="dxa" w:w="100"/>
            </w:tcMar>
          </w:tcPr>
          <w:p>
            <w:r>
              <w:rPr>
                <w:b w:val="false"/>
                <w:bCs w:val="false"/>
              </w:rPr>
              <w:t xml:space="preserve">IBAN.BEN used if 29-char value passes IBANService.ValidateIBAN; otherwise BEN.ACCT.NO</w:t>
            </w:r>
          </w:p>
        </w:tc>
      </w:tr>
      <w:tr>
        <w:tc>
          <w:tcPr>
            <w:tcW w:type="dxa" w:w="2415"/>
            <w:tcMar>
              <w:top w:type="dxa" w:w="60"/>
              <w:left w:type="dxa" w:w="100"/>
              <w:bottom w:type="dxa" w:w="60"/>
              <w:right w:type="dxa" w:w="100"/>
            </w:tcMar>
          </w:tcPr>
          <w:p>
            <w:r>
              <w:rPr>
                <w:b w:val="false"/>
                <w:bCs w:val="false"/>
              </w:rPr>
              <w:t xml:space="preserve">ACCT.WITH.BANK:n</w:t>
            </w:r>
          </w:p>
        </w:tc>
        <w:tc>
          <w:tcPr>
            <w:tcW w:type="dxa" w:w="2617"/>
            <w:tcMar>
              <w:top w:type="dxa" w:w="60"/>
              <w:left w:type="dxa" w:w="100"/>
              <w:bottom w:type="dxa" w:w="60"/>
              <w:right w:type="dxa" w:w="100"/>
            </w:tcMar>
          </w:tcPr>
          <w:p>
            <w:r>
              <w:rPr>
                <w:b w:val="false"/>
                <w:bCs w:val="false"/>
              </w:rPr>
              <w:t xml:space="preserve">ACCT.WITH.BANK</w:t>
            </w:r>
          </w:p>
        </w:tc>
        <w:tc>
          <w:tcPr>
            <w:tcW w:type="dxa" w:w="4328"/>
            <w:tcMar>
              <w:top w:type="dxa" w:w="60"/>
              <w:left w:type="dxa" w:w="100"/>
              <w:bottom w:type="dxa" w:w="60"/>
              <w:right w:type="dxa" w:w="100"/>
            </w:tcMar>
          </w:tcPr>
          <w:p>
            <w:r>
              <w:rPr>
                <w:b w:val="false"/>
                <w:bCs w:val="false"/>
              </w:rPr>
              <w:t xml:space="preserve">'_' split, capped at 4; SC/BL/CH/FW-prefixed codes get '^^' escape prefix</w:t>
            </w:r>
          </w:p>
        </w:tc>
      </w:tr>
      <w:tr>
        <w:tc>
          <w:tcPr>
            <w:tcW w:type="dxa" w:w="2415"/>
            <w:tcMar>
              <w:top w:type="dxa" w:w="60"/>
              <w:left w:type="dxa" w:w="100"/>
              <w:bottom w:type="dxa" w:w="60"/>
              <w:right w:type="dxa" w:w="100"/>
            </w:tcMar>
          </w:tcPr>
          <w:p>
            <w:r>
              <w:rPr>
                <w:b w:val="false"/>
                <w:bCs w:val="false"/>
              </w:rPr>
              <w:t xml:space="preserve">INTERMED.BANK:n</w:t>
            </w:r>
          </w:p>
        </w:tc>
        <w:tc>
          <w:tcPr>
            <w:tcW w:type="dxa" w:w="2617"/>
            <w:tcMar>
              <w:top w:type="dxa" w:w="60"/>
              <w:left w:type="dxa" w:w="100"/>
              <w:bottom w:type="dxa" w:w="60"/>
              <w:right w:type="dxa" w:w="100"/>
            </w:tcMar>
          </w:tcPr>
          <w:p>
            <w:r>
              <w:rPr>
                <w:b w:val="false"/>
                <w:bCs w:val="false"/>
              </w:rPr>
              <w:t xml:space="preserve">INTERMED.BANK</w:t>
            </w:r>
          </w:p>
        </w:tc>
        <w:tc>
          <w:tcPr>
            <w:tcW w:type="dxa" w:w="4328"/>
            <w:tcMar>
              <w:top w:type="dxa" w:w="60"/>
              <w:left w:type="dxa" w:w="100"/>
              <w:bottom w:type="dxa" w:w="60"/>
              <w:right w:type="dxa" w:w="100"/>
            </w:tcMar>
          </w:tcPr>
          <w:p>
            <w:r>
              <w:rPr>
                <w:b w:val="false"/>
                <w:bCs w:val="false"/>
              </w:rPr>
              <w:t xml:space="preserve">'_' split into multivalue</w:t>
            </w:r>
          </w:p>
        </w:tc>
      </w:tr>
      <w:tr>
        <w:tc>
          <w:tcPr>
            <w:tcW w:type="dxa" w:w="2415"/>
            <w:tcMar>
              <w:top w:type="dxa" w:w="60"/>
              <w:left w:type="dxa" w:w="100"/>
              <w:bottom w:type="dxa" w:w="60"/>
              <w:right w:type="dxa" w:w="100"/>
            </w:tcMar>
          </w:tcPr>
          <w:p>
            <w:r>
              <w:rPr>
                <w:b w:val="false"/>
                <w:bCs w:val="false"/>
              </w:rPr>
              <w:t xml:space="preserve">BNK.NME.57</w:t>
            </w:r>
          </w:p>
        </w:tc>
        <w:tc>
          <w:tcPr>
            <w:tcW w:type="dxa" w:w="2617"/>
            <w:tcMar>
              <w:top w:type="dxa" w:w="60"/>
              <w:left w:type="dxa" w:w="100"/>
              <w:bottom w:type="dxa" w:w="60"/>
              <w:right w:type="dxa" w:w="100"/>
            </w:tcMar>
          </w:tcPr>
          <w:p>
            <w:r>
              <w:rPr>
                <w:b w:val="false"/>
                <w:bCs w:val="false"/>
              </w:rPr>
              <w:t xml:space="preserve">BEN.BIC.CD</w:t>
            </w:r>
          </w:p>
        </w:tc>
        <w:tc>
          <w:tcPr>
            <w:tcW w:type="dxa" w:w="4328"/>
            <w:tcMar>
              <w:top w:type="dxa" w:w="60"/>
              <w:left w:type="dxa" w:w="100"/>
              <w:bottom w:type="dxa" w:w="60"/>
              <w:right w:type="dxa" w:w="100"/>
            </w:tcMar>
          </w:tcPr>
          <w:p>
            <w:r>
              <w:rPr>
                <w:b w:val="false"/>
                <w:bCs w:val="false"/>
              </w:rPr>
              <w:t xml:space="preserve">Direct mapping</w:t>
            </w:r>
          </w:p>
        </w:tc>
      </w:tr>
      <w:tr>
        <w:tc>
          <w:tcPr>
            <w:tcW w:type="dxa" w:w="2415"/>
            <w:tcMar>
              <w:top w:type="dxa" w:w="60"/>
              <w:left w:type="dxa" w:w="100"/>
              <w:bottom w:type="dxa" w:w="60"/>
              <w:right w:type="dxa" w:w="100"/>
            </w:tcMar>
          </w:tcPr>
          <w:p>
            <w:r>
              <w:rPr>
                <w:b w:val="false"/>
                <w:bCs w:val="false"/>
              </w:rPr>
              <w:t xml:space="preserve">INTERMED.BANK.ACC</w:t>
            </w:r>
          </w:p>
        </w:tc>
        <w:tc>
          <w:tcPr>
            <w:tcW w:type="dxa" w:w="2617"/>
            <w:tcMar>
              <w:top w:type="dxa" w:w="60"/>
              <w:left w:type="dxa" w:w="100"/>
              <w:bottom w:type="dxa" w:w="60"/>
              <w:right w:type="dxa" w:w="100"/>
            </w:tcMar>
          </w:tcPr>
          <w:p>
            <w:r>
              <w:rPr>
                <w:b w:val="false"/>
                <w:bCs w:val="false"/>
              </w:rPr>
              <w:t xml:space="preserve">INTERMED.BANK.ACCT</w:t>
            </w:r>
          </w:p>
        </w:tc>
        <w:tc>
          <w:tcPr>
            <w:tcW w:type="dxa" w:w="4328"/>
            <w:tcMar>
              <w:top w:type="dxa" w:w="60"/>
              <w:left w:type="dxa" w:w="100"/>
              <w:bottom w:type="dxa" w:w="60"/>
              <w:right w:type="dxa" w:w="100"/>
            </w:tcMar>
          </w:tcPr>
          <w:p>
            <w:r>
              <w:rPr>
                <w:b w:val="false"/>
                <w:bCs w:val="false"/>
              </w:rPr>
              <w:t xml:space="preserve">Direct pass-through</w:t>
            </w:r>
          </w:p>
        </w:tc>
      </w:tr>
      <w:tr>
        <w:tc>
          <w:tcPr>
            <w:tcW w:type="dxa" w:w="2415"/>
            <w:tcMar>
              <w:top w:type="dxa" w:w="60"/>
              <w:left w:type="dxa" w:w="100"/>
              <w:bottom w:type="dxa" w:w="60"/>
              <w:right w:type="dxa" w:w="100"/>
            </w:tcMar>
          </w:tcPr>
          <w:p>
            <w:r>
              <w:rPr>
                <w:b w:val="false"/>
                <w:bCs w:val="false"/>
              </w:rPr>
              <w:t xml:space="preserve">CUSTOMER.RATE</w:t>
            </w:r>
          </w:p>
        </w:tc>
        <w:tc>
          <w:tcPr>
            <w:tcW w:type="dxa" w:w="2617"/>
            <w:tcMar>
              <w:top w:type="dxa" w:w="60"/>
              <w:left w:type="dxa" w:w="100"/>
              <w:bottom w:type="dxa" w:w="60"/>
              <w:right w:type="dxa" w:w="100"/>
            </w:tcMar>
          </w:tcPr>
          <w:p>
            <w:r>
              <w:rPr>
                <w:b w:val="false"/>
                <w:bCs w:val="false"/>
              </w:rPr>
              <w:t xml:space="preserve">CUSTOMER.RATE</w:t>
            </w:r>
          </w:p>
        </w:tc>
        <w:tc>
          <w:tcPr>
            <w:tcW w:type="dxa" w:w="4328"/>
            <w:tcMar>
              <w:top w:type="dxa" w:w="60"/>
              <w:left w:type="dxa" w:w="100"/>
              <w:bottom w:type="dxa" w:w="60"/>
              <w:right w:type="dxa" w:w="100"/>
            </w:tcMar>
          </w:tcPr>
          <w:p>
            <w:r>
              <w:rPr>
                <w:b w:val="false"/>
                <w:bCs w:val="false"/>
              </w:rPr>
              <w:t xml:space="preserve">Zeroed if channel = BPM and incoming value = 0</w:t>
            </w:r>
          </w:p>
        </w:tc>
      </w:tr>
      <w:tr>
        <w:tc>
          <w:tcPr>
            <w:tcW w:type="dxa" w:w="2415"/>
            <w:tcMar>
              <w:top w:type="dxa" w:w="60"/>
              <w:left w:type="dxa" w:w="100"/>
              <w:bottom w:type="dxa" w:w="60"/>
              <w:right w:type="dxa" w:w="100"/>
            </w:tcMar>
          </w:tcPr>
          <w:p>
            <w:r>
              <w:rPr>
                <w:b w:val="false"/>
                <w:bCs w:val="false"/>
              </w:rPr>
              <w:t xml:space="preserve">ORDERING.BANK:n</w:t>
            </w:r>
          </w:p>
        </w:tc>
        <w:tc>
          <w:tcPr>
            <w:tcW w:type="dxa" w:w="2617"/>
            <w:tcMar>
              <w:top w:type="dxa" w:w="60"/>
              <w:left w:type="dxa" w:w="100"/>
              <w:bottom w:type="dxa" w:w="60"/>
              <w:right w:type="dxa" w:w="100"/>
            </w:tcMar>
          </w:tcPr>
          <w:p>
            <w:r>
              <w:rPr>
                <w:b w:val="false"/>
                <w:bCs w:val="false"/>
              </w:rPr>
              <w:t xml:space="preserve">ORDERING.BANK</w:t>
            </w:r>
          </w:p>
        </w:tc>
        <w:tc>
          <w:tcPr>
            <w:tcW w:type="dxa" w:w="4328"/>
            <w:tcMar>
              <w:top w:type="dxa" w:w="60"/>
              <w:left w:type="dxa" w:w="100"/>
              <w:bottom w:type="dxa" w:w="60"/>
              <w:right w:type="dxa" w:w="100"/>
            </w:tcMar>
          </w:tcPr>
          <w:p>
            <w:r>
              <w:rPr>
                <w:b w:val="false"/>
                <w:bCs w:val="false"/>
              </w:rPr>
              <w:t xml:space="preserve">'_' split; minimum 1 line enforced even if blank</w:t>
            </w:r>
          </w:p>
        </w:tc>
      </w:tr>
      <w:tr>
        <w:tc>
          <w:tcPr>
            <w:tcW w:type="dxa" w:w="2415"/>
            <w:tcMar>
              <w:top w:type="dxa" w:w="60"/>
              <w:left w:type="dxa" w:w="100"/>
              <w:bottom w:type="dxa" w:w="60"/>
              <w:right w:type="dxa" w:w="100"/>
            </w:tcMar>
          </w:tcPr>
          <w:p>
            <w:r>
              <w:rPr>
                <w:b w:val="false"/>
                <w:bCs w:val="false"/>
              </w:rPr>
              <w:t xml:space="preserve">DEBIT.THEIR.REF</w:t>
            </w:r>
          </w:p>
        </w:tc>
        <w:tc>
          <w:tcPr>
            <w:tcW w:type="dxa" w:w="2617"/>
            <w:tcMar>
              <w:top w:type="dxa" w:w="60"/>
              <w:left w:type="dxa" w:w="100"/>
              <w:bottom w:type="dxa" w:w="60"/>
              <w:right w:type="dxa" w:w="100"/>
            </w:tcMar>
          </w:tcPr>
          <w:p>
            <w:r>
              <w:rPr>
                <w:b w:val="false"/>
                <w:bCs w:val="false"/>
              </w:rPr>
              <w:t xml:space="preserve">FT.NARRATIVE</w:t>
            </w:r>
          </w:p>
        </w:tc>
        <w:tc>
          <w:tcPr>
            <w:tcW w:type="dxa" w:w="4328"/>
            <w:tcMar>
              <w:top w:type="dxa" w:w="60"/>
              <w:left w:type="dxa" w:w="100"/>
              <w:bottom w:type="dxa" w:w="60"/>
              <w:right w:type="dxa" w:w="100"/>
            </w:tcMar>
          </w:tcPr>
          <w:p>
            <w:r>
              <w:rPr>
                <w:b w:val="false"/>
                <w:bCs w:val="false"/>
              </w:rPr>
              <w:t xml:space="preserve">Direct mapping</w:t>
            </w:r>
          </w:p>
        </w:tc>
      </w:tr>
      <w:tr>
        <w:tc>
          <w:tcPr>
            <w:tcW w:type="dxa" w:w="2415"/>
            <w:tcMar>
              <w:top w:type="dxa" w:w="60"/>
              <w:left w:type="dxa" w:w="100"/>
              <w:bottom w:type="dxa" w:w="60"/>
              <w:right w:type="dxa" w:w="100"/>
            </w:tcMar>
          </w:tcPr>
          <w:p>
            <w:r>
              <w:rPr>
                <w:b w:val="false"/>
                <w:bCs w:val="false"/>
              </w:rPr>
              <w:t xml:space="preserve">CREDIT.THEIR.REF</w:t>
            </w:r>
          </w:p>
        </w:tc>
        <w:tc>
          <w:tcPr>
            <w:tcW w:type="dxa" w:w="2617"/>
            <w:tcMar>
              <w:top w:type="dxa" w:w="60"/>
              <w:left w:type="dxa" w:w="100"/>
              <w:bottom w:type="dxa" w:w="60"/>
              <w:right w:type="dxa" w:w="100"/>
            </w:tcMar>
          </w:tcPr>
          <w:p>
            <w:r>
              <w:rPr>
                <w:b w:val="false"/>
                <w:bCs w:val="false"/>
              </w:rPr>
              <w:t xml:space="preserve">CREDIT.THEIR.REF</w:t>
            </w:r>
          </w:p>
        </w:tc>
        <w:tc>
          <w:tcPr>
            <w:tcW w:type="dxa" w:w="4328"/>
            <w:tcMar>
              <w:top w:type="dxa" w:w="60"/>
              <w:left w:type="dxa" w:w="100"/>
              <w:bottom w:type="dxa" w:w="60"/>
              <w:right w:type="dxa" w:w="100"/>
            </w:tcMar>
          </w:tcPr>
          <w:p>
            <w:r>
              <w:rPr>
                <w:b w:val="false"/>
                <w:bCs w:val="false"/>
              </w:rPr>
              <w:t xml:space="preserve">Direct pass-through</w:t>
            </w:r>
          </w:p>
        </w:tc>
      </w:tr>
      <w:tr>
        <w:tc>
          <w:tcPr>
            <w:tcW w:type="dxa" w:w="2415"/>
            <w:tcMar>
              <w:top w:type="dxa" w:w="60"/>
              <w:left w:type="dxa" w:w="100"/>
              <w:bottom w:type="dxa" w:w="60"/>
              <w:right w:type="dxa" w:w="100"/>
            </w:tcMar>
          </w:tcPr>
          <w:p>
            <w:r>
              <w:rPr>
                <w:b w:val="false"/>
                <w:bCs w:val="false"/>
              </w:rPr>
              <w:t xml:space="preserve">ACCT.WITH.BANK.ACC</w:t>
            </w:r>
          </w:p>
        </w:tc>
        <w:tc>
          <w:tcPr>
            <w:tcW w:type="dxa" w:w="2617"/>
            <w:tcMar>
              <w:top w:type="dxa" w:w="60"/>
              <w:left w:type="dxa" w:w="100"/>
              <w:bottom w:type="dxa" w:w="60"/>
              <w:right w:type="dxa" w:w="100"/>
            </w:tcMar>
          </w:tcPr>
          <w:p>
            <w:r>
              <w:rPr>
                <w:b w:val="false"/>
                <w:bCs w:val="false"/>
              </w:rPr>
              <w:t xml:space="preserve">ACCT.WITH.BANK.ACC</w:t>
            </w:r>
          </w:p>
        </w:tc>
        <w:tc>
          <w:tcPr>
            <w:tcW w:type="dxa" w:w="4328"/>
            <w:tcMar>
              <w:top w:type="dxa" w:w="60"/>
              <w:left w:type="dxa" w:w="100"/>
              <w:bottom w:type="dxa" w:w="60"/>
              <w:right w:type="dxa" w:w="100"/>
            </w:tcMar>
          </w:tcPr>
          <w:p>
            <w:r>
              <w:rPr>
                <w:b w:val="false"/>
                <w:bCs w:val="false"/>
              </w:rPr>
              <w:t xml:space="preserve">Direct pass-through</w:t>
            </w:r>
          </w:p>
        </w:tc>
      </w:tr>
      <w:tr>
        <w:tc>
          <w:tcPr>
            <w:tcW w:type="dxa" w:w="2415"/>
            <w:tcMar>
              <w:top w:type="dxa" w:w="60"/>
              <w:left w:type="dxa" w:w="100"/>
              <w:bottom w:type="dxa" w:w="60"/>
              <w:right w:type="dxa" w:w="100"/>
            </w:tcMar>
          </w:tcPr>
          <w:p>
            <w:r>
              <w:rPr>
                <w:b w:val="false"/>
                <w:bCs w:val="false"/>
              </w:rPr>
              <w:t xml:space="preserve">FREE.MARKT.CODE</w:t>
            </w:r>
          </w:p>
        </w:tc>
        <w:tc>
          <w:tcPr>
            <w:tcW w:type="dxa" w:w="2617"/>
            <w:tcMar>
              <w:top w:type="dxa" w:w="60"/>
              <w:left w:type="dxa" w:w="100"/>
              <w:bottom w:type="dxa" w:w="60"/>
              <w:right w:type="dxa" w:w="100"/>
            </w:tcMar>
          </w:tcPr>
          <w:p>
            <w:r>
              <w:rPr>
                <w:b w:val="false"/>
                <w:bCs w:val="false"/>
              </w:rPr>
              <w:t xml:space="preserve">FREE.MARKT.CODE</w:t>
            </w:r>
          </w:p>
        </w:tc>
        <w:tc>
          <w:tcPr>
            <w:tcW w:type="dxa" w:w="4328"/>
            <w:tcMar>
              <w:top w:type="dxa" w:w="60"/>
              <w:left w:type="dxa" w:w="100"/>
              <w:bottom w:type="dxa" w:w="60"/>
              <w:right w:type="dxa" w:w="100"/>
            </w:tcMar>
          </w:tcPr>
          <w:p>
            <w:r>
              <w:rPr>
                <w:b w:val="false"/>
                <w:bCs w:val="false"/>
              </w:rPr>
              <w:t xml:space="preserve">Direct pass-through</w:t>
            </w:r>
          </w:p>
        </w:tc>
      </w:tr>
      <w:tr>
        <w:tc>
          <w:tcPr>
            <w:tcW w:type="dxa" w:w="2415"/>
            <w:tcMar>
              <w:top w:type="dxa" w:w="60"/>
              <w:left w:type="dxa" w:w="100"/>
              <w:bottom w:type="dxa" w:w="60"/>
              <w:right w:type="dxa" w:w="100"/>
            </w:tcMar>
          </w:tcPr>
          <w:p>
            <w:r>
              <w:rPr>
                <w:b w:val="false"/>
                <w:bCs w:val="false"/>
              </w:rPr>
              <w:t xml:space="preserve">BK.TO.BK.OUT:1:n</w:t>
            </w:r>
          </w:p>
        </w:tc>
        <w:tc>
          <w:tcPr>
            <w:tcW w:type="dxa" w:w="2617"/>
            <w:tcMar>
              <w:top w:type="dxa" w:w="60"/>
              <w:left w:type="dxa" w:w="100"/>
              <w:bottom w:type="dxa" w:w="60"/>
              <w:right w:type="dxa" w:w="100"/>
            </w:tcMar>
          </w:tcPr>
          <w:p>
            <w:r>
              <w:rPr>
                <w:b w:val="false"/>
                <w:bCs w:val="false"/>
              </w:rPr>
              <w:t xml:space="preserve">BK.TO.BK.OUT (merged with existing FT record via FILL.SUB.VALUE)</w:t>
            </w:r>
          </w:p>
        </w:tc>
        <w:tc>
          <w:tcPr>
            <w:tcW w:type="dxa" w:w="4328"/>
            <w:tcMar>
              <w:top w:type="dxa" w:w="60"/>
              <w:left w:type="dxa" w:w="100"/>
              <w:bottom w:type="dxa" w:w="60"/>
              <w:right w:type="dxa" w:w="100"/>
            </w:tcMar>
          </w:tcPr>
          <w:p>
            <w:r>
              <w:rPr>
                <w:b w:val="false"/>
                <w:bCs w:val="false"/>
              </w:rPr>
              <w:t xml:space="preserve">'NULL' literal substituted when incoming value blank; merged multivalue vs current record's BK.TO.BK.OUT</w:t>
            </w:r>
          </w:p>
        </w:tc>
      </w:tr>
      <w:tr>
        <w:tc>
          <w:tcPr>
            <w:tcW w:type="dxa" w:w="2415"/>
            <w:tcMar>
              <w:top w:type="dxa" w:w="60"/>
              <w:left w:type="dxa" w:w="100"/>
              <w:bottom w:type="dxa" w:w="60"/>
              <w:right w:type="dxa" w:w="100"/>
            </w:tcMar>
          </w:tcPr>
          <w:p>
            <w:r>
              <w:rPr>
                <w:b w:val="false"/>
                <w:bCs w:val="false"/>
              </w:rPr>
              <w:t xml:space="preserve">BEN.OUR.CHARGES</w:t>
            </w:r>
          </w:p>
        </w:tc>
        <w:tc>
          <w:tcPr>
            <w:tcW w:type="dxa" w:w="2617"/>
            <w:tcMar>
              <w:top w:type="dxa" w:w="60"/>
              <w:left w:type="dxa" w:w="100"/>
              <w:bottom w:type="dxa" w:w="60"/>
              <w:right w:type="dxa" w:w="100"/>
            </w:tcMar>
          </w:tcPr>
          <w:p>
            <w:r>
              <w:rPr>
                <w:b w:val="false"/>
                <w:bCs w:val="false"/>
              </w:rPr>
              <w:t xml:space="preserve">BEN.OUR.CHARGES</w:t>
            </w:r>
          </w:p>
        </w:tc>
        <w:tc>
          <w:tcPr>
            <w:tcW w:type="dxa" w:w="4328"/>
            <w:tcMar>
              <w:top w:type="dxa" w:w="60"/>
              <w:left w:type="dxa" w:w="100"/>
              <w:bottom w:type="dxa" w:w="60"/>
              <w:right w:type="dxa" w:w="100"/>
            </w:tcMar>
          </w:tcPr>
          <w:p>
            <w:r>
              <w:rPr>
                <w:b w:val="false"/>
                <w:bCs w:val="false"/>
              </w:rPr>
              <w:t xml:space="preserve">Direct pass-through</w:t>
            </w:r>
          </w:p>
        </w:tc>
      </w:tr>
      <w:tr>
        <w:tc>
          <w:tcPr>
            <w:tcW w:type="dxa" w:w="2415"/>
            <w:tcMar>
              <w:top w:type="dxa" w:w="60"/>
              <w:left w:type="dxa" w:w="100"/>
              <w:bottom w:type="dxa" w:w="60"/>
              <w:right w:type="dxa" w:w="100"/>
            </w:tcMar>
          </w:tcPr>
          <w:p>
            <w:r>
              <w:rPr>
                <w:b w:val="false"/>
                <w:bCs w:val="false"/>
              </w:rPr>
              <w:t xml:space="preserve">COMMISSION.CODE</w:t>
            </w:r>
          </w:p>
        </w:tc>
        <w:tc>
          <w:tcPr>
            <w:tcW w:type="dxa" w:w="2617"/>
            <w:tcMar>
              <w:top w:type="dxa" w:w="60"/>
              <w:left w:type="dxa" w:w="100"/>
              <w:bottom w:type="dxa" w:w="60"/>
              <w:right w:type="dxa" w:w="100"/>
            </w:tcMar>
          </w:tcPr>
          <w:p>
            <w:r>
              <w:rPr>
                <w:b w:val="false"/>
                <w:bCs w:val="false"/>
              </w:rPr>
              <w:t xml:space="preserve">Derived from BEN.OUR.CHARGES</w:t>
            </w:r>
          </w:p>
        </w:tc>
        <w:tc>
          <w:tcPr>
            <w:tcW w:type="dxa" w:w="4328"/>
            <w:tcMar>
              <w:top w:type="dxa" w:w="60"/>
              <w:left w:type="dxa" w:w="100"/>
              <w:bottom w:type="dxa" w:w="60"/>
              <w:right w:type="dxa" w:w="100"/>
            </w:tcMar>
          </w:tcPr>
          <w:p>
            <w:r>
              <w:rPr>
                <w:b w:val="false"/>
                <w:bCs w:val="false"/>
              </w:rPr>
              <w:t xml:space="preserve">OUR/SHA→DEBIT PLUS CHARGES, BEN→CREDIT LESS CHARGES; cleared blank if DEBIT PLUS CHARGES and SRC.ACC.ID length &gt; 12</w:t>
            </w:r>
          </w:p>
        </w:tc>
      </w:tr>
      <w:tr>
        <w:tc>
          <w:tcPr>
            <w:tcW w:type="dxa" w:w="2415"/>
            <w:tcMar>
              <w:top w:type="dxa" w:w="60"/>
              <w:left w:type="dxa" w:w="100"/>
              <w:bottom w:type="dxa" w:w="60"/>
              <w:right w:type="dxa" w:w="100"/>
            </w:tcMar>
          </w:tcPr>
          <w:p>
            <w:r>
              <w:rPr>
                <w:b w:val="false"/>
                <w:bCs w:val="false"/>
              </w:rPr>
              <w:t xml:space="preserve">CHARGES.ACCT.NO</w:t>
            </w:r>
          </w:p>
        </w:tc>
        <w:tc>
          <w:tcPr>
            <w:tcW w:type="dxa" w:w="2617"/>
            <w:tcMar>
              <w:top w:type="dxa" w:w="60"/>
              <w:left w:type="dxa" w:w="100"/>
              <w:bottom w:type="dxa" w:w="60"/>
              <w:right w:type="dxa" w:w="100"/>
            </w:tcMar>
          </w:tcPr>
          <w:p>
            <w:r>
              <w:rPr>
                <w:b w:val="false"/>
                <w:bCs w:val="false"/>
              </w:rPr>
              <w:t xml:space="preserve">CHRG.ACCT.NO</w:t>
            </w:r>
          </w:p>
        </w:tc>
        <w:tc>
          <w:tcPr>
            <w:tcW w:type="dxa" w:w="4328"/>
            <w:tcMar>
              <w:top w:type="dxa" w:w="60"/>
              <w:left w:type="dxa" w:w="100"/>
              <w:bottom w:type="dxa" w:w="60"/>
              <w:right w:type="dxa" w:w="100"/>
            </w:tcMar>
          </w:tcPr>
          <w:p>
            <w:r>
              <w:rPr>
                <w:b w:val="false"/>
                <w:bCs w:val="false"/>
              </w:rPr>
              <w:t xml:space="preserve">Direct pass-through</w:t>
            </w:r>
          </w:p>
        </w:tc>
      </w:tr>
      <w:tr>
        <w:tc>
          <w:tcPr>
            <w:tcW w:type="dxa" w:w="2415"/>
            <w:tcMar>
              <w:top w:type="dxa" w:w="60"/>
              <w:left w:type="dxa" w:w="100"/>
              <w:bottom w:type="dxa" w:w="60"/>
              <w:right w:type="dxa" w:w="100"/>
            </w:tcMar>
          </w:tcPr>
          <w:p>
            <w:r>
              <w:rPr>
                <w:b w:val="false"/>
                <w:bCs w:val="false"/>
              </w:rPr>
              <w:t xml:space="preserve">FT.TXN.NARR::</w:t>
            </w:r>
          </w:p>
        </w:tc>
        <w:tc>
          <w:tcPr>
            <w:tcW w:type="dxa" w:w="2617"/>
            <w:tcMar>
              <w:top w:type="dxa" w:w="60"/>
              <w:left w:type="dxa" w:w="100"/>
              <w:bottom w:type="dxa" w:w="60"/>
              <w:right w:type="dxa" w:w="100"/>
            </w:tcMar>
          </w:tcPr>
          <w:p>
            <w:r>
              <w:rPr>
                <w:b w:val="false"/>
                <w:bCs w:val="false"/>
              </w:rPr>
              <w:t xml:space="preserve">FT.TXN.NARR</w:t>
            </w:r>
          </w:p>
        </w:tc>
        <w:tc>
          <w:tcPr>
            <w:tcW w:type="dxa" w:w="4328"/>
            <w:tcMar>
              <w:top w:type="dxa" w:w="60"/>
              <w:left w:type="dxa" w:w="100"/>
              <w:bottom w:type="dxa" w:w="60"/>
              <w:right w:type="dxa" w:w="100"/>
            </w:tcMar>
          </w:tcPr>
          <w:p>
            <w:r>
              <w:rPr>
                <w:b w:val="false"/>
                <w:bCs w:val="false"/>
              </w:rPr>
              <w:t xml:space="preserve">Direct pass-through (double-colon = no-index field)</w:t>
            </w:r>
          </w:p>
        </w:tc>
      </w:tr>
      <w:tr>
        <w:tc>
          <w:tcPr>
            <w:tcW w:type="dxa" w:w="2415"/>
            <w:tcMar>
              <w:top w:type="dxa" w:w="60"/>
              <w:left w:type="dxa" w:w="100"/>
              <w:bottom w:type="dxa" w:w="60"/>
              <w:right w:type="dxa" w:w="100"/>
            </w:tcMar>
          </w:tcPr>
          <w:p>
            <w:r>
              <w:rPr>
                <w:b w:val="false"/>
                <w:bCs w:val="false"/>
              </w:rPr>
              <w:t xml:space="preserve">COMMISSION.TYPE:n / COMMISSION.AMT:n</w:t>
            </w:r>
          </w:p>
        </w:tc>
        <w:tc>
          <w:tcPr>
            <w:tcW w:type="dxa" w:w="2617"/>
            <w:tcMar>
              <w:top w:type="dxa" w:w="60"/>
              <w:left w:type="dxa" w:w="100"/>
              <w:bottom w:type="dxa" w:w="60"/>
              <w:right w:type="dxa" w:w="100"/>
            </w:tcMar>
          </w:tcPr>
          <w:p>
            <w:r>
              <w:rPr>
                <w:b w:val="false"/>
                <w:bCs w:val="false"/>
              </w:rPr>
              <w:t xml:space="preserve">COMMISSION.TYPE / COMMISSION.AMOUNT</w:t>
            </w:r>
          </w:p>
        </w:tc>
        <w:tc>
          <w:tcPr>
            <w:tcW w:type="dxa" w:w="4328"/>
            <w:tcMar>
              <w:top w:type="dxa" w:w="60"/>
              <w:left w:type="dxa" w:w="100"/>
              <w:bottom w:type="dxa" w:w="60"/>
              <w:right w:type="dxa" w:w="100"/>
            </w:tcMar>
          </w:tcPr>
          <w:p>
            <w:r>
              <w:rPr>
                <w:b w:val="false"/>
                <w:bCs w:val="false"/>
              </w:rPr>
              <w:t xml:space="preserve">Looped together, '_' split multivalue</w:t>
            </w:r>
          </w:p>
        </w:tc>
      </w:tr>
      <w:tr>
        <w:tc>
          <w:tcPr>
            <w:tcW w:type="dxa" w:w="2415"/>
            <w:tcMar>
              <w:top w:type="dxa" w:w="60"/>
              <w:left w:type="dxa" w:w="100"/>
              <w:bottom w:type="dxa" w:w="60"/>
              <w:right w:type="dxa" w:w="100"/>
            </w:tcMar>
          </w:tcPr>
          <w:p>
            <w:r>
              <w:rPr>
                <w:b w:val="false"/>
                <w:bCs w:val="false"/>
              </w:rPr>
              <w:t xml:space="preserve">SRC.CHANNEL</w:t>
            </w:r>
          </w:p>
        </w:tc>
        <w:tc>
          <w:tcPr>
            <w:tcW w:type="dxa" w:w="2617"/>
            <w:tcMar>
              <w:top w:type="dxa" w:w="60"/>
              <w:left w:type="dxa" w:w="100"/>
              <w:bottom w:type="dxa" w:w="60"/>
              <w:right w:type="dxa" w:w="100"/>
            </w:tcMar>
          </w:tcPr>
          <w:p>
            <w:r>
              <w:rPr>
                <w:b w:val="false"/>
                <w:bCs w:val="false"/>
              </w:rPr>
              <w:t xml:space="preserve">CHNL.CODE (first 4 chars)</w:t>
            </w:r>
          </w:p>
        </w:tc>
        <w:tc>
          <w:tcPr>
            <w:tcW w:type="dxa" w:w="4328"/>
            <w:tcMar>
              <w:top w:type="dxa" w:w="60"/>
              <w:left w:type="dxa" w:w="100"/>
              <w:bottom w:type="dxa" w:w="60"/>
              <w:right w:type="dxa" w:w="100"/>
            </w:tcMar>
          </w:tcPr>
          <w:p>
            <w:r>
              <w:rPr>
                <w:b w:val="false"/>
                <w:bCs w:val="false"/>
              </w:rPr>
              <w:t xml:space="preserve">Truncated</w:t>
            </w:r>
          </w:p>
        </w:tc>
      </w:tr>
      <w:tr>
        <w:tc>
          <w:tcPr>
            <w:tcW w:type="dxa" w:w="2415"/>
            <w:tcMar>
              <w:top w:type="dxa" w:w="60"/>
              <w:left w:type="dxa" w:w="100"/>
              <w:bottom w:type="dxa" w:w="60"/>
              <w:right w:type="dxa" w:w="100"/>
            </w:tcMar>
          </w:tcPr>
          <w:p>
            <w:r>
              <w:rPr>
                <w:b w:val="false"/>
                <w:bCs w:val="false"/>
              </w:rPr>
              <w:t xml:space="preserve">INT.MSG.NUM.1</w:t>
            </w:r>
          </w:p>
        </w:tc>
        <w:tc>
          <w:tcPr>
            <w:tcW w:type="dxa" w:w="2617"/>
            <w:tcMar>
              <w:top w:type="dxa" w:w="60"/>
              <w:left w:type="dxa" w:w="100"/>
              <w:bottom w:type="dxa" w:w="60"/>
              <w:right w:type="dxa" w:w="100"/>
            </w:tcMar>
          </w:tcPr>
          <w:p>
            <w:r>
              <w:rPr>
                <w:b w:val="false"/>
                <w:bCs w:val="false"/>
              </w:rPr>
              <w:t xml:space="preserve">MSG.ID</w:t>
            </w:r>
          </w:p>
        </w:tc>
        <w:tc>
          <w:tcPr>
            <w:tcW w:type="dxa" w:w="4328"/>
            <w:tcMar>
              <w:top w:type="dxa" w:w="60"/>
              <w:left w:type="dxa" w:w="100"/>
              <w:bottom w:type="dxa" w:w="60"/>
              <w:right w:type="dxa" w:w="100"/>
            </w:tcMar>
          </w:tcPr>
          <w:p>
            <w:r>
              <w:rPr>
                <w:b w:val="false"/>
                <w:bCs w:val="false"/>
              </w:rPr>
              <w:t xml:space="preserve">Direct mapping</w:t>
            </w:r>
          </w:p>
        </w:tc>
      </w:tr>
      <w:tr>
        <w:tc>
          <w:tcPr>
            <w:tcW w:type="dxa" w:w="2415"/>
            <w:tcMar>
              <w:top w:type="dxa" w:w="60"/>
              <w:left w:type="dxa" w:w="100"/>
              <w:bottom w:type="dxa" w:w="60"/>
              <w:right w:type="dxa" w:w="100"/>
            </w:tcMar>
          </w:tcPr>
          <w:p>
            <w:r>
              <w:rPr>
                <w:b w:val="false"/>
                <w:bCs w:val="false"/>
              </w:rPr>
              <w:t xml:space="preserve">UETR.USR.INP</w:t>
            </w:r>
          </w:p>
        </w:tc>
        <w:tc>
          <w:tcPr>
            <w:tcW w:type="dxa" w:w="2617"/>
            <w:tcMar>
              <w:top w:type="dxa" w:w="60"/>
              <w:left w:type="dxa" w:w="100"/>
              <w:bottom w:type="dxa" w:w="60"/>
              <w:right w:type="dxa" w:w="100"/>
            </w:tcMar>
          </w:tcPr>
          <w:p>
            <w:r>
              <w:rPr>
                <w:b w:val="false"/>
                <w:bCs w:val="false"/>
              </w:rPr>
              <w:t xml:space="preserve">MSG.ID</w:t>
            </w:r>
          </w:p>
        </w:tc>
        <w:tc>
          <w:tcPr>
            <w:tcW w:type="dxa" w:w="4328"/>
            <w:tcMar>
              <w:top w:type="dxa" w:w="60"/>
              <w:left w:type="dxa" w:w="100"/>
              <w:bottom w:type="dxa" w:w="60"/>
              <w:right w:type="dxa" w:w="100"/>
            </w:tcMar>
          </w:tcPr>
          <w:p>
            <w:r>
              <w:rPr>
                <w:b w:val="false"/>
                <w:bCs w:val="false"/>
              </w:rPr>
              <w:t xml:space="preserve">Only set when CHNL.CODE = VOS</w:t>
            </w:r>
          </w:p>
        </w:tc>
      </w:tr>
      <w:tr>
        <w:tc>
          <w:tcPr>
            <w:tcW w:type="dxa" w:w="2415"/>
            <w:tcMar>
              <w:top w:type="dxa" w:w="60"/>
              <w:left w:type="dxa" w:w="100"/>
              <w:bottom w:type="dxa" w:w="60"/>
              <w:right w:type="dxa" w:w="100"/>
            </w:tcMar>
          </w:tcPr>
          <w:p>
            <w:r>
              <w:rPr>
                <w:b w:val="false"/>
                <w:bCs w:val="false"/>
              </w:rPr>
              <w:t xml:space="preserve">OLD.CBE.CODE / NEW.CBE.CODE / SELL.CODE</w:t>
            </w:r>
          </w:p>
        </w:tc>
        <w:tc>
          <w:tcPr>
            <w:tcW w:type="dxa" w:w="2617"/>
            <w:tcMar>
              <w:top w:type="dxa" w:w="60"/>
              <w:left w:type="dxa" w:w="100"/>
              <w:bottom w:type="dxa" w:w="60"/>
              <w:right w:type="dxa" w:w="100"/>
            </w:tcMar>
          </w:tcPr>
          <w:p>
            <w:r>
              <w:rPr>
                <w:b w:val="false"/>
                <w:bCs w:val="false"/>
              </w:rPr>
              <w:t xml:space="preserve">OLD.CBE.CODE / NEW.CBE.CODE / SELL.CODE</w:t>
            </w:r>
          </w:p>
        </w:tc>
        <w:tc>
          <w:tcPr>
            <w:tcW w:type="dxa" w:w="4328"/>
            <w:tcMar>
              <w:top w:type="dxa" w:w="60"/>
              <w:left w:type="dxa" w:w="100"/>
              <w:bottom w:type="dxa" w:w="60"/>
              <w:right w:type="dxa" w:w="100"/>
            </w:tcMar>
          </w:tcPr>
          <w:p>
            <w:r>
              <w:rPr>
                <w:b w:val="false"/>
                <w:bCs w:val="false"/>
              </w:rPr>
              <w:t xml:space="preserve">Direct pass-through (CBE regulatory reporting fields)</w:t>
            </w:r>
          </w:p>
        </w:tc>
      </w:tr>
      <w:tr>
        <w:tc>
          <w:tcPr>
            <w:tcW w:type="dxa" w:w="2415"/>
            <w:tcMar>
              <w:top w:type="dxa" w:w="60"/>
              <w:left w:type="dxa" w:w="100"/>
              <w:bottom w:type="dxa" w:w="60"/>
              <w:right w:type="dxa" w:w="100"/>
            </w:tcMar>
          </w:tcPr>
          <w:p>
            <w:r>
              <w:rPr>
                <w:b w:val="false"/>
                <w:bCs w:val="false"/>
              </w:rPr>
              <w:t xml:space="preserve">CBE.NAR.AR</w:t>
            </w:r>
          </w:p>
        </w:tc>
        <w:tc>
          <w:tcPr>
            <w:tcW w:type="dxa" w:w="2617"/>
            <w:tcMar>
              <w:top w:type="dxa" w:w="60"/>
              <w:left w:type="dxa" w:w="100"/>
              <w:bottom w:type="dxa" w:w="60"/>
              <w:right w:type="dxa" w:w="100"/>
            </w:tcMar>
          </w:tcPr>
          <w:p>
            <w:r>
              <w:rPr>
                <w:b w:val="false"/>
                <w:bCs w:val="false"/>
              </w:rPr>
              <w:t xml:space="preserve">CBE.NAR.AR</w:t>
            </w:r>
          </w:p>
        </w:tc>
        <w:tc>
          <w:tcPr>
            <w:tcW w:type="dxa" w:w="4328"/>
            <w:tcMar>
              <w:top w:type="dxa" w:w="60"/>
              <w:left w:type="dxa" w:w="100"/>
              <w:bottom w:type="dxa" w:w="60"/>
              <w:right w:type="dxa" w:w="100"/>
            </w:tcMar>
          </w:tcPr>
          <w:p>
            <w:r>
              <w:rPr>
                <w:b w:val="false"/>
                <w:bCs w:val="false"/>
              </w:rPr>
              <w:t xml:space="preserve">Direct pass-through (Arabic narrative for CBE reporting)</w:t>
            </w:r>
          </w:p>
        </w:tc>
      </w:tr>
    </w:tbl>
    <w:p>
      <w:pPr>
        <w:pStyle w:val="Heading1"/>
        <w:pBdr>
          <w:bottom w:val="single" w:color="2E5395" w:sz="6" w:space="4"/>
        </w:pBdr>
        <w:spacing w:after="150" w:before="300"/>
      </w:pPr>
      <w:r>
        <w:t xml:space="preserve">2C. Files Read /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8"/>
        <w:gridCol w:w="1409"/>
        <w:gridCol w:w="5133"/>
      </w:tblGrid>
      <w:tr>
        <w:trPr>
          <w:tblHeader/>
        </w:trPr>
        <w:tc>
          <w:tcPr>
            <w:tcW w:type="dxa" w:w="2818"/>
            <w:shd w:fill="2E5395" w:val="clear"/>
            <w:tcMar>
              <w:top w:type="dxa" w:w="80"/>
              <w:left w:type="dxa" w:w="100"/>
              <w:bottom w:type="dxa" w:w="80"/>
              <w:right w:type="dxa" w:w="100"/>
            </w:tcMar>
          </w:tcPr>
          <w:p>
            <w:r>
              <w:rPr>
                <w:b/>
                <w:bCs/>
                <w:color w:val="FFFFFF"/>
              </w:rPr>
              <w:t xml:space="preserve">File / Table</w:t>
            </w:r>
          </w:p>
        </w:tc>
        <w:tc>
          <w:tcPr>
            <w:tcW w:type="dxa" w:w="1409"/>
            <w:shd w:fill="2E5395" w:val="clear"/>
            <w:tcMar>
              <w:top w:type="dxa" w:w="80"/>
              <w:left w:type="dxa" w:w="100"/>
              <w:bottom w:type="dxa" w:w="80"/>
              <w:right w:type="dxa" w:w="100"/>
            </w:tcMar>
          </w:tcPr>
          <w:p>
            <w:r>
              <w:rPr>
                <w:b/>
                <w:bCs/>
                <w:color w:val="FFFFFF"/>
              </w:rPr>
              <w:t xml:space="preserve">Access</w:t>
            </w:r>
          </w:p>
        </w:tc>
        <w:tc>
          <w:tcPr>
            <w:tcW w:type="dxa" w:w="5133"/>
            <w:shd w:fill="2E5395" w:val="clear"/>
            <w:tcMar>
              <w:top w:type="dxa" w:w="80"/>
              <w:left w:type="dxa" w:w="100"/>
              <w:bottom w:type="dxa" w:w="80"/>
              <w:right w:type="dxa" w:w="100"/>
            </w:tcMar>
          </w:tcPr>
          <w:p>
            <w:r>
              <w:rPr>
                <w:b/>
                <w:bCs/>
                <w:color w:val="FFFFFF"/>
              </w:rPr>
              <w:t xml:space="preserve">Purpose</w:t>
            </w:r>
          </w:p>
        </w:tc>
      </w:tr>
      <w:tr>
        <w:tc>
          <w:tcPr>
            <w:tcW w:type="dxa" w:w="2818"/>
            <w:tcMar>
              <w:top w:type="dxa" w:w="60"/>
              <w:left w:type="dxa" w:w="100"/>
              <w:bottom w:type="dxa" w:w="60"/>
              <w:right w:type="dxa" w:w="100"/>
            </w:tcMar>
          </w:tcPr>
          <w:p>
            <w:r>
              <w:rPr>
                <w:b w:val="false"/>
                <w:bCs w:val="false"/>
              </w:rPr>
              <w:t xml:space="preserve">F.ACCOUNT.RETAIL.CU.ACCT</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Resolve short-format retail account numbers to full account ID</w:t>
            </w:r>
          </w:p>
        </w:tc>
      </w:tr>
      <w:tr>
        <w:tc>
          <w:tcPr>
            <w:tcW w:type="dxa" w:w="2818"/>
            <w:tcMar>
              <w:top w:type="dxa" w:w="60"/>
              <w:left w:type="dxa" w:w="100"/>
              <w:bottom w:type="dxa" w:w="60"/>
              <w:right w:type="dxa" w:w="100"/>
            </w:tcMar>
          </w:tcPr>
          <w:p>
            <w:r>
              <w:rPr>
                <w:b w:val="false"/>
                <w:bCs w:val="false"/>
              </w:rPr>
              <w:t xml:space="preserve">F.COMPANY</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Opened but not directly referenced in the reviewed logic — confirm usage elsewhere/legacy</w:t>
            </w:r>
          </w:p>
        </w:tc>
      </w:tr>
      <w:tr>
        <w:tc>
          <w:tcPr>
            <w:tcW w:type="dxa" w:w="2818"/>
            <w:tcMar>
              <w:top w:type="dxa" w:w="60"/>
              <w:left w:type="dxa" w:w="100"/>
              <w:bottom w:type="dxa" w:w="60"/>
              <w:right w:type="dxa" w:w="100"/>
            </w:tcMar>
          </w:tcPr>
          <w:p>
            <w:r>
              <w:rPr>
                <w:b w:val="false"/>
                <w:bCs w:val="false"/>
              </w:rPr>
              <w:t xml:space="preserve">FBNK.NOSTRO.ACC</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Opened; nostro handling context (not directly read in this excerpt)</w:t>
            </w:r>
          </w:p>
        </w:tc>
      </w:tr>
      <w:tr>
        <w:tc>
          <w:tcPr>
            <w:tcW w:type="dxa" w:w="2818"/>
            <w:tcMar>
              <w:top w:type="dxa" w:w="60"/>
              <w:left w:type="dxa" w:w="100"/>
              <w:bottom w:type="dxa" w:w="60"/>
              <w:right w:type="dxa" w:w="100"/>
            </w:tcMar>
          </w:tcPr>
          <w:p>
            <w:r>
              <w:rPr>
                <w:b w:val="false"/>
                <w:bCs w:val="false"/>
              </w:rPr>
              <w:t xml:space="preserve">F.ACCOUNT</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Debit account currency lookup, customer number lookup for industry check</w:t>
            </w:r>
          </w:p>
        </w:tc>
      </w:tr>
      <w:tr>
        <w:tc>
          <w:tcPr>
            <w:tcW w:type="dxa" w:w="2818"/>
            <w:tcMar>
              <w:top w:type="dxa" w:w="60"/>
              <w:left w:type="dxa" w:w="100"/>
              <w:bottom w:type="dxa" w:w="60"/>
              <w:right w:type="dxa" w:w="100"/>
            </w:tcMar>
          </w:tcPr>
          <w:p>
            <w:r>
              <w:rPr>
                <w:b w:val="false"/>
                <w:bCs w:val="false"/>
              </w:rPr>
              <w:t xml:space="preserve">F.CURRENCY</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Opened for currency-context; conversion itself delegated to EXCHRATE</w:t>
            </w:r>
          </w:p>
        </w:tc>
      </w:tr>
      <w:tr>
        <w:tc>
          <w:tcPr>
            <w:tcW w:type="dxa" w:w="2818"/>
            <w:tcMar>
              <w:top w:type="dxa" w:w="60"/>
              <w:left w:type="dxa" w:w="100"/>
              <w:bottom w:type="dxa" w:w="60"/>
              <w:right w:type="dxa" w:w="100"/>
            </w:tcMar>
          </w:tcPr>
          <w:p>
            <w:r>
              <w:rPr>
                <w:b w:val="false"/>
                <w:bCs w:val="false"/>
              </w:rPr>
              <w:t xml:space="preserve">FBNK.FUNDS.TRANSFER</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Post-posting re-read to fetch OVERRIDE text; idempotency check pre-read</w:t>
            </w:r>
          </w:p>
        </w:tc>
      </w:tr>
      <w:tr>
        <w:tc>
          <w:tcPr>
            <w:tcW w:type="dxa" w:w="2818"/>
            <w:tcMar>
              <w:top w:type="dxa" w:w="60"/>
              <w:left w:type="dxa" w:w="100"/>
              <w:bottom w:type="dxa" w:w="60"/>
              <w:right w:type="dxa" w:w="100"/>
            </w:tcMar>
          </w:tcPr>
          <w:p>
            <w:r>
              <w:rPr>
                <w:b w:val="false"/>
                <w:bCs w:val="false"/>
              </w:rPr>
              <w:t xml:space="preserve">FBNK.FUNDS.TRANSFER$NAU</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Un-authorized/in-flight FT record read (before authorization completes)</w:t>
            </w:r>
          </w:p>
        </w:tc>
      </w:tr>
      <w:tr>
        <w:tc>
          <w:tcPr>
            <w:tcW w:type="dxa" w:w="2818"/>
            <w:tcMar>
              <w:top w:type="dxa" w:w="60"/>
              <w:left w:type="dxa" w:w="100"/>
              <w:bottom w:type="dxa" w:w="60"/>
              <w:right w:type="dxa" w:w="100"/>
            </w:tcMar>
          </w:tcPr>
          <w:p>
            <w:r>
              <w:rPr>
                <w:b w:val="false"/>
                <w:bCs w:val="false"/>
              </w:rPr>
              <w:t xml:space="preserve">FBNK.CIB.API.FT</w:t>
            </w:r>
          </w:p>
        </w:tc>
        <w:tc>
          <w:tcPr>
            <w:tcW w:type="dxa" w:w="1409"/>
            <w:tcMar>
              <w:top w:type="dxa" w:w="60"/>
              <w:left w:type="dxa" w:w="100"/>
              <w:bottom w:type="dxa" w:w="60"/>
              <w:right w:type="dxa" w:w="100"/>
            </w:tcMar>
          </w:tcPr>
          <w:p>
            <w:r>
              <w:rPr>
                <w:b w:val="false"/>
                <w:bCs w:val="false"/>
              </w:rPr>
              <w:t xml:space="preserve">Read/Write</w:t>
            </w:r>
          </w:p>
        </w:tc>
        <w:tc>
          <w:tcPr>
            <w:tcW w:type="dxa" w:w="5133"/>
            <w:tcMar>
              <w:top w:type="dxa" w:w="60"/>
              <w:left w:type="dxa" w:w="100"/>
              <w:bottom w:type="dxa" w:w="60"/>
              <w:right w:type="dxa" w:w="100"/>
            </w:tcMar>
          </w:tcPr>
          <w:p>
            <w:r>
              <w:rPr>
                <w:b w:val="false"/>
                <w:bCs w:val="false"/>
              </w:rPr>
              <w:t xml:space="preserve">Core idempotency &amp; audit store — one record per MSG.ID, updated at start and end of processing</w:t>
            </w:r>
          </w:p>
        </w:tc>
      </w:tr>
      <w:tr>
        <w:tc>
          <w:tcPr>
            <w:tcW w:type="dxa" w:w="2818"/>
            <w:tcMar>
              <w:top w:type="dxa" w:w="60"/>
              <w:left w:type="dxa" w:w="100"/>
              <w:bottom w:type="dxa" w:w="60"/>
              <w:right w:type="dxa" w:w="100"/>
            </w:tcMar>
          </w:tcPr>
          <w:p>
            <w:r>
              <w:rPr>
                <w:b w:val="false"/>
                <w:bCs w:val="false"/>
              </w:rPr>
              <w:t xml:space="preserve">F.CIB.ONLINE.FTS</w:t>
            </w:r>
          </w:p>
        </w:tc>
        <w:tc>
          <w:tcPr>
            <w:tcW w:type="dxa" w:w="1409"/>
            <w:tcMar>
              <w:top w:type="dxa" w:w="60"/>
              <w:left w:type="dxa" w:w="100"/>
              <w:bottom w:type="dxa" w:w="60"/>
              <w:right w:type="dxa" w:w="100"/>
            </w:tcMar>
          </w:tcPr>
          <w:p>
            <w:r>
              <w:rPr>
                <w:b w:val="false"/>
                <w:bCs w:val="false"/>
              </w:rPr>
              <w:t xml:space="preserve">Read/Write</w:t>
            </w:r>
          </w:p>
        </w:tc>
        <w:tc>
          <w:tcPr>
            <w:tcW w:type="dxa" w:w="5133"/>
            <w:tcMar>
              <w:top w:type="dxa" w:w="60"/>
              <w:left w:type="dxa" w:w="100"/>
              <w:bottom w:type="dxa" w:w="60"/>
              <w:right w:type="dxa" w:w="100"/>
            </w:tcMar>
          </w:tcPr>
          <w:p>
            <w:r>
              <w:rPr>
                <w:b w:val="false"/>
                <w:bCs w:val="false"/>
              </w:rPr>
              <w:t xml:space="preserve">SMS/online-transfer notification log, written on successful post</w:t>
            </w:r>
          </w:p>
        </w:tc>
      </w:tr>
      <w:tr>
        <w:tc>
          <w:tcPr>
            <w:tcW w:type="dxa" w:w="2818"/>
            <w:tcMar>
              <w:top w:type="dxa" w:w="60"/>
              <w:left w:type="dxa" w:w="100"/>
              <w:bottom w:type="dxa" w:w="60"/>
              <w:right w:type="dxa" w:w="100"/>
            </w:tcMar>
          </w:tcPr>
          <w:p>
            <w:r>
              <w:rPr>
                <w:b w:val="false"/>
                <w:bCs w:val="false"/>
              </w:rPr>
              <w:t xml:space="preserve">F.CIB.API.OVERRIDE</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Per-channel configuration: auth-flag behavior, OD-flag behavior, restricted posting codes, extra validation routine name</w:t>
            </w:r>
          </w:p>
        </w:tc>
      </w:tr>
      <w:tr>
        <w:tc>
          <w:tcPr>
            <w:tcW w:type="dxa" w:w="2818"/>
            <w:tcMar>
              <w:top w:type="dxa" w:w="60"/>
              <w:left w:type="dxa" w:w="100"/>
              <w:bottom w:type="dxa" w:w="60"/>
              <w:right w:type="dxa" w:w="100"/>
            </w:tcMar>
          </w:tcPr>
          <w:p>
            <w:r>
              <w:rPr>
                <w:b w:val="false"/>
                <w:bCs w:val="false"/>
              </w:rPr>
              <w:t xml:space="preserve">F.ST.CIB.FI.FT.PARAM</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Per-channel list of customer industry codes subject to Business Banking restriction</w:t>
            </w:r>
          </w:p>
        </w:tc>
      </w:tr>
      <w:tr>
        <w:tc>
          <w:tcPr>
            <w:tcW w:type="dxa" w:w="2818"/>
            <w:tcMar>
              <w:top w:type="dxa" w:w="60"/>
              <w:left w:type="dxa" w:w="100"/>
              <w:bottom w:type="dxa" w:w="60"/>
              <w:right w:type="dxa" w:w="100"/>
            </w:tcMar>
          </w:tcPr>
          <w:p>
            <w:r>
              <w:rPr>
                <w:b w:val="false"/>
                <w:bCs w:val="false"/>
              </w:rPr>
              <w:t xml:space="preserve">FBNK.CUSTOMER</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Customer industry code and posting-restriction code lookup</w:t>
            </w:r>
          </w:p>
        </w:tc>
      </w:tr>
    </w:tbl>
    <w:p>
      <w:pPr>
        <w:pStyle w:val="Heading1"/>
        <w:pBdr>
          <w:bottom w:val="single" w:color="2E5395" w:sz="6" w:space="4"/>
        </w:pBdr>
        <w:spacing w:after="150" w:before="300"/>
      </w:pPr>
      <w:r>
        <w:t xml:space="preserve">3. Validations &amp; Business Rules (the core of what must migrate)</w:t>
      </w:r>
    </w:p>
    <w:p>
      <w:pPr>
        <w:pStyle w:val="Heading2"/>
        <w:spacing w:after="120" w:before="260"/>
      </w:pPr>
      <w:r>
        <w:t xml:space="preserve">3.1 Idempotency / Duplicate Message Check</w:t>
      </w:r>
    </w:p>
    <w:p>
      <w:pPr>
        <w:pStyle w:val="ListParagraph"/>
        <w:numPr>
          <w:ilvl w:val="0"/>
          <w:numId w:val="1"/>
        </w:numPr>
        <w:spacing w:after="60"/>
      </w:pPr>
      <w:r>
        <w:t xml:space="preserve">Every inbound MSG.ID is looked up in CIB.API.FT table.</w:t>
      </w:r>
    </w:p>
    <w:p>
      <w:pPr>
        <w:pStyle w:val="ListParagraph"/>
        <w:numPr>
          <w:ilvl w:val="0"/>
          <w:numId w:val="1"/>
        </w:numPr>
        <w:spacing w:after="60"/>
      </w:pPr>
      <w:r>
        <w:t xml:space="preserve">If a prior record exists with CUR.STATUS = '0000' (already successfully processed), the routine does not reprocess — it returns the cached FT ID / OFS record / paid amount from the original run.</w:t>
      </w:r>
    </w:p>
    <w:p>
      <w:pPr>
        <w:spacing w:after="120"/>
      </w:pPr>
      <w:r>
        <w:rPr>
          <w:i/>
          <w:iCs/>
          <w:color w:val="C00000"/>
        </w:rPr>
        <w:t xml:space="preserve">Gap risk: IRIS APIs typically have their own idempotency-key handling — must confirm it matches this exact "return cached success, skip reprocessing" behavior, not just "reject duplicate."</w:t>
      </w:r>
    </w:p>
    <w:p>
      <w:pPr>
        <w:pStyle w:val="Heading2"/>
        <w:spacing w:after="120" w:before="260"/>
      </w:pPr>
      <w:r>
        <w:t xml:space="preserve">3.2 Channel-Level Restriction Check (API channel only)</w:t>
      </w:r>
    </w:p>
    <w:p>
      <w:pPr>
        <w:pStyle w:val="ListParagraph"/>
        <w:numPr>
          <w:ilvl w:val="0"/>
          <w:numId w:val="1"/>
        </w:numPr>
        <w:spacing w:after="60"/>
      </w:pPr>
      <w:r>
        <w:t xml:space="preserve">If CHNL.CODE = 'API', calls external routine CIB.API.VALIDATE.FT with SRC.ACC.ID | CHNL.CODE | TXN.TYPE.</w:t>
      </w:r>
    </w:p>
    <w:p>
      <w:pPr>
        <w:pStyle w:val="ListParagraph"/>
        <w:numPr>
          <w:ilvl w:val="0"/>
          <w:numId w:val="1"/>
        </w:numPr>
        <w:spacing w:after="60"/>
      </w:pPr>
      <w:r>
        <w:t xml:space="preserve">Returns RESTRICT.FLAG / RESTRICT.DESC.</w:t>
      </w:r>
    </w:p>
    <w:p>
      <w:pPr>
        <w:pStyle w:val="ListParagraph"/>
        <w:numPr>
          <w:ilvl w:val="0"/>
          <w:numId w:val="1"/>
        </w:numPr>
        <w:spacing w:after="60"/>
      </w:pPr>
      <w:r>
        <w:t xml:space="preserve">If RESTRICT.FLAG = '1' → immediate reject with error 0006 + description, before any balance or posting logic runs.</w:t>
      </w:r>
    </w:p>
    <w:p>
      <w:pPr>
        <w:spacing w:after="120"/>
      </w:pPr>
      <w:r>
        <w:rPr>
          <w:i/>
          <w:iCs/>
          <w:color w:val="C00000"/>
        </w:rPr>
        <w:t xml:space="preserve">This is a black-box external validation — its internal rules are not visible in this routine and must be independently audited (separate service/routine).</w:t>
      </w:r>
    </w:p>
    <w:p>
      <w:pPr>
        <w:pStyle w:val="Heading2"/>
        <w:spacing w:after="120" w:before="260"/>
      </w:pPr>
      <w:r>
        <w:t xml:space="preserve">3.3 Customer Industry-Based Posting Restriction (Business Banking)</w:t>
      </w:r>
    </w:p>
    <w:p>
      <w:pPr>
        <w:pStyle w:val="ListParagraph"/>
        <w:numPr>
          <w:ilvl w:val="0"/>
          <w:numId w:val="1"/>
        </w:numPr>
        <w:spacing w:after="60"/>
      </w:pPr>
      <w:r>
        <w:t xml:space="preserve">Reads F.ST.CIB.FI.FT.PARAM keyed by first 4 chars of channel code.</w:t>
      </w:r>
    </w:p>
    <w:p>
      <w:pPr>
        <w:pStyle w:val="ListParagraph"/>
        <w:numPr>
          <w:ilvl w:val="0"/>
          <w:numId w:val="1"/>
        </w:numPr>
        <w:spacing w:after="60"/>
      </w:pPr>
      <w:r>
        <w:t xml:space="preserve">Gets the debit account's customer, reads CUSTOMER.INDUSTRY.</w:t>
      </w:r>
    </w:p>
    <w:p>
      <w:pPr>
        <w:pStyle w:val="ListParagraph"/>
        <w:numPr>
          <w:ilvl w:val="0"/>
          <w:numId w:val="1"/>
        </w:numPr>
        <w:spacing w:after="60"/>
      </w:pPr>
      <w:r>
        <w:t xml:space="preserve">If industry code matches a configured restricted-industry list → sets BB.FLAG = "TRUE", forces OD.TYPE = "N" (no overdraft allowed).</w:t>
      </w:r>
    </w:p>
    <w:p>
      <w:pPr>
        <w:pStyle w:val="ListParagraph"/>
        <w:numPr>
          <w:ilvl w:val="0"/>
          <w:numId w:val="1"/>
        </w:numPr>
        <w:spacing w:after="60"/>
      </w:pPr>
      <w:r>
        <w:t xml:space="preserve">If BB.FLAG = TRUE: checks customer/account POSTING.RESTRICT codes against a configured override list (CIB.API.OVERRIDE). If a match is found → hard reject with error 3003 and a configured description — transaction never reaches balance check or posting.</w:t>
      </w:r>
    </w:p>
    <w:p>
      <w:pPr>
        <w:spacing w:after="120"/>
      </w:pPr>
      <w:r>
        <w:rPr>
          <w:i/>
          <w:iCs/>
          <w:color w:val="C00000"/>
        </w:rPr>
        <w:t xml:space="preserve">Gap risk: This entire industry+restriction-code rule engine is config-table-driven (ST.CIB.FI.FT.PARAM, CIB.API.OVERRIDE) — needs to be reproduced either in TPH parameter tables or in an orchestration/pre-validation layer in front of IRIS.</w:t>
      </w:r>
    </w:p>
    <w:p>
      <w:pPr>
        <w:pStyle w:val="Heading2"/>
        <w:spacing w:after="120" w:before="260"/>
      </w:pPr>
      <w:r>
        <w:t xml:space="preserve">3.4 Available Balance Check</w:t>
      </w:r>
    </w:p>
    <w:p>
      <w:pPr>
        <w:pStyle w:val="ListParagraph"/>
        <w:numPr>
          <w:ilvl w:val="0"/>
          <w:numId w:val="1"/>
        </w:numPr>
        <w:spacing w:after="60"/>
      </w:pPr>
      <w:r>
        <w:t xml:space="preserve">Calls GET.NET.AVL.BL to compute limit balance, lock amount, book/clear/available balance for the debit account.</w:t>
      </w:r>
    </w:p>
    <w:p>
      <w:pPr>
        <w:pStyle w:val="ListParagraph"/>
        <w:numPr>
          <w:ilvl w:val="0"/>
          <w:numId w:val="1"/>
        </w:numPr>
        <w:spacing w:after="60"/>
      </w:pPr>
      <w:r>
        <w:t xml:space="preserve">If debit currency ≠ transaction currency, converts available balance to transaction currency via EXCHRATE (market code 11).</w:t>
      </w:r>
    </w:p>
    <w:p>
      <w:pPr>
        <w:pStyle w:val="ListParagraph"/>
        <w:numPr>
          <w:ilvl w:val="0"/>
          <w:numId w:val="1"/>
        </w:numPr>
        <w:spacing w:after="60"/>
      </w:pPr>
      <w:r>
        <w:t xml:space="preserve">Rule: proceed only if AVAL.BALANCE &gt;= SRC.AMT OR OD.TYPE = 'Y' (overdraft allowed).</w:t>
      </w:r>
    </w:p>
    <w:p>
      <w:pPr>
        <w:pStyle w:val="ListParagraph"/>
        <w:numPr>
          <w:ilvl w:val="0"/>
          <w:numId w:val="1"/>
        </w:numPr>
        <w:spacing w:after="60"/>
      </w:pPr>
      <w:r>
        <w:t xml:space="preserve">Else → reject: 0011 if BB.FLAG = TRUE (Business Banking insufficient balance); 0006 otherwise (generic insufficient balance).</w:t>
      </w:r>
    </w:p>
    <w:p>
      <w:pPr>
        <w:pStyle w:val="ListParagraph"/>
        <w:numPr>
          <w:ilvl w:val="0"/>
          <w:numId w:val="1"/>
        </w:numPr>
        <w:spacing w:after="60"/>
      </w:pPr>
      <w:r>
        <w:t xml:space="preserve">Both return the computed available balance in the error description.</w:t>
      </w:r>
    </w:p>
    <w:p>
      <w:pPr>
        <w:pStyle w:val="Heading2"/>
        <w:spacing w:after="120" w:before="260"/>
      </w:pPr>
      <w:r>
        <w:t xml:space="preserve">3.5 Overdraft Authorization Flag Logic</w:t>
      </w:r>
    </w:p>
    <w:p>
      <w:pPr>
        <w:pStyle w:val="ListParagraph"/>
        <w:numPr>
          <w:ilvl w:val="0"/>
          <w:numId w:val="1"/>
        </w:numPr>
        <w:spacing w:after="60"/>
      </w:pPr>
      <w:r>
        <w:t xml:space="preserve">If CHANGE.AUTH.FLAG = "YES" (from CIB.API.OVERRIDE config per channel) and AVAL.BALANCE &lt; SRC.AMT: sets OD.FLAG = "Y", forces the record into an authorization-required state (AUTH.FLAG = "1", AUTH.FLAG.NEW = "1").</w:t>
      </w:r>
    </w:p>
    <w:p>
      <w:pPr>
        <w:spacing w:after="120"/>
      </w:pPr>
      <w:r>
        <w:rPr>
          <w:i/>
          <w:iCs/>
        </w:rPr>
        <w:t xml:space="preserve">This means: certain channels are configured to allow overdraft but force a maker-checker style hold rather than an outright reject.</w:t>
      </w:r>
    </w:p>
    <w:p>
      <w:pPr>
        <w:pStyle w:val="Heading2"/>
        <w:spacing w:after="120" w:before="260"/>
      </w:pPr>
      <w:r>
        <w:t xml:space="preserve">3.6 BB.MCP Overdraft Charge Dry-Run Check</w:t>
      </w:r>
    </w:p>
    <w:p>
      <w:pPr>
        <w:pStyle w:val="ListParagraph"/>
        <w:numPr>
          <w:ilvl w:val="0"/>
          <w:numId w:val="1"/>
        </w:numPr>
        <w:spacing w:after="60"/>
      </w:pPr>
      <w:r>
        <w:t xml:space="preserve">Specifically for channel BB.MCP: before real posting, does a VALIDATE-mode dry-run OFS call against the built OFS record.</w:t>
      </w:r>
    </w:p>
    <w:p>
      <w:pPr>
        <w:pStyle w:val="ListParagraph"/>
        <w:numPr>
          <w:ilvl w:val="0"/>
          <w:numId w:val="1"/>
        </w:numPr>
        <w:spacing w:after="60"/>
      </w:pPr>
      <w:r>
        <w:t xml:space="preserve">If the dry-run response contains override ACCT.UNAUTH.OD → hard reject with 0011 (insufficient balance), even if the earlier balance check passed. This is effectively a second, stricter balance/overdraft gate specific to this channel.</w:t>
      </w:r>
    </w:p>
    <w:p>
      <w:pPr>
        <w:pStyle w:val="Heading2"/>
        <w:spacing w:after="120" w:before="260"/>
      </w:pPr>
      <w:r>
        <w:t xml:space="preserve">3.7 IBAN Validation</w:t>
      </w:r>
    </w:p>
    <w:p>
      <w:pPr>
        <w:pStyle w:val="ListParagraph"/>
        <w:numPr>
          <w:ilvl w:val="0"/>
          <w:numId w:val="1"/>
        </w:numPr>
        <w:spacing w:after="60"/>
      </w:pPr>
      <w:r>
        <w:t xml:space="preserve">If beneficiary account length = 29 → validated via IBANService.ValidateIBAN.</w:t>
      </w:r>
    </w:p>
    <w:p>
      <w:pPr>
        <w:pStyle w:val="ListParagraph"/>
        <w:numPr>
          <w:ilvl w:val="0"/>
          <w:numId w:val="1"/>
        </w:numPr>
        <w:spacing w:after="60"/>
      </w:pPr>
      <w:r>
        <w:t xml:space="preserve">If valid → sent as IBAN.BEN; if invalid or not IBAN-length → sent as plain BEN.ACCT.NO.</w:t>
      </w:r>
    </w:p>
    <w:p>
      <w:pPr>
        <w:pStyle w:val="Heading2"/>
        <w:spacing w:after="120" w:before="260"/>
      </w:pPr>
      <w:r>
        <w:t xml:space="preserve">3.8 Charges/Commission Rule Logic</w:t>
      </w:r>
    </w:p>
    <w:p>
      <w:pPr>
        <w:pStyle w:val="ListParagraph"/>
        <w:numPr>
          <w:ilvl w:val="0"/>
          <w:numId w:val="1"/>
        </w:numPr>
        <w:spacing w:after="60"/>
      </w:pPr>
      <w:r>
        <w:t xml:space="preserve">BEN.OUR.CHARGES drives default COMMISSION.CODE when not explicitly supplied: OUR → DEBIT PLUS CHARGES; BEN → CREDIT LESS CHARGES; SHA → DEBIT PLUS CHARGES</w:t>
      </w:r>
    </w:p>
    <w:p>
      <w:pPr>
        <w:pStyle w:val="ListParagraph"/>
        <w:numPr>
          <w:ilvl w:val="0"/>
          <w:numId w:val="1"/>
        </w:numPr>
        <w:spacing w:after="60"/>
      </w:pPr>
      <w:r>
        <w:t xml:space="preserve">Extra override: if resulting code is DEBIT PLUS CHARGES AND SRC.ACC.ID length &gt; 12 → commission code is cleared entirely (blank). This is a non-obvious business rule tied to account number format/type.</w:t>
      </w:r>
    </w:p>
    <w:p>
      <w:pPr>
        <w:pStyle w:val="Heading2"/>
        <w:spacing w:after="120" w:before="260"/>
      </w:pPr>
      <w:r>
        <w:t xml:space="preserve">3.9 Auto-Authorization (Maker-Checker Bypass)</w:t>
      </w:r>
    </w:p>
    <w:p>
      <w:pPr>
        <w:pStyle w:val="ListParagraph"/>
        <w:numPr>
          <w:ilvl w:val="0"/>
          <w:numId w:val="1"/>
        </w:numPr>
        <w:spacing w:after="60"/>
      </w:pPr>
      <w:r>
        <w:t xml:space="preserve">After successful posting, if CHANGE.AUTH.FLAG = "YES" and AUTH.FLAG = 1 and AUTH.FLAG.NEW = "0": automatically calls CIB.MSG.AUTHORIZE.SC to auto-authorize the transaction (system-driven authorization, not a human checker).</w:t>
      </w:r>
    </w:p>
    <w:p>
      <w:pPr>
        <w:spacing w:after="120"/>
      </w:pPr>
      <w:r>
        <w:rPr>
          <w:i/>
          <w:iCs/>
          <w:color w:val="C00000"/>
        </w:rPr>
        <w:t xml:space="preserve">This is a critical control to validate in TPH — confirm whether auto-auth is still config-driven per channel or hardcoded differently.</w:t>
      </w:r>
    </w:p>
    <w:p>
      <w:pPr>
        <w:pStyle w:val="Heading2"/>
        <w:spacing w:after="120" w:before="260"/>
      </w:pPr>
      <w:r>
        <w:t xml:space="preserve">3.10 SMS / Online FT Journal Update</w:t>
      </w:r>
    </w:p>
    <w:p>
      <w:pPr>
        <w:pStyle w:val="ListParagraph"/>
        <w:numPr>
          <w:ilvl w:val="0"/>
          <w:numId w:val="1"/>
        </w:numPr>
        <w:spacing w:after="60"/>
      </w:pPr>
      <w:r>
        <w:t xml:space="preserve">On success, checks CIB.CHECK.SMS.RUN to decide whether to log the FT into CIB.ONLINE.FTS (used presumably for SMS notification triggers) and fires JOURNAL.UPDATE.</w:t>
      </w:r>
    </w:p>
    <w:p>
      <w:pPr>
        <w:pStyle w:val="Heading1"/>
        <w:pBdr>
          <w:bottom w:val="single" w:color="2E5395" w:sz="6" w:space="4"/>
        </w:pBdr>
        <w:spacing w:after="150" w:before="300"/>
      </w:pPr>
      <w:r>
        <w:t xml:space="preserve">4. Response Contract (O.MSG)</w:t>
      </w:r>
    </w:p>
    <w:p>
      <w:pPr>
        <w:spacing w:after="120"/>
      </w:pPr>
      <w:r>
        <w:t xml:space="preserve">Format: HEADER.ID|STATUS|FT.ID|OFS.RECORD|PAID.AMOUNT|OVERRIDE|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2E5395" w:val="clear"/>
            <w:tcMar>
              <w:top w:type="dxa" w:w="80"/>
              <w:left w:type="dxa" w:w="100"/>
              <w:bottom w:type="dxa" w:w="80"/>
              <w:right w:type="dxa" w:w="100"/>
            </w:tcMar>
          </w:tcPr>
          <w:p>
            <w:r>
              <w:rPr>
                <w:b/>
                <w:bCs/>
                <w:color w:val="FFFFFF"/>
              </w:rPr>
              <w:t xml:space="preserve">Status Code</w:t>
            </w:r>
          </w:p>
        </w:tc>
        <w:tc>
          <w:tcPr>
            <w:tcW w:type="dxa" w:w="7301"/>
            <w:shd w:fill="2E5395" w:val="clear"/>
            <w:tcMar>
              <w:top w:type="dxa" w:w="80"/>
              <w:left w:type="dxa" w:w="100"/>
              <w:bottom w:type="dxa" w:w="80"/>
              <w:right w:type="dxa" w:w="100"/>
            </w:tcMar>
          </w:tcPr>
          <w:p>
            <w:r>
              <w:rPr>
                <w:b/>
                <w:bCs/>
                <w:color w:val="FFFFFF"/>
              </w:rPr>
              <w:t xml:space="preserve">Meaning</w:t>
            </w:r>
          </w:p>
        </w:tc>
      </w:tr>
      <w:tr>
        <w:tc>
          <w:tcPr>
            <w:tcW w:type="dxa" w:w="2059"/>
            <w:tcMar>
              <w:top w:type="dxa" w:w="60"/>
              <w:left w:type="dxa" w:w="100"/>
              <w:bottom w:type="dxa" w:w="60"/>
              <w:right w:type="dxa" w:w="100"/>
            </w:tcMar>
          </w:tcPr>
          <w:p>
            <w:r>
              <w:rPr>
                <w:b w:val="false"/>
                <w:bCs w:val="false"/>
              </w:rPr>
              <w:t xml:space="preserve">0000</w:t>
            </w:r>
          </w:p>
        </w:tc>
        <w:tc>
          <w:tcPr>
            <w:tcW w:type="dxa" w:w="7301"/>
            <w:tcMar>
              <w:top w:type="dxa" w:w="60"/>
              <w:left w:type="dxa" w:w="100"/>
              <w:bottom w:type="dxa" w:w="60"/>
              <w:right w:type="dxa" w:w="100"/>
            </w:tcMar>
          </w:tcPr>
          <w:p>
            <w:r>
              <w:rPr>
                <w:b w:val="false"/>
                <w:bCs w:val="false"/>
              </w:rPr>
              <w:t xml:space="preserve">Success (FT posted)</w:t>
            </w:r>
          </w:p>
        </w:tc>
      </w:tr>
      <w:tr>
        <w:tc>
          <w:tcPr>
            <w:tcW w:type="dxa" w:w="2059"/>
            <w:tcMar>
              <w:top w:type="dxa" w:w="60"/>
              <w:left w:type="dxa" w:w="100"/>
              <w:bottom w:type="dxa" w:w="60"/>
              <w:right w:type="dxa" w:w="100"/>
            </w:tcMar>
          </w:tcPr>
          <w:p>
            <w:r>
              <w:rPr>
                <w:b w:val="false"/>
                <w:bCs w:val="false"/>
              </w:rPr>
              <w:t xml:space="preserve">0006</w:t>
            </w:r>
          </w:p>
        </w:tc>
        <w:tc>
          <w:tcPr>
            <w:tcW w:type="dxa" w:w="7301"/>
            <w:tcMar>
              <w:top w:type="dxa" w:w="60"/>
              <w:left w:type="dxa" w:w="100"/>
              <w:bottom w:type="dxa" w:w="60"/>
              <w:right w:type="dxa" w:w="100"/>
            </w:tcMar>
          </w:tcPr>
          <w:p>
            <w:r>
              <w:rPr>
                <w:b w:val="false"/>
                <w:bCs w:val="false"/>
              </w:rPr>
              <w:t xml:space="preserve">Generic reject — insufficient balance OR channel restriction OR OFS posting failure</w:t>
            </w:r>
          </w:p>
        </w:tc>
      </w:tr>
      <w:tr>
        <w:tc>
          <w:tcPr>
            <w:tcW w:type="dxa" w:w="2059"/>
            <w:tcMar>
              <w:top w:type="dxa" w:w="60"/>
              <w:left w:type="dxa" w:w="100"/>
              <w:bottom w:type="dxa" w:w="60"/>
              <w:right w:type="dxa" w:w="100"/>
            </w:tcMar>
          </w:tcPr>
          <w:p>
            <w:r>
              <w:rPr>
                <w:b w:val="false"/>
                <w:bCs w:val="false"/>
              </w:rPr>
              <w:t xml:space="preserve">0011</w:t>
            </w:r>
          </w:p>
        </w:tc>
        <w:tc>
          <w:tcPr>
            <w:tcW w:type="dxa" w:w="7301"/>
            <w:tcMar>
              <w:top w:type="dxa" w:w="60"/>
              <w:left w:type="dxa" w:w="100"/>
              <w:bottom w:type="dxa" w:w="60"/>
              <w:right w:type="dxa" w:w="100"/>
            </w:tcMar>
          </w:tcPr>
          <w:p>
            <w:r>
              <w:rPr>
                <w:b w:val="false"/>
                <w:bCs w:val="false"/>
              </w:rPr>
              <w:t xml:space="preserve">Insufficient balance — Business Banking / BB.MCP overdraft-specific variant</w:t>
            </w:r>
          </w:p>
        </w:tc>
      </w:tr>
      <w:tr>
        <w:tc>
          <w:tcPr>
            <w:tcW w:type="dxa" w:w="2059"/>
            <w:tcMar>
              <w:top w:type="dxa" w:w="60"/>
              <w:left w:type="dxa" w:w="100"/>
              <w:bottom w:type="dxa" w:w="60"/>
              <w:right w:type="dxa" w:w="100"/>
            </w:tcMar>
          </w:tcPr>
          <w:p>
            <w:r>
              <w:rPr>
                <w:b w:val="false"/>
                <w:bCs w:val="false"/>
              </w:rPr>
              <w:t xml:space="preserve">3003</w:t>
            </w:r>
          </w:p>
        </w:tc>
        <w:tc>
          <w:tcPr>
            <w:tcW w:type="dxa" w:w="7301"/>
            <w:tcMar>
              <w:top w:type="dxa" w:w="60"/>
              <w:left w:type="dxa" w:w="100"/>
              <w:bottom w:type="dxa" w:w="60"/>
              <w:right w:type="dxa" w:w="100"/>
            </w:tcMar>
          </w:tcPr>
          <w:p>
            <w:r>
              <w:rPr>
                <w:b w:val="false"/>
                <w:bCs w:val="false"/>
              </w:rPr>
              <w:t xml:space="preserve">Posting restricted — customer industry / posting-restriction match</w:t>
            </w:r>
          </w:p>
        </w:tc>
      </w:tr>
    </w:tbl>
    <w:p>
      <w:pPr>
        <w:spacing w:after="150"/>
      </w:pPr>
    </w:p>
    <w:p>
      <w:pPr>
        <w:spacing w:after="120"/>
      </w:pPr>
      <w:r>
        <w:rPr>
          <w:i/>
          <w:iCs/>
          <w:color w:val="C00000"/>
        </w:rPr>
        <w:t xml:space="preserve">Gap risk: these 4 status codes are CIB-custom, not standard T24/IRIS error codes. A full error code mapping table is required against whatever IRIS returns natively.</w:t>
      </w:r>
    </w:p>
    <w:p>
      <w:pPr>
        <w:pStyle w:val="Heading1"/>
        <w:pBdr>
          <w:bottom w:val="single" w:color="2E5395" w:sz="6" w:space="4"/>
        </w:pBdr>
        <w:spacing w:after="150" w:before="300"/>
      </w:pPr>
      <w:r>
        <w:t xml:space="preserve">5. Config Tables This Routine Depends On (must be migrated/replicated)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2E5395" w:val="clear"/>
            <w:tcMar>
              <w:top w:type="dxa" w:w="80"/>
              <w:left w:type="dxa" w:w="100"/>
              <w:bottom w:type="dxa" w:w="80"/>
              <w:right w:type="dxa" w:w="100"/>
            </w:tcMar>
          </w:tcPr>
          <w:p>
            <w:r>
              <w:rPr>
                <w:b/>
                <w:bCs/>
                <w:color w:val="FFFFFF"/>
              </w:rPr>
              <w:t xml:space="preserve">Table</w:t>
            </w:r>
          </w:p>
        </w:tc>
        <w:tc>
          <w:tcPr>
            <w:tcW w:type="dxa" w:w="6926"/>
            <w:shd w:fill="2E5395" w:val="clear"/>
            <w:tcMar>
              <w:top w:type="dxa" w:w="80"/>
              <w:left w:type="dxa" w:w="100"/>
              <w:bottom w:type="dxa" w:w="80"/>
              <w:right w:type="dxa" w:w="100"/>
            </w:tcMar>
          </w:tcPr>
          <w:p>
            <w:r>
              <w:rPr>
                <w:b/>
                <w:bCs/>
                <w:color w:val="FFFFFF"/>
              </w:rPr>
              <w:t xml:space="preserve">Purpose</w:t>
            </w:r>
          </w:p>
        </w:tc>
      </w:tr>
      <w:tr>
        <w:tc>
          <w:tcPr>
            <w:tcW w:type="dxa" w:w="2434"/>
            <w:tcMar>
              <w:top w:type="dxa" w:w="60"/>
              <w:left w:type="dxa" w:w="100"/>
              <w:bottom w:type="dxa" w:w="60"/>
              <w:right w:type="dxa" w:w="100"/>
            </w:tcMar>
          </w:tcPr>
          <w:p>
            <w:r>
              <w:rPr>
                <w:b w:val="false"/>
                <w:bCs w:val="false"/>
              </w:rPr>
              <w:t xml:space="preserve">CIB.API.OVERRIDE</w:t>
            </w:r>
          </w:p>
        </w:tc>
        <w:tc>
          <w:tcPr>
            <w:tcW w:type="dxa" w:w="6926"/>
            <w:tcMar>
              <w:top w:type="dxa" w:w="60"/>
              <w:left w:type="dxa" w:w="100"/>
              <w:bottom w:type="dxa" w:w="60"/>
              <w:right w:type="dxa" w:w="100"/>
            </w:tcMar>
          </w:tcPr>
          <w:p>
            <w:r>
              <w:rPr>
                <w:b w:val="false"/>
                <w:bCs w:val="false"/>
              </w:rPr>
              <w:t xml:space="preserve">Per-channel: auth-flag behavior, OD-flag behavior, extra validation routine name, override-check mode, restricted posting codes &amp; descriptions</w:t>
            </w:r>
          </w:p>
        </w:tc>
      </w:tr>
      <w:tr>
        <w:tc>
          <w:tcPr>
            <w:tcW w:type="dxa" w:w="2434"/>
            <w:tcMar>
              <w:top w:type="dxa" w:w="60"/>
              <w:left w:type="dxa" w:w="100"/>
              <w:bottom w:type="dxa" w:w="60"/>
              <w:right w:type="dxa" w:w="100"/>
            </w:tcMar>
          </w:tcPr>
          <w:p>
            <w:r>
              <w:rPr>
                <w:b w:val="false"/>
                <w:bCs w:val="false"/>
              </w:rPr>
              <w:t xml:space="preserve">ST.CIB.FI.FT.PARAM</w:t>
            </w:r>
          </w:p>
        </w:tc>
        <w:tc>
          <w:tcPr>
            <w:tcW w:type="dxa" w:w="6926"/>
            <w:tcMar>
              <w:top w:type="dxa" w:w="60"/>
              <w:left w:type="dxa" w:w="100"/>
              <w:bottom w:type="dxa" w:w="60"/>
              <w:right w:type="dxa" w:w="100"/>
            </w:tcMar>
          </w:tcPr>
          <w:p>
            <w:r>
              <w:rPr>
                <w:b w:val="false"/>
                <w:bCs w:val="false"/>
              </w:rPr>
              <w:t xml:space="preserve">Per-channel: list of customer industry codes subject to Business Banking restrictions</w:t>
            </w:r>
          </w:p>
        </w:tc>
      </w:tr>
      <w:tr>
        <w:tc>
          <w:tcPr>
            <w:tcW w:type="dxa" w:w="2434"/>
            <w:tcMar>
              <w:top w:type="dxa" w:w="60"/>
              <w:left w:type="dxa" w:w="100"/>
              <w:bottom w:type="dxa" w:w="60"/>
              <w:right w:type="dxa" w:w="100"/>
            </w:tcMar>
          </w:tcPr>
          <w:p>
            <w:r>
              <w:rPr>
                <w:b w:val="false"/>
                <w:bCs w:val="false"/>
              </w:rPr>
              <w:t xml:space="preserve">CIB.API.FT</w:t>
            </w:r>
          </w:p>
        </w:tc>
        <w:tc>
          <w:tcPr>
            <w:tcW w:type="dxa" w:w="6926"/>
            <w:tcMar>
              <w:top w:type="dxa" w:w="60"/>
              <w:left w:type="dxa" w:w="100"/>
              <w:bottom w:type="dxa" w:w="60"/>
              <w:right w:type="dxa" w:w="100"/>
            </w:tcMar>
          </w:tcPr>
          <w:p>
            <w:r>
              <w:rPr>
                <w:b w:val="false"/>
                <w:bCs w:val="false"/>
              </w:rPr>
              <w:t xml:space="preserve">Idempotency/audit store — one record per MSG.ID with status history</w:t>
            </w:r>
          </w:p>
        </w:tc>
      </w:tr>
      <w:tr>
        <w:tc>
          <w:tcPr>
            <w:tcW w:type="dxa" w:w="2434"/>
            <w:tcMar>
              <w:top w:type="dxa" w:w="60"/>
              <w:left w:type="dxa" w:w="100"/>
              <w:bottom w:type="dxa" w:w="60"/>
              <w:right w:type="dxa" w:w="100"/>
            </w:tcMar>
          </w:tcPr>
          <w:p>
            <w:r>
              <w:rPr>
                <w:b w:val="false"/>
                <w:bCs w:val="false"/>
              </w:rPr>
              <w:t xml:space="preserve">CIB.ONLINE.FTS</w:t>
            </w:r>
          </w:p>
        </w:tc>
        <w:tc>
          <w:tcPr>
            <w:tcW w:type="dxa" w:w="6926"/>
            <w:tcMar>
              <w:top w:type="dxa" w:w="60"/>
              <w:left w:type="dxa" w:w="100"/>
              <w:bottom w:type="dxa" w:w="60"/>
              <w:right w:type="dxa" w:w="100"/>
            </w:tcMar>
          </w:tcPr>
          <w:p>
            <w:r>
              <w:rPr>
                <w:b w:val="false"/>
                <w:bCs w:val="false"/>
              </w:rPr>
              <w:t xml:space="preserve">SMS/notification trigger log</w:t>
            </w:r>
          </w:p>
        </w:tc>
      </w:tr>
    </w:tbl>
    <w:p>
      <w:pPr>
        <w:pStyle w:val="Heading1"/>
        <w:pBdr>
          <w:bottom w:val="single" w:color="2E5395" w:sz="6" w:space="4"/>
        </w:pBdr>
        <w:spacing w:after="150" w:before="300"/>
      </w:pPr>
      <w:r>
        <w:t xml:space="preserve">6. External Routines Called (separate services to audit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2E5395" w:val="clear"/>
            <w:tcMar>
              <w:top w:type="dxa" w:w="80"/>
              <w:left w:type="dxa" w:w="100"/>
              <w:bottom w:type="dxa" w:w="80"/>
              <w:right w:type="dxa" w:w="100"/>
            </w:tcMar>
          </w:tcPr>
          <w:p>
            <w:r>
              <w:rPr>
                <w:b/>
                <w:bCs/>
                <w:color w:val="FFFFFF"/>
              </w:rPr>
              <w:t xml:space="preserve">Routine</w:t>
            </w:r>
          </w:p>
        </w:tc>
        <w:tc>
          <w:tcPr>
            <w:tcW w:type="dxa" w:w="6178"/>
            <w:shd w:fill="2E5395" w:val="clear"/>
            <w:tcMar>
              <w:top w:type="dxa" w:w="80"/>
              <w:left w:type="dxa" w:w="100"/>
              <w:bottom w:type="dxa" w:w="80"/>
              <w:right w:type="dxa" w:w="100"/>
            </w:tcMar>
          </w:tcPr>
          <w:p>
            <w:r>
              <w:rPr>
                <w:b/>
                <w:bCs/>
                <w:color w:val="FFFFFF"/>
              </w:rPr>
              <w:t xml:space="preserve">Purpose</w:t>
            </w:r>
          </w:p>
        </w:tc>
      </w:tr>
      <w:tr>
        <w:tc>
          <w:tcPr>
            <w:tcW w:type="dxa" w:w="3182"/>
            <w:tcMar>
              <w:top w:type="dxa" w:w="60"/>
              <w:left w:type="dxa" w:w="100"/>
              <w:bottom w:type="dxa" w:w="60"/>
              <w:right w:type="dxa" w:w="100"/>
            </w:tcMar>
          </w:tcPr>
          <w:p>
            <w:r>
              <w:rPr>
                <w:b w:val="false"/>
                <w:bCs w:val="false"/>
              </w:rPr>
              <w:t xml:space="preserve">CIB.API.VALIDATE.FT</w:t>
            </w:r>
          </w:p>
        </w:tc>
        <w:tc>
          <w:tcPr>
            <w:tcW w:type="dxa" w:w="6178"/>
            <w:tcMar>
              <w:top w:type="dxa" w:w="60"/>
              <w:left w:type="dxa" w:w="100"/>
              <w:bottom w:type="dxa" w:w="60"/>
              <w:right w:type="dxa" w:w="100"/>
            </w:tcMar>
          </w:tcPr>
          <w:p>
            <w:r>
              <w:rPr>
                <w:b w:val="false"/>
                <w:bCs w:val="false"/>
              </w:rPr>
              <w:t xml:space="preserve">Channel/txn-type restriction check (API channel)</w:t>
            </w:r>
          </w:p>
        </w:tc>
      </w:tr>
      <w:tr>
        <w:tc>
          <w:tcPr>
            <w:tcW w:type="dxa" w:w="3182"/>
            <w:tcMar>
              <w:top w:type="dxa" w:w="60"/>
              <w:left w:type="dxa" w:w="100"/>
              <w:bottom w:type="dxa" w:w="60"/>
              <w:right w:type="dxa" w:w="100"/>
            </w:tcMar>
          </w:tcPr>
          <w:p>
            <w:r>
              <w:rPr>
                <w:b w:val="false"/>
                <w:bCs w:val="false"/>
              </w:rPr>
              <w:t xml:space="preserve">GET.NET.AVL.BL</w:t>
            </w:r>
          </w:p>
        </w:tc>
        <w:tc>
          <w:tcPr>
            <w:tcW w:type="dxa" w:w="6178"/>
            <w:tcMar>
              <w:top w:type="dxa" w:w="60"/>
              <w:left w:type="dxa" w:w="100"/>
              <w:bottom w:type="dxa" w:w="60"/>
              <w:right w:type="dxa" w:w="100"/>
            </w:tcMar>
          </w:tcPr>
          <w:p>
            <w:r>
              <w:rPr>
                <w:b w:val="false"/>
                <w:bCs w:val="false"/>
              </w:rPr>
              <w:t xml:space="preserve">Balance computation</w:t>
            </w:r>
          </w:p>
        </w:tc>
      </w:tr>
      <w:tr>
        <w:tc>
          <w:tcPr>
            <w:tcW w:type="dxa" w:w="3182"/>
            <w:tcMar>
              <w:top w:type="dxa" w:w="60"/>
              <w:left w:type="dxa" w:w="100"/>
              <w:bottom w:type="dxa" w:w="60"/>
              <w:right w:type="dxa" w:w="100"/>
            </w:tcMar>
          </w:tcPr>
          <w:p>
            <w:r>
              <w:rPr>
                <w:b w:val="false"/>
                <w:bCs w:val="false"/>
              </w:rPr>
              <w:t xml:space="preserve">CIB.MT.MX</w:t>
            </w:r>
          </w:p>
        </w:tc>
        <w:tc>
          <w:tcPr>
            <w:tcW w:type="dxa" w:w="6178"/>
            <w:tcMar>
              <w:top w:type="dxa" w:w="60"/>
              <w:left w:type="dxa" w:w="100"/>
              <w:bottom w:type="dxa" w:w="60"/>
              <w:right w:type="dxa" w:w="100"/>
            </w:tcMar>
          </w:tcPr>
          <w:p>
            <w:r>
              <w:rPr>
                <w:b w:val="false"/>
                <w:bCs w:val="false"/>
              </w:rPr>
              <w:t xml:space="preserve">Name transliteration for SWIFT MT→MX</w:t>
            </w:r>
          </w:p>
        </w:tc>
      </w:tr>
      <w:tr>
        <w:tc>
          <w:tcPr>
            <w:tcW w:type="dxa" w:w="3182"/>
            <w:tcMar>
              <w:top w:type="dxa" w:w="60"/>
              <w:left w:type="dxa" w:w="100"/>
              <w:bottom w:type="dxa" w:w="60"/>
              <w:right w:type="dxa" w:w="100"/>
            </w:tcMar>
          </w:tcPr>
          <w:p>
            <w:r>
              <w:rPr>
                <w:b w:val="false"/>
                <w:bCs w:val="false"/>
              </w:rPr>
              <w:t xml:space="preserve">IBANService.ValidateIBAN</w:t>
            </w:r>
          </w:p>
        </w:tc>
        <w:tc>
          <w:tcPr>
            <w:tcW w:type="dxa" w:w="6178"/>
            <w:tcMar>
              <w:top w:type="dxa" w:w="60"/>
              <w:left w:type="dxa" w:w="100"/>
              <w:bottom w:type="dxa" w:w="60"/>
              <w:right w:type="dxa" w:w="100"/>
            </w:tcMar>
          </w:tcPr>
          <w:p>
            <w:r>
              <w:rPr>
                <w:b w:val="false"/>
                <w:bCs w:val="false"/>
              </w:rPr>
              <w:t xml:space="preserve">Standard T24 IBAN validation</w:t>
            </w:r>
          </w:p>
        </w:tc>
      </w:tr>
      <w:tr>
        <w:tc>
          <w:tcPr>
            <w:tcW w:type="dxa" w:w="3182"/>
            <w:tcMar>
              <w:top w:type="dxa" w:w="60"/>
              <w:left w:type="dxa" w:w="100"/>
              <w:bottom w:type="dxa" w:w="60"/>
              <w:right w:type="dxa" w:w="100"/>
            </w:tcMar>
          </w:tcPr>
          <w:p>
            <w:r>
              <w:rPr>
                <w:b w:val="false"/>
                <w:bCs w:val="false"/>
              </w:rPr>
              <w:t xml:space="preserve">EXCHRATE</w:t>
            </w:r>
          </w:p>
        </w:tc>
        <w:tc>
          <w:tcPr>
            <w:tcW w:type="dxa" w:w="6178"/>
            <w:tcMar>
              <w:top w:type="dxa" w:w="60"/>
              <w:left w:type="dxa" w:w="100"/>
              <w:bottom w:type="dxa" w:w="60"/>
              <w:right w:type="dxa" w:w="100"/>
            </w:tcMar>
          </w:tcPr>
          <w:p>
            <w:r>
              <w:rPr>
                <w:b w:val="false"/>
                <w:bCs w:val="false"/>
              </w:rPr>
              <w:t xml:space="preserve">Cross-currency conversion</w:t>
            </w:r>
          </w:p>
        </w:tc>
      </w:tr>
      <w:tr>
        <w:tc>
          <w:tcPr>
            <w:tcW w:type="dxa" w:w="3182"/>
            <w:tcMar>
              <w:top w:type="dxa" w:w="60"/>
              <w:left w:type="dxa" w:w="100"/>
              <w:bottom w:type="dxa" w:w="60"/>
              <w:right w:type="dxa" w:w="100"/>
            </w:tcMar>
          </w:tcPr>
          <w:p>
            <w:r>
              <w:rPr>
                <w:b w:val="false"/>
                <w:bCs w:val="false"/>
              </w:rPr>
              <w:t xml:space="preserve">CIB.MSG.AUTHORIZE.SC</w:t>
            </w:r>
          </w:p>
        </w:tc>
        <w:tc>
          <w:tcPr>
            <w:tcW w:type="dxa" w:w="6178"/>
            <w:tcMar>
              <w:top w:type="dxa" w:w="60"/>
              <w:left w:type="dxa" w:w="100"/>
              <w:bottom w:type="dxa" w:w="60"/>
              <w:right w:type="dxa" w:w="100"/>
            </w:tcMar>
          </w:tcPr>
          <w:p>
            <w:r>
              <w:rPr>
                <w:b w:val="false"/>
                <w:bCs w:val="false"/>
              </w:rPr>
              <w:t xml:space="preserve">Auto-authorization</w:t>
            </w:r>
          </w:p>
        </w:tc>
      </w:tr>
      <w:tr>
        <w:tc>
          <w:tcPr>
            <w:tcW w:type="dxa" w:w="3182"/>
            <w:tcMar>
              <w:top w:type="dxa" w:w="60"/>
              <w:left w:type="dxa" w:w="100"/>
              <w:bottom w:type="dxa" w:w="60"/>
              <w:right w:type="dxa" w:w="100"/>
            </w:tcMar>
          </w:tcPr>
          <w:p>
            <w:r>
              <w:rPr>
                <w:b w:val="false"/>
                <w:bCs w:val="false"/>
              </w:rPr>
              <w:t xml:space="preserve">CIB.CHECK.SMS.RUN</w:t>
            </w:r>
          </w:p>
        </w:tc>
        <w:tc>
          <w:tcPr>
            <w:tcW w:type="dxa" w:w="6178"/>
            <w:tcMar>
              <w:top w:type="dxa" w:w="60"/>
              <w:left w:type="dxa" w:w="100"/>
              <w:bottom w:type="dxa" w:w="60"/>
              <w:right w:type="dxa" w:w="100"/>
            </w:tcMar>
          </w:tcPr>
          <w:p>
            <w:r>
              <w:rPr>
                <w:b w:val="false"/>
                <w:bCs w:val="false"/>
              </w:rPr>
              <w:t xml:space="preserve">SMS trigger check</w:t>
            </w:r>
          </w:p>
        </w:tc>
      </w:tr>
      <w:tr>
        <w:tc>
          <w:tcPr>
            <w:tcW w:type="dxa" w:w="3182"/>
            <w:tcMar>
              <w:top w:type="dxa" w:w="60"/>
              <w:left w:type="dxa" w:w="100"/>
              <w:bottom w:type="dxa" w:w="60"/>
              <w:right w:type="dxa" w:w="100"/>
            </w:tcMar>
          </w:tcPr>
          <w:p>
            <w:r>
              <w:rPr>
                <w:b w:val="false"/>
                <w:bCs w:val="false"/>
              </w:rPr>
              <w:t xml:space="preserve">Dynamic routine (CIB.API.OVERRIDE&lt;API.OVR.RTN.NAME.OT&gt;)</w:t>
            </w:r>
          </w:p>
        </w:tc>
        <w:tc>
          <w:tcPr>
            <w:tcW w:type="dxa" w:w="6178"/>
            <w:tcMar>
              <w:top w:type="dxa" w:w="60"/>
              <w:left w:type="dxa" w:w="100"/>
              <w:bottom w:type="dxa" w:w="60"/>
              <w:right w:type="dxa" w:w="100"/>
            </w:tcMar>
          </w:tcPr>
          <w:p>
            <w:r>
              <w:rPr>
                <w:b w:val="false"/>
                <w:bCs w:val="false"/>
              </w:rPr>
              <w:t xml:space="preserve">Channel-specific extra validation, resolved at runtime — needs discovery of which channels populate it</w:t>
            </w:r>
          </w:p>
        </w:tc>
      </w:tr>
    </w:tbl>
    <w:p>
      <w:pPr>
        <w:pStyle w:val="Heading1"/>
        <w:pBdr>
          <w:bottom w:val="single" w:color="2E5395" w:sz="6" w:space="4"/>
        </w:pBdr>
        <w:spacing w:after="150" w:before="300"/>
      </w:pPr>
      <w:r>
        <w:t xml:space="preserve">7. Recommended TPH/IRIS Migration Checklist for This Service</w:t>
      </w:r>
    </w:p>
    <w:p>
      <w:pPr>
        <w:spacing w:after="80"/>
      </w:pPr>
      <w:r>
        <w:t xml:space="preserve">☐  Confirm IRIS "Create Outward Transfer" API request schema and map every one of the 51 input fields above</w:t>
      </w:r>
    </w:p>
    <w:p>
      <w:pPr>
        <w:spacing w:after="80"/>
      </w:pPr>
      <w:r>
        <w:t xml:space="preserve">☐  Reproduce idempotency behavior (cached-success replay) or confirm IRIS's native idempotency key handles it equivalently</w:t>
      </w:r>
    </w:p>
    <w:p>
      <w:pPr>
        <w:spacing w:after="80"/>
      </w:pPr>
      <w:r>
        <w:t xml:space="preserve">☐  Reproduce/relocate the CIB.API.VALIDATE.FT channel-restriction check</w:t>
      </w:r>
    </w:p>
    <w:p>
      <w:pPr>
        <w:spacing w:after="80"/>
      </w:pPr>
      <w:r>
        <w:t xml:space="preserve">☐  Reproduce Business Banking industry + posting-restriction rule engine (config-driven)</w:t>
      </w:r>
    </w:p>
    <w:p>
      <w:pPr>
        <w:spacing w:after="80"/>
      </w:pPr>
      <w:r>
        <w:t xml:space="preserve">☐  Reproduce available-balance + overdraft (OD.FLAG/AUTH.FLAG) logic, including cross-currency conversion</w:t>
      </w:r>
    </w:p>
    <w:p>
      <w:pPr>
        <w:spacing w:after="80"/>
      </w:pPr>
      <w:r>
        <w:t xml:space="preserve">☐  Reproduce BB.MCP dry-run overdraft charge check</w:t>
      </w:r>
    </w:p>
    <w:p>
      <w:pPr>
        <w:spacing w:after="80"/>
      </w:pPr>
      <w:r>
        <w:t xml:space="preserve">☐  Reproduce commission/charges default logic (OUR/BEN/SHA + account-length override)</w:t>
      </w:r>
    </w:p>
    <w:p>
      <w:pPr>
        <w:spacing w:after="80"/>
      </w:pPr>
      <w:r>
        <w:t xml:space="preserve">☐  Reproduce IBAN validation and MT→MX name transliteration</w:t>
      </w:r>
    </w:p>
    <w:p>
      <w:pPr>
        <w:spacing w:after="80"/>
      </w:pPr>
      <w:r>
        <w:t xml:space="preserve">☐  Reproduce auto-authorization logic and confirm per-channel config still applies</w:t>
      </w:r>
    </w:p>
    <w:p>
      <w:pPr>
        <w:spacing w:after="80"/>
      </w:pPr>
      <w:r>
        <w:t xml:space="preserve">☐  Build full error code mapping table: 0000/0006/0011/3003 (CIB-custom) → IRIS native codes</w:t>
      </w:r>
    </w:p>
    <w:p>
      <w:pPr>
        <w:spacing w:after="80"/>
      </w:pPr>
      <w:r>
        <w:t xml:space="preserve">☐  Confirm special-character sanitization on input is no longer needed (should be handled naturally by JSON in IRIS) but validate no silent data loss for those characters in narratives/names</w:t>
      </w:r>
    </w:p>
    <w:p>
      <w:pPr>
        <w:spacing w:after="80"/>
      </w:pPr>
      <w:r>
        <w:t xml:space="preserve">☐  Discover and separately audit all channel-specific dynamic extra-validation routines referenced via CIB.API.OVERRIDE</w:t>
      </w:r>
    </w:p>
    <w:p>
      <w:pPr>
        <w:pStyle w:val="Heading1"/>
        <w:pBdr>
          <w:bottom w:val="single" w:color="2E5395" w:sz="6" w:space="4"/>
        </w:pBdr>
        <w:spacing w:after="150" w:before="300"/>
      </w:pPr>
      <w:r>
        <w:t xml:space="preserve">8. Channels Confirmed From Code</w:t>
      </w:r>
    </w:p>
    <w:p>
      <w:pPr>
        <w:spacing w:after="120"/>
      </w:pPr>
      <w:r>
        <w:t xml:space="preserve">API, VOS, BPM, BB.MCP, plus any channel with a row in CIB.API.OVERRIDE (config-driven, not hardcoded in this routine) — recommend pulling the full CIB.API.OVERRIDE table contents to get the definitive channel list.</w:t>
      </w:r>
    </w:p>
    <w:p>
      <w:pPr>
        <w:pStyle w:val="Heading1"/>
        <w:pBdr>
          <w:bottom w:val="single" w:color="2E5395" w:sz="6" w:space="4"/>
        </w:pBdr>
        <w:spacing w:after="150" w:before="300"/>
      </w:pPr>
      <w:r>
        <w:t xml:space="preserve">9. Code Evolution / Technical Debt Notes</w:t>
      </w:r>
    </w:p>
    <w:p>
      <w:pPr>
        <w:spacing w:after="120"/>
      </w:pPr>
      <w:r>
        <w:t xml:space="preserve">The routine carries visible attribution comments spanning multiple years and authors, indicating incremental patching rather than periodic redesign. This is a signal that some logic may be undocumented tribal knowledge rather than formally specified requirements — each patch below should be traced back to its original change request where possible before being reproduced on TPH.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3"/>
        <w:gridCol w:w="1851"/>
        <w:gridCol w:w="5246"/>
      </w:tblGrid>
      <w:tr>
        <w:trPr>
          <w:tblHeader/>
        </w:trPr>
        <w:tc>
          <w:tcPr>
            <w:tcW w:type="dxa" w:w="2263"/>
            <w:shd w:fill="2E5395" w:val="clear"/>
            <w:tcMar>
              <w:top w:type="dxa" w:w="80"/>
              <w:left w:type="dxa" w:w="100"/>
              <w:bottom w:type="dxa" w:w="80"/>
              <w:right w:type="dxa" w:w="100"/>
            </w:tcMar>
          </w:tcPr>
          <w:p>
            <w:r>
              <w:rPr>
                <w:b/>
                <w:bCs/>
                <w:color w:val="FFFFFF"/>
              </w:rPr>
              <w:t xml:space="preserve">Marker / Author Tag</w:t>
            </w:r>
          </w:p>
        </w:tc>
        <w:tc>
          <w:tcPr>
            <w:tcW w:type="dxa" w:w="1851"/>
            <w:shd w:fill="2E5395" w:val="clear"/>
            <w:tcMar>
              <w:top w:type="dxa" w:w="80"/>
              <w:left w:type="dxa" w:w="100"/>
              <w:bottom w:type="dxa" w:w="80"/>
              <w:right w:type="dxa" w:w="100"/>
            </w:tcMar>
          </w:tcPr>
          <w:p>
            <w:r>
              <w:rPr>
                <w:b/>
                <w:bCs/>
                <w:color w:val="FFFFFF"/>
              </w:rPr>
              <w:t xml:space="preserve">Approx. Date</w:t>
            </w:r>
          </w:p>
        </w:tc>
        <w:tc>
          <w:tcPr>
            <w:tcW w:type="dxa" w:w="5246"/>
            <w:shd w:fill="2E5395" w:val="clear"/>
            <w:tcMar>
              <w:top w:type="dxa" w:w="80"/>
              <w:left w:type="dxa" w:w="100"/>
              <w:bottom w:type="dxa" w:w="80"/>
              <w:right w:type="dxa" w:w="100"/>
            </w:tcMar>
          </w:tcPr>
          <w:p>
            <w:r>
              <w:rPr>
                <w:b/>
                <w:bCs/>
                <w:color w:val="FFFFFF"/>
              </w:rPr>
              <w:t xml:space="preserve">What It Touched (from code)</w:t>
            </w:r>
          </w:p>
        </w:tc>
      </w:tr>
      <w:tr>
        <w:tc>
          <w:tcPr>
            <w:tcW w:type="dxa" w:w="2263"/>
            <w:tcMar>
              <w:top w:type="dxa" w:w="60"/>
              <w:left w:type="dxa" w:w="100"/>
              <w:bottom w:type="dxa" w:w="60"/>
              <w:right w:type="dxa" w:w="100"/>
            </w:tcMar>
          </w:tcPr>
          <w:p>
            <w:r>
              <w:rPr>
                <w:b w:val="false"/>
                <w:bCs w:val="false"/>
              </w:rPr>
              <w:t xml:space="preserve">MCBCS</w:t>
            </w:r>
          </w:p>
        </w:tc>
        <w:tc>
          <w:tcPr>
            <w:tcW w:type="dxa" w:w="1851"/>
            <w:tcMar>
              <w:top w:type="dxa" w:w="60"/>
              <w:left w:type="dxa" w:w="100"/>
              <w:bottom w:type="dxa" w:w="60"/>
              <w:right w:type="dxa" w:w="100"/>
            </w:tcMar>
          </w:tcPr>
          <w:p>
            <w:r>
              <w:rPr>
                <w:b w:val="false"/>
                <w:bCs w:val="false"/>
              </w:rPr>
              <w:t xml:space="preserve">14-Jun-2018</w:t>
            </w:r>
          </w:p>
        </w:tc>
        <w:tc>
          <w:tcPr>
            <w:tcW w:type="dxa" w:w="5246"/>
            <w:tcMar>
              <w:top w:type="dxa" w:w="60"/>
              <w:left w:type="dxa" w:w="100"/>
              <w:bottom w:type="dxa" w:w="60"/>
              <w:right w:type="dxa" w:w="100"/>
            </w:tcMar>
          </w:tcPr>
          <w:p>
            <w:r>
              <w:rPr>
                <w:b w:val="false"/>
                <w:bCs w:val="false"/>
              </w:rPr>
              <w:t xml:space="preserve">R18 upgrade retrofit — large-scale replacement of legacy @-notation and '=' comparisons with EQ/NE/GT/LT and F.READ calls; introduced FUNDS.TRANSFER$NAU handling</w:t>
            </w:r>
          </w:p>
        </w:tc>
      </w:tr>
      <w:tr>
        <w:tc>
          <w:tcPr>
            <w:tcW w:type="dxa" w:w="2263"/>
            <w:tcMar>
              <w:top w:type="dxa" w:w="60"/>
              <w:left w:type="dxa" w:w="100"/>
              <w:bottom w:type="dxa" w:w="60"/>
              <w:right w:type="dxa" w:w="100"/>
            </w:tcMar>
          </w:tcPr>
          <w:p>
            <w:r>
              <w:rPr>
                <w:b w:val="false"/>
                <w:bCs w:val="false"/>
              </w:rPr>
              <w:t xml:space="preserve">NGDE</w:t>
            </w:r>
          </w:p>
        </w:tc>
        <w:tc>
          <w:tcPr>
            <w:tcW w:type="dxa" w:w="1851"/>
            <w:tcMar>
              <w:top w:type="dxa" w:w="60"/>
              <w:left w:type="dxa" w:w="100"/>
              <w:bottom w:type="dxa" w:w="60"/>
              <w:right w:type="dxa" w:w="100"/>
            </w:tcMar>
          </w:tcPr>
          <w:p>
            <w:r>
              <w:rPr>
                <w:b w:val="false"/>
                <w:bCs w:val="false"/>
              </w:rPr>
              <w:t xml:space="preserve">2017–2018 (multiple)</w:t>
            </w:r>
          </w:p>
        </w:tc>
        <w:tc>
          <w:tcPr>
            <w:tcW w:type="dxa" w:w="5246"/>
            <w:tcMar>
              <w:top w:type="dxa" w:w="60"/>
              <w:left w:type="dxa" w:w="100"/>
              <w:bottom w:type="dxa" w:w="60"/>
              <w:right w:type="dxa" w:w="100"/>
            </w:tcMar>
          </w:tcPr>
          <w:p>
            <w:r>
              <w:rPr>
                <w:b w:val="false"/>
                <w:bCs w:val="false"/>
              </w:rPr>
              <w:t xml:space="preserve">Added CHARGES.ACCT.NO, CREDIT.THEIR.REF, DEBIT.VALUE.DATE, VERSION.NAME parameters; BPM-specific charge/version logic</w:t>
            </w:r>
          </w:p>
        </w:tc>
      </w:tr>
      <w:tr>
        <w:tc>
          <w:tcPr>
            <w:tcW w:type="dxa" w:w="2263"/>
            <w:tcMar>
              <w:top w:type="dxa" w:w="60"/>
              <w:left w:type="dxa" w:w="100"/>
              <w:bottom w:type="dxa" w:w="60"/>
              <w:right w:type="dxa" w:w="100"/>
            </w:tcMar>
          </w:tcPr>
          <w:p>
            <w:r>
              <w:rPr>
                <w:b w:val="false"/>
                <w:bCs w:val="false"/>
              </w:rPr>
              <w:t xml:space="preserve">CIB20200607</w:t>
            </w:r>
          </w:p>
        </w:tc>
        <w:tc>
          <w:tcPr>
            <w:tcW w:type="dxa" w:w="1851"/>
            <w:tcMar>
              <w:top w:type="dxa" w:w="60"/>
              <w:left w:type="dxa" w:w="100"/>
              <w:bottom w:type="dxa" w:w="60"/>
              <w:right w:type="dxa" w:w="100"/>
            </w:tcMar>
          </w:tcPr>
          <w:p>
            <w:r>
              <w:rPr>
                <w:b w:val="false"/>
                <w:bCs w:val="false"/>
              </w:rPr>
              <w:t xml:space="preserve">Jun-2020</w:t>
            </w:r>
          </w:p>
        </w:tc>
        <w:tc>
          <w:tcPr>
            <w:tcW w:type="dxa" w:w="5246"/>
            <w:tcMar>
              <w:top w:type="dxa" w:w="60"/>
              <w:left w:type="dxa" w:w="100"/>
              <w:bottom w:type="dxa" w:w="60"/>
              <w:right w:type="dxa" w:w="100"/>
            </w:tcMar>
          </w:tcPr>
          <w:p>
            <w:r>
              <w:rPr>
                <w:b w:val="false"/>
                <w:bCs w:val="false"/>
              </w:rPr>
              <w:t xml:space="preserve">VOS channel handling — UETR generation, version name override, SRC.CHANNEL truncation to 4 chars</w:t>
            </w:r>
          </w:p>
        </w:tc>
      </w:tr>
      <w:tr>
        <w:tc>
          <w:tcPr>
            <w:tcW w:type="dxa" w:w="2263"/>
            <w:tcMar>
              <w:top w:type="dxa" w:w="60"/>
              <w:left w:type="dxa" w:w="100"/>
              <w:bottom w:type="dxa" w:w="60"/>
              <w:right w:type="dxa" w:w="100"/>
            </w:tcMar>
          </w:tcPr>
          <w:p>
            <w:r>
              <w:rPr>
                <w:b w:val="false"/>
                <w:bCs w:val="false"/>
              </w:rPr>
              <w:t xml:space="preserve">RANIA</w:t>
            </w:r>
          </w:p>
        </w:tc>
        <w:tc>
          <w:tcPr>
            <w:tcW w:type="dxa" w:w="1851"/>
            <w:tcMar>
              <w:top w:type="dxa" w:w="60"/>
              <w:left w:type="dxa" w:w="100"/>
              <w:bottom w:type="dxa" w:w="60"/>
              <w:right w:type="dxa" w:w="100"/>
            </w:tcMar>
          </w:tcPr>
          <w:p>
            <w:r>
              <w:rPr>
                <w:b w:val="false"/>
                <w:bCs w:val="false"/>
              </w:rPr>
              <w:t xml:space="preserve">18-Sep-2022</w:t>
            </w:r>
          </w:p>
        </w:tc>
        <w:tc>
          <w:tcPr>
            <w:tcW w:type="dxa" w:w="5246"/>
            <w:tcMar>
              <w:top w:type="dxa" w:w="60"/>
              <w:left w:type="dxa" w:w="100"/>
              <w:bottom w:type="dxa" w:w="60"/>
              <w:right w:type="dxa" w:w="100"/>
            </w:tcMar>
          </w:tcPr>
          <w:p>
            <w:r>
              <w:rPr>
                <w:b w:val="false"/>
                <w:bCs w:val="false"/>
              </w:rPr>
              <w:t xml:space="preserve">Introduced BB.FLAG / Business Banking industry-restriction logic, ST.CIB.FI.FT.PARAM lookup, posting-restriction (3003) rejection path</w:t>
            </w:r>
          </w:p>
        </w:tc>
      </w:tr>
      <w:tr>
        <w:tc>
          <w:tcPr>
            <w:tcW w:type="dxa" w:w="2263"/>
            <w:tcMar>
              <w:top w:type="dxa" w:w="60"/>
              <w:left w:type="dxa" w:w="100"/>
              <w:bottom w:type="dxa" w:w="60"/>
              <w:right w:type="dxa" w:w="100"/>
            </w:tcMar>
          </w:tcPr>
          <w:p>
            <w:r>
              <w:rPr>
                <w:b w:val="false"/>
                <w:bCs w:val="false"/>
              </w:rPr>
              <w:t xml:space="preserve">MENNA</w:t>
            </w:r>
          </w:p>
        </w:tc>
        <w:tc>
          <w:tcPr>
            <w:tcW w:type="dxa" w:w="1851"/>
            <w:tcMar>
              <w:top w:type="dxa" w:w="60"/>
              <w:left w:type="dxa" w:w="100"/>
              <w:bottom w:type="dxa" w:w="60"/>
              <w:right w:type="dxa" w:w="100"/>
            </w:tcMar>
          </w:tcPr>
          <w:p>
            <w:r>
              <w:rPr>
                <w:b w:val="false"/>
                <w:bCs w:val="false"/>
              </w:rPr>
              <w:t xml:space="preserve">Jun-2023 / Jan-2024</w:t>
            </w:r>
          </w:p>
        </w:tc>
        <w:tc>
          <w:tcPr>
            <w:tcW w:type="dxa" w:w="5246"/>
            <w:tcMar>
              <w:top w:type="dxa" w:w="60"/>
              <w:left w:type="dxa" w:w="100"/>
              <w:bottom w:type="dxa" w:w="60"/>
              <w:right w:type="dxa" w:w="100"/>
            </w:tcMar>
          </w:tcPr>
          <w:p>
            <w:r>
              <w:rPr>
                <w:b w:val="false"/>
                <w:bCs w:val="false"/>
              </w:rPr>
              <w:t xml:space="preserve">Added OLD.CBE.CODE, NEW.CBE.CODE, SELL.CODE, CBE.NAR.AR fields — likely a Central Bank of Egypt reporting requirement</w:t>
            </w:r>
          </w:p>
        </w:tc>
      </w:tr>
      <w:tr>
        <w:tc>
          <w:tcPr>
            <w:tcW w:type="dxa" w:w="2263"/>
            <w:tcMar>
              <w:top w:type="dxa" w:w="60"/>
              <w:left w:type="dxa" w:w="100"/>
              <w:bottom w:type="dxa" w:w="60"/>
              <w:right w:type="dxa" w:w="100"/>
            </w:tcMar>
          </w:tcPr>
          <w:p>
            <w:r>
              <w:rPr>
                <w:b w:val="false"/>
                <w:bCs w:val="false"/>
              </w:rPr>
              <w:t xml:space="preserve">HEND</w:t>
            </w:r>
          </w:p>
        </w:tc>
        <w:tc>
          <w:tcPr>
            <w:tcW w:type="dxa" w:w="1851"/>
            <w:tcMar>
              <w:top w:type="dxa" w:w="60"/>
              <w:left w:type="dxa" w:w="100"/>
              <w:bottom w:type="dxa" w:w="60"/>
              <w:right w:type="dxa" w:w="100"/>
            </w:tcMar>
          </w:tcPr>
          <w:p>
            <w:r>
              <w:rPr>
                <w:b w:val="false"/>
                <w:bCs w:val="false"/>
              </w:rPr>
              <w:t xml:space="preserve">15-Aug-2024 / 25-Dec-2024</w:t>
            </w:r>
          </w:p>
        </w:tc>
        <w:tc>
          <w:tcPr>
            <w:tcW w:type="dxa" w:w="5246"/>
            <w:tcMar>
              <w:top w:type="dxa" w:w="60"/>
              <w:left w:type="dxa" w:w="100"/>
              <w:bottom w:type="dxa" w:w="60"/>
              <w:right w:type="dxa" w:w="100"/>
            </w:tcMar>
          </w:tcPr>
          <w:p>
            <w:r>
              <w:rPr>
                <w:b w:val="false"/>
                <w:bCs w:val="false"/>
              </w:rPr>
              <w:t xml:space="preserve">BB.MCP overdraft charge dry-run check (CHECK.BB.MCP.OVERDRAFT.CHARGE); beneficiary-name reformatting logic for MT→MX and multi-part names</w:t>
            </w:r>
          </w:p>
        </w:tc>
      </w:tr>
    </w:tbl>
    <w:p>
      <w:pPr>
        <w:spacing w:after="120"/>
      </w:pPr>
      <w:r>
        <w:rPr>
          <w:i/>
          <w:iCs/>
        </w:rPr>
        <w:t xml:space="preserve">Recommendation: treat each dated block above as a separately traceable requirement when writing TPH/IRIS acceptance criteria, rather than migrating "the routine" as one undifferentiated unit.</w:t>
      </w:r>
    </w:p>
    <w:p>
      <w:pPr>
        <w:pStyle w:val="Heading1"/>
        <w:pBdr>
          <w:bottom w:val="single" w:color="2E5395" w:sz="6" w:space="4"/>
        </w:pBdr>
        <w:spacing w:after="150" w:before="300"/>
      </w:pPr>
      <w:r>
        <w:t xml:space="preserve">10. Open Questions / Assumptions for the Team</w:t>
      </w:r>
    </w:p>
    <w:p>
      <w:pPr>
        <w:pStyle w:val="ListParagraph"/>
        <w:numPr>
          <w:ilvl w:val="0"/>
          <w:numId w:val="1"/>
        </w:numPr>
        <w:spacing w:after="60"/>
      </w:pPr>
      <w:r>
        <w:t xml:space="preserve">What are the exact rules inside CIB.API.VALIDATE.FT (channel/txn-type restriction check)? Not visible in this routine — needs its own source review.</w:t>
      </w:r>
    </w:p>
    <w:p>
      <w:pPr>
        <w:pStyle w:val="ListParagraph"/>
        <w:numPr>
          <w:ilvl w:val="0"/>
          <w:numId w:val="1"/>
        </w:numPr>
        <w:spacing w:after="60"/>
      </w:pPr>
      <w:r>
        <w:t xml:space="preserve">What industry codes and posting-restriction codes are currently configured in ST.CIB.FI.FT.PARAM and CIB.API.OVERRIDE? Need a full data export, not just the logic.</w:t>
      </w:r>
    </w:p>
    <w:p>
      <w:pPr>
        <w:pStyle w:val="ListParagraph"/>
        <w:numPr>
          <w:ilvl w:val="0"/>
          <w:numId w:val="1"/>
        </w:numPr>
        <w:spacing w:after="60"/>
      </w:pPr>
      <w:r>
        <w:t xml:space="preserve">Is CBE reporting (OLD.CBE.CODE / NEW.CBE.CODE / SELL.CODE / CBE.NAR.AR) still required in the same form on TPH, or does IRIS have native CBE reporting fields?</w:t>
      </w:r>
    </w:p>
    <w:p>
      <w:pPr>
        <w:pStyle w:val="ListParagraph"/>
        <w:numPr>
          <w:ilvl w:val="0"/>
          <w:numId w:val="1"/>
        </w:numPr>
        <w:spacing w:after="60"/>
      </w:pPr>
      <w:r>
        <w:t xml:space="preserve">Does IRIS provide native idempotency-key handling equivalent to the CIB.API.FT cached-replay behavior, or must this be built in the orchestration layer?</w:t>
      </w:r>
    </w:p>
    <w:p>
      <w:pPr>
        <w:pStyle w:val="ListParagraph"/>
        <w:numPr>
          <w:ilvl w:val="0"/>
          <w:numId w:val="1"/>
        </w:numPr>
        <w:spacing w:after="60"/>
      </w:pPr>
      <w:r>
        <w:t xml:space="preserve">Who owns confirmation that auto-authorization (CIB.MSG.AUTHORIZE.SC) is an approved control exception, and does Compliance need to re-approve it for TPH?</w:t>
      </w:r>
    </w:p>
    <w:p>
      <w:pPr>
        <w:pStyle w:val="ListParagraph"/>
        <w:numPr>
          <w:ilvl w:val="0"/>
          <w:numId w:val="1"/>
        </w:numPr>
        <w:spacing w:after="60"/>
      </w:pPr>
      <w:r>
        <w:t xml:space="preserve">Is the MT↔MX beneficiary-name transformation (CIB.MT.MX) still needed, or does IRIS handle ISO 20022 name formatting natively?</w:t>
      </w:r>
    </w:p>
    <w:p>
      <w:pPr>
        <w:pStyle w:val="ListParagraph"/>
        <w:numPr>
          <w:ilvl w:val="0"/>
          <w:numId w:val="1"/>
        </w:numPr>
        <w:spacing w:after="60"/>
      </w:pPr>
      <w:r>
        <w:t xml:space="preserve">Which channels currently populate the dynamic extra-validation routine (CIB.API.OVERRIDE&lt;API.OVR.RTN.NAME.OT&gt;), and what does each one do?</w:t>
      </w:r>
    </w:p>
    <w:p>
      <w:pPr>
        <w:pStyle w:val="Heading1"/>
        <w:pBdr>
          <w:bottom w:val="single" w:color="2E5395" w:sz="6" w:space="4"/>
        </w:pBdr>
        <w:spacing w:after="150" w:before="300"/>
      </w:pPr>
      <w:r>
        <w:t xml:space="preserve">11. Review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2123"/>
        <w:gridCol w:w="1737"/>
        <w:gridCol w:w="2412"/>
      </w:tblGrid>
      <w:tr>
        <w:trPr>
          <w:tblHeader/>
        </w:trPr>
        <w:tc>
          <w:tcPr>
            <w:tcW w:type="dxa" w:w="3088"/>
            <w:shd w:fill="2E5395" w:val="clear"/>
            <w:tcMar>
              <w:top w:type="dxa" w:w="80"/>
              <w:left w:type="dxa" w:w="100"/>
              <w:bottom w:type="dxa" w:w="80"/>
              <w:right w:type="dxa" w:w="100"/>
            </w:tcMar>
          </w:tcPr>
          <w:p>
            <w:r>
              <w:rPr>
                <w:b/>
                <w:bCs/>
                <w:color w:val="FFFFFF"/>
              </w:rPr>
              <w:t xml:space="preserve">Role</w:t>
            </w:r>
          </w:p>
        </w:tc>
        <w:tc>
          <w:tcPr>
            <w:tcW w:type="dxa" w:w="2123"/>
            <w:shd w:fill="2E5395" w:val="clear"/>
            <w:tcMar>
              <w:top w:type="dxa" w:w="80"/>
              <w:left w:type="dxa" w:w="100"/>
              <w:bottom w:type="dxa" w:w="80"/>
              <w:right w:type="dxa" w:w="100"/>
            </w:tcMar>
          </w:tcPr>
          <w:p>
            <w:r>
              <w:rPr>
                <w:b/>
                <w:bCs/>
                <w:color w:val="FFFFFF"/>
              </w:rPr>
              <w:t xml:space="preserve">Name</w:t>
            </w:r>
          </w:p>
        </w:tc>
        <w:tc>
          <w:tcPr>
            <w:tcW w:type="dxa" w:w="1737"/>
            <w:shd w:fill="2E5395" w:val="clear"/>
            <w:tcMar>
              <w:top w:type="dxa" w:w="80"/>
              <w:left w:type="dxa" w:w="100"/>
              <w:bottom w:type="dxa" w:w="80"/>
              <w:right w:type="dxa" w:w="100"/>
            </w:tcMar>
          </w:tcPr>
          <w:p>
            <w:r>
              <w:rPr>
                <w:b/>
                <w:bCs/>
                <w:color w:val="FFFFFF"/>
              </w:rPr>
              <w:t xml:space="preserve">Date</w:t>
            </w:r>
          </w:p>
        </w:tc>
        <w:tc>
          <w:tcPr>
            <w:tcW w:type="dxa" w:w="2412"/>
            <w:shd w:fill="2E5395" w:val="clear"/>
            <w:tcMar>
              <w:top w:type="dxa" w:w="80"/>
              <w:left w:type="dxa" w:w="100"/>
              <w:bottom w:type="dxa" w:w="80"/>
              <w:right w:type="dxa" w:w="100"/>
            </w:tcMar>
          </w:tcPr>
          <w:p>
            <w:r>
              <w:rPr>
                <w:b/>
                <w:bCs/>
                <w:color w:val="FFFFFF"/>
              </w:rPr>
              <w:t xml:space="preserve">Comments</w:t>
            </w:r>
          </w:p>
        </w:tc>
      </w:tr>
      <w:tr>
        <w:tc>
          <w:tcPr>
            <w:tcW w:type="dxa" w:w="3088"/>
            <w:tcMar>
              <w:top w:type="dxa" w:w="60"/>
              <w:left w:type="dxa" w:w="100"/>
              <w:bottom w:type="dxa" w:w="60"/>
              <w:right w:type="dxa" w:w="100"/>
            </w:tcMar>
          </w:tcPr>
          <w:p>
            <w:r>
              <w:rPr>
                <w:b w:val="false"/>
                <w:bCs w:val="false"/>
              </w:rPr>
              <w:t xml:space="preserve">Prepared by</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T24 Technical Reviewer</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TPH/IRIS Solution Architect</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Business/Product Owner</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Compliance/Controls (for auto-auth &amp; OD logic)</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Service Analysis — Create Outward Transfer (CIB.OT.FT)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2026-08-24T05:08:09.681Z</dcterms:created>
  <dcterms:modified xsi:type="dcterms:W3CDTF">2026-08-24T05:08:09.682Z</dcterms:modified>
</cp:coreProperties>
</file>

<file path=docProps/custom.xml><?xml version="1.0" encoding="utf-8"?>
<Properties xmlns="http://schemas.openxmlformats.org/officeDocument/2006/custom-properties" xmlns:vt="http://schemas.openxmlformats.org/officeDocument/2006/docPropsVTypes"/>
</file>