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color w:val="1F3864"/>
          <w:sz w:val="34"/>
          <w:szCs w:val="34"/>
        </w:rPr>
        <w:t xml:space="preserve">Service Analysis: Create Nostro Transfer (NA02)</w:t>
      </w:r>
    </w:p>
    <w:p>
      <w:pPr>
        <w:spacing w:after="300"/>
      </w:pPr>
      <w:r>
        <w:rPr>
          <w:i/>
          <w:iCs/>
          <w:color w:val="555555"/>
          <w:sz w:val="22"/>
          <w:szCs w:val="22"/>
        </w:rPr>
        <w:t xml:space="preserve">T24 R20/FT → TPH R25/IRIS API Migration Audit</w:t>
      </w:r>
    </w:p>
    <w:p>
      <w:pPr>
        <w:spacing w:after="60"/>
      </w:pPr>
      <w:r>
        <w:rPr>
          <w:b/>
          <w:bCs/>
        </w:rPr>
        <w:t xml:space="preserve">Source Routine: </w:t>
      </w:r>
      <w:r>
        <w:t xml:space="preserve">CIB.NOSTRO.OT.FT</w:t>
      </w:r>
    </w:p>
    <w:p>
      <w:pPr>
        <w:spacing w:after="60"/>
      </w:pPr>
      <w:r>
        <w:rPr>
          <w:b/>
          <w:bCs/>
        </w:rPr>
        <w:t xml:space="preserve">Type: </w:t>
      </w:r>
      <w:r>
        <w:t xml:space="preserve">Combined Create + Amend OFS Wrapper Routine (Custom Call Routine)</w:t>
      </w:r>
    </w:p>
    <w:p>
      <w:pPr>
        <w:spacing w:after="60"/>
      </w:pPr>
      <w:r>
        <w:rPr>
          <w:b/>
          <w:bCs/>
        </w:rPr>
        <w:t xml:space="preserve">Current Version: </w:t>
      </w:r>
      <w:r>
        <w:t xml:space="preserve">T24 R20 / FT (OFS)</w:t>
      </w:r>
    </w:p>
    <w:p>
      <w:pPr>
        <w:spacing w:after="60"/>
      </w:pPr>
      <w:r>
        <w:rPr>
          <w:b/>
          <w:bCs/>
        </w:rPr>
        <w:t xml:space="preserve">Target: </w:t>
      </w:r>
      <w:r>
        <w:t xml:space="preserve">TPH R25 / IRIS API</w:t>
      </w:r>
    </w:p>
    <w:p>
      <w:pPr>
        <w:spacing w:after="60"/>
      </w:pPr>
      <w:r>
        <w:rPr>
          <w:b/>
          <w:bCs/>
        </w:rPr>
        <w:t xml:space="preserve">Service ID (SRVC.ID): </w:t>
      </w:r>
      <w:r>
        <w:t xml:space="preserve">NA02</w:t>
      </w:r>
    </w:p>
    <w:p>
      <w:pPr>
        <w:spacing w:after="60"/>
      </w:pPr>
      <w:r>
        <w:rPr>
          <w:b/>
          <w:bCs/>
        </w:rPr>
        <w:t xml:space="preserve">Transaction Type Produced: </w:t>
      </w:r>
      <w:r>
        <w:t xml:space="preserve">OT22 (hardcoded) — confirmed to be the same transaction type Authorise FT (Document 04) specifically checks for its own delivery-preview logic</w:t>
      </w:r>
    </w:p>
    <w:p>
      <w:pPr>
        <w:spacing w:after="60"/>
      </w:pPr>
      <w:r>
        <w:rPr>
          <w:b/>
          <w:bCs/>
        </w:rPr>
        <w:t xml:space="preserve">Used By: </w:t>
      </w:r>
      <w:r>
        <w:t xml:space="preserve">Channels initiating bank-to-bank / correspondent (Nostro) transfers, distinct from customer-initiated outward transfers</w:t>
      </w:r>
    </w:p>
    <w:p>
      <w:pPr>
        <w:spacing w:after="60"/>
      </w:pPr>
      <w:r>
        <w:rPr>
          <w:b/>
          <w:bCs/>
        </w:rPr>
        <w:t xml:space="preserve">Sibling Documents: </w:t>
      </w:r>
      <w:r>
        <w:t xml:space="preserve">01 - Create Outward Transfer; 02 - Simulate Fees &amp; Calculate Commission (FT08); 03 - Amend Outward Transfer (1012); 04 - Authorise FT (SC02)</w:t>
      </w:r>
    </w:p>
    <w:p>
      <w:pPr>
        <w:pStyle w:val="Heading1"/>
        <w:pBdr>
          <w:bottom w:val="single" w:color="2E5395" w:sz="6" w:space="4"/>
        </w:pBdr>
        <w:spacing w:after="150" w:before="30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95"/>
        <w:gridCol w:w="6465"/>
      </w:tblGrid>
      <w:tr>
        <w:trPr>
          <w:tblHeader/>
        </w:trPr>
        <w:tc>
          <w:tcPr>
            <w:tcW w:type="dxa" w:w="2895"/>
            <w:shd w:fill="2E5395" w:val="clear"/>
            <w:tcMar>
              <w:top w:type="dxa" w:w="80"/>
              <w:left w:type="dxa" w:w="100"/>
              <w:bottom w:type="dxa" w:w="80"/>
              <w:right w:type="dxa" w:w="100"/>
            </w:tcMar>
          </w:tcPr>
          <w:p>
            <w:r>
              <w:rPr>
                <w:b/>
                <w:bCs/>
                <w:color w:val="FFFFFF"/>
              </w:rPr>
              <w:t xml:space="preserve">Field</w:t>
            </w:r>
          </w:p>
        </w:tc>
        <w:tc>
          <w:tcPr>
            <w:tcW w:type="dxa" w:w="6465"/>
            <w:shd w:fill="2E5395" w:val="clear"/>
            <w:tcMar>
              <w:top w:type="dxa" w:w="80"/>
              <w:left w:type="dxa" w:w="100"/>
              <w:bottom w:type="dxa" w:w="80"/>
              <w:right w:type="dxa" w:w="100"/>
            </w:tcMar>
          </w:tcPr>
          <w:p>
            <w:r>
              <w:rPr>
                <w:b/>
                <w:bCs/>
                <w:color w:val="FFFFFF"/>
              </w:rPr>
              <w:t xml:space="preserve">Value</w:t>
            </w:r>
          </w:p>
        </w:tc>
      </w:tr>
      <w:tr>
        <w:tc>
          <w:tcPr>
            <w:tcW w:type="dxa" w:w="2895"/>
            <w:tcMar>
              <w:top w:type="dxa" w:w="60"/>
              <w:left w:type="dxa" w:w="100"/>
              <w:bottom w:type="dxa" w:w="60"/>
              <w:right w:type="dxa" w:w="100"/>
            </w:tcMar>
          </w:tcPr>
          <w:p>
            <w:r>
              <w:rPr>
                <w:b w:val="false"/>
                <w:bCs w:val="false"/>
              </w:rPr>
              <w:t xml:space="preserve">Document Title</w:t>
            </w:r>
          </w:p>
        </w:tc>
        <w:tc>
          <w:tcPr>
            <w:tcW w:type="dxa" w:w="6465"/>
            <w:tcMar>
              <w:top w:type="dxa" w:w="60"/>
              <w:left w:type="dxa" w:w="100"/>
              <w:bottom w:type="dxa" w:w="60"/>
              <w:right w:type="dxa" w:w="100"/>
            </w:tcMar>
          </w:tcPr>
          <w:p>
            <w:r>
              <w:rPr>
                <w:b w:val="false"/>
                <w:bCs w:val="false"/>
              </w:rPr>
              <w:t xml:space="preserve">Service Analysis — Create Nostro Transfer (CIB.NOSTRO.OT.FT / NA02)</w:t>
            </w:r>
          </w:p>
        </w:tc>
      </w:tr>
      <w:tr>
        <w:tc>
          <w:tcPr>
            <w:tcW w:type="dxa" w:w="2895"/>
            <w:tcMar>
              <w:top w:type="dxa" w:w="60"/>
              <w:left w:type="dxa" w:w="100"/>
              <w:bottom w:type="dxa" w:w="60"/>
              <w:right w:type="dxa" w:w="100"/>
            </w:tcMar>
          </w:tcPr>
          <w:p>
            <w:r>
              <w:rPr>
                <w:b w:val="false"/>
                <w:bCs w:val="false"/>
              </w:rPr>
              <w:t xml:space="preserve">Version</w:t>
            </w:r>
          </w:p>
        </w:tc>
        <w:tc>
          <w:tcPr>
            <w:tcW w:type="dxa" w:w="6465"/>
            <w:tcMar>
              <w:top w:type="dxa" w:w="60"/>
              <w:left w:type="dxa" w:w="100"/>
              <w:bottom w:type="dxa" w:w="60"/>
              <w:right w:type="dxa" w:w="100"/>
            </w:tcMar>
          </w:tcPr>
          <w:p>
            <w:r>
              <w:rPr>
                <w:b w:val="false"/>
                <w:bCs w:val="false"/>
              </w:rPr>
              <w:t xml:space="preserve">1.0 — Draft, pending peer review</w:t>
            </w:r>
          </w:p>
        </w:tc>
      </w:tr>
      <w:tr>
        <w:tc>
          <w:tcPr>
            <w:tcW w:type="dxa" w:w="2895"/>
            <w:tcMar>
              <w:top w:type="dxa" w:w="60"/>
              <w:left w:type="dxa" w:w="100"/>
              <w:bottom w:type="dxa" w:w="60"/>
              <w:right w:type="dxa" w:w="100"/>
            </w:tcMar>
          </w:tcPr>
          <w:p>
            <w:r>
              <w:rPr>
                <w:b w:val="false"/>
                <w:bCs w:val="false"/>
              </w:rPr>
              <w:t xml:space="preserve">Prepared For</w:t>
            </w:r>
          </w:p>
        </w:tc>
        <w:tc>
          <w:tcPr>
            <w:tcW w:type="dxa" w:w="6465"/>
            <w:tcMar>
              <w:top w:type="dxa" w:w="60"/>
              <w:left w:type="dxa" w:w="100"/>
              <w:bottom w:type="dxa" w:w="60"/>
              <w:right w:type="dxa" w:w="100"/>
            </w:tcMar>
          </w:tcPr>
          <w:p>
            <w:r>
              <w:rPr>
                <w:b w:val="false"/>
                <w:bCs w:val="false"/>
              </w:rPr>
              <w:t xml:space="preserve">T24 R20→R25 / FT→TPH Migration Programme</w:t>
            </w:r>
          </w:p>
        </w:tc>
      </w:tr>
      <w:tr>
        <w:tc>
          <w:tcPr>
            <w:tcW w:type="dxa" w:w="2895"/>
            <w:tcMar>
              <w:top w:type="dxa" w:w="60"/>
              <w:left w:type="dxa" w:w="100"/>
              <w:bottom w:type="dxa" w:w="60"/>
              <w:right w:type="dxa" w:w="100"/>
            </w:tcMar>
          </w:tcPr>
          <w:p>
            <w:r>
              <w:rPr>
                <w:b w:val="false"/>
                <w:bCs w:val="false"/>
              </w:rPr>
              <w:t xml:space="preserve">Prepared Basis</w:t>
            </w:r>
          </w:p>
        </w:tc>
        <w:tc>
          <w:tcPr>
            <w:tcW w:type="dxa" w:w="6465"/>
            <w:tcMar>
              <w:top w:type="dxa" w:w="60"/>
              <w:left w:type="dxa" w:w="100"/>
              <w:bottom w:type="dxa" w:w="60"/>
              <w:right w:type="dxa" w:w="100"/>
            </w:tcMar>
          </w:tcPr>
          <w:p>
            <w:r>
              <w:rPr>
                <w:b w:val="false"/>
                <w:bCs w:val="false"/>
              </w:rPr>
              <w:t xml:space="preserve">Static code review of CIB.NOSTRO.OT.FT (as supplied) — no sample request/response available</w:t>
            </w:r>
          </w:p>
        </w:tc>
      </w:tr>
      <w:tr>
        <w:tc>
          <w:tcPr>
            <w:tcW w:type="dxa" w:w="2895"/>
            <w:tcMar>
              <w:top w:type="dxa" w:w="60"/>
              <w:left w:type="dxa" w:w="100"/>
              <w:bottom w:type="dxa" w:w="60"/>
              <w:right w:type="dxa" w:w="100"/>
            </w:tcMar>
          </w:tcPr>
          <w:p>
            <w:r>
              <w:rPr>
                <w:b w:val="false"/>
                <w:bCs w:val="false"/>
              </w:rPr>
              <w:t xml:space="preserve">Last Updated</w:t>
            </w:r>
          </w:p>
        </w:tc>
        <w:tc>
          <w:tcPr>
            <w:tcW w:type="dxa" w:w="6465"/>
            <w:tcMar>
              <w:top w:type="dxa" w:w="60"/>
              <w:left w:type="dxa" w:w="100"/>
              <w:bottom w:type="dxa" w:w="60"/>
              <w:right w:type="dxa" w:w="100"/>
            </w:tcMar>
          </w:tcPr>
          <w:p>
            <w:r>
              <w:rPr>
                <w:b w:val="false"/>
                <w:bCs w:val="false"/>
              </w:rPr>
              <w:t xml:space="preserve">25-Aug-2026</w:t>
            </w:r>
          </w:p>
        </w:tc>
      </w:tr>
      <w:tr>
        <w:tc>
          <w:tcPr>
            <w:tcW w:type="dxa" w:w="2895"/>
            <w:tcMar>
              <w:top w:type="dxa" w:w="60"/>
              <w:left w:type="dxa" w:w="100"/>
              <w:bottom w:type="dxa" w:w="60"/>
              <w:right w:type="dxa" w:w="100"/>
            </w:tcMar>
          </w:tcPr>
          <w:p>
            <w:r>
              <w:rPr>
                <w:b w:val="false"/>
                <w:bCs w:val="false"/>
              </w:rPr>
              <w:t xml:space="preserve">Related Documents</w:t>
            </w:r>
          </w:p>
        </w:tc>
        <w:tc>
          <w:tcPr>
            <w:tcW w:type="dxa" w:w="6465"/>
            <w:tcMar>
              <w:top w:type="dxa" w:w="60"/>
              <w:left w:type="dxa" w:w="100"/>
              <w:bottom w:type="dxa" w:w="60"/>
              <w:right w:type="dxa" w:w="100"/>
            </w:tcMar>
          </w:tcPr>
          <w:p>
            <w:r>
              <w:rPr>
                <w:b w:val="false"/>
                <w:bCs w:val="false"/>
              </w:rPr>
              <w:t xml:space="preserve">01 - Create Outward Transfer; 02 - Simulate Fees &amp; Calculate Commission (FT08); 03 - Amend Outward Transfer (1012); 04 - Authorise FT (SC02)</w:t>
            </w:r>
          </w:p>
        </w:tc>
      </w:tr>
    </w:tbl>
    <w:p>
      <w:pPr>
        <w:pStyle w:val="Heading1"/>
        <w:pBdr>
          <w:bottom w:val="single" w:color="2E5395" w:sz="6" w:space="4"/>
        </w:pBdr>
        <w:spacing w:after="150" w:before="300"/>
      </w:pPr>
      <w:r>
        <w:t xml:space="preserve">Executive Summary</w:t>
      </w:r>
    </w:p>
    <w:p>
      <w:pPr>
        <w:spacing w:after="120"/>
      </w:pPr>
      <w:r>
        <w:t xml:space="preserve">CIB.NOSTRO.OT.FT is a self-contained Create-and-Amend handler for bank-to-bank (Nostro/correspondent) transfers — structurally its own family, separate from the customer Outward Transfer services, but sharing the same CIB.API.FT audit infrastructure and directly producing the OT22 transaction type that Authorise FT (Document 04) has special handling for. This review found the most severe defect of the five routines audited so far: a variable-naming mismatch (the same bug pattern seen in Document 03) that appears to make this routine ignore the caller's VALIDATE/dry-run request entirely and always execute as a real posting. A second, independent defect (an inverted comparison operator) disables a success-detection fallback in the Amend path. A third occurrence of the 'unrestored global variables' pattern from Document 04 was also found here, in this routine's own copy of the delivery-preview logic. All three should be treated as blocking items pending confirmation from the live T24 team.</w:t>
      </w:r>
    </w:p>
    <w:p>
      <w:pPr>
        <w:pStyle w:val="Heading2"/>
        <w:spacing w:after="120" w:before="260"/>
      </w:pPr>
      <w:r>
        <w:t xml:space="preserve">Risk &amp; Priority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9"/>
        <w:gridCol w:w="1544"/>
        <w:gridCol w:w="5307"/>
      </w:tblGrid>
      <w:tr>
        <w:trPr>
          <w:tblHeader/>
        </w:trPr>
        <w:tc>
          <w:tcPr>
            <w:tcW w:type="dxa" w:w="2509"/>
            <w:shd w:fill="2E5395" w:val="clear"/>
            <w:tcMar>
              <w:top w:type="dxa" w:w="80"/>
              <w:left w:type="dxa" w:w="100"/>
              <w:bottom w:type="dxa" w:w="80"/>
              <w:right w:type="dxa" w:w="100"/>
            </w:tcMar>
          </w:tcPr>
          <w:p>
            <w:r>
              <w:rPr>
                <w:b/>
                <w:bCs/>
                <w:color w:val="FFFFFF"/>
              </w:rPr>
              <w:t xml:space="preserve">Dimension</w:t>
            </w:r>
          </w:p>
        </w:tc>
        <w:tc>
          <w:tcPr>
            <w:tcW w:type="dxa" w:w="1544"/>
            <w:shd w:fill="2E5395" w:val="clear"/>
            <w:tcMar>
              <w:top w:type="dxa" w:w="80"/>
              <w:left w:type="dxa" w:w="100"/>
              <w:bottom w:type="dxa" w:w="80"/>
              <w:right w:type="dxa" w:w="100"/>
            </w:tcMar>
          </w:tcPr>
          <w:p>
            <w:r>
              <w:rPr>
                <w:b/>
                <w:bCs/>
                <w:color w:val="FFFFFF"/>
              </w:rPr>
              <w:t xml:space="preserve">Rating</w:t>
            </w:r>
          </w:p>
        </w:tc>
        <w:tc>
          <w:tcPr>
            <w:tcW w:type="dxa" w:w="5307"/>
            <w:shd w:fill="2E5395" w:val="clear"/>
            <w:tcMar>
              <w:top w:type="dxa" w:w="80"/>
              <w:left w:type="dxa" w:w="100"/>
              <w:bottom w:type="dxa" w:w="80"/>
              <w:right w:type="dxa" w:w="100"/>
            </w:tcMar>
          </w:tcPr>
          <w:p>
            <w:r>
              <w:rPr>
                <w:b/>
                <w:bCs/>
                <w:color w:val="FFFFFF"/>
              </w:rPr>
              <w:t xml:space="preserve">Rationale</w:t>
            </w:r>
          </w:p>
        </w:tc>
      </w:tr>
      <w:tr>
        <w:tc>
          <w:tcPr>
            <w:tcW w:type="dxa" w:w="2509"/>
            <w:tcMar>
              <w:top w:type="dxa" w:w="60"/>
              <w:left w:type="dxa" w:w="100"/>
              <w:bottom w:type="dxa" w:w="60"/>
              <w:right w:type="dxa" w:w="100"/>
            </w:tcMar>
          </w:tcPr>
          <w:p>
            <w:r>
              <w:rPr>
                <w:b w:val="false"/>
                <w:bCs w:val="false"/>
              </w:rPr>
              <w:t xml:space="preserve">Business Criticality</w:t>
            </w:r>
          </w:p>
        </w:tc>
        <w:tc>
          <w:tcPr>
            <w:tcW w:type="dxa" w:w="1544"/>
            <w:tcMar>
              <w:top w:type="dxa" w:w="60"/>
              <w:left w:type="dxa" w:w="100"/>
              <w:bottom w:type="dxa" w:w="60"/>
              <w:right w:type="dxa" w:w="100"/>
            </w:tcMar>
          </w:tcPr>
          <w:p>
            <w:r>
              <w:rPr>
                <w:b w:val="false"/>
                <w:bCs w:val="false"/>
              </w:rPr>
              <w:t xml:space="preserve">High</w:t>
            </w:r>
          </w:p>
        </w:tc>
        <w:tc>
          <w:tcPr>
            <w:tcW w:type="dxa" w:w="5307"/>
            <w:tcMar>
              <w:top w:type="dxa" w:w="60"/>
              <w:left w:type="dxa" w:w="100"/>
              <w:bottom w:type="dxa" w:w="60"/>
              <w:right w:type="dxa" w:w="100"/>
            </w:tcMar>
          </w:tcPr>
          <w:p>
            <w:r>
              <w:rPr>
                <w:b w:val="false"/>
                <w:bCs w:val="false"/>
              </w:rPr>
              <w:t xml:space="preserve">Handles interbank/correspondent money movement — errors here have direct treasury and correspondent-relationship impact</w:t>
            </w:r>
          </w:p>
        </w:tc>
      </w:tr>
      <w:tr>
        <w:tc>
          <w:tcPr>
            <w:tcW w:type="dxa" w:w="2509"/>
            <w:tcMar>
              <w:top w:type="dxa" w:w="60"/>
              <w:left w:type="dxa" w:w="100"/>
              <w:bottom w:type="dxa" w:w="60"/>
              <w:right w:type="dxa" w:w="100"/>
            </w:tcMar>
          </w:tcPr>
          <w:p>
            <w:r>
              <w:rPr>
                <w:b w:val="false"/>
                <w:bCs w:val="false"/>
              </w:rPr>
              <w:t xml:space="preserve">Migration Complexity</w:t>
            </w:r>
          </w:p>
        </w:tc>
        <w:tc>
          <w:tcPr>
            <w:tcW w:type="dxa" w:w="1544"/>
            <w:tcMar>
              <w:top w:type="dxa" w:w="60"/>
              <w:left w:type="dxa" w:w="100"/>
              <w:bottom w:type="dxa" w:w="60"/>
              <w:right w:type="dxa" w:w="100"/>
            </w:tcMar>
          </w:tcPr>
          <w:p>
            <w:r>
              <w:rPr>
                <w:b w:val="false"/>
                <w:bCs w:val="false"/>
              </w:rPr>
              <w:t xml:space="preserve">High</w:t>
            </w:r>
          </w:p>
        </w:tc>
        <w:tc>
          <w:tcPr>
            <w:tcW w:type="dxa" w:w="5307"/>
            <w:tcMar>
              <w:top w:type="dxa" w:w="60"/>
              <w:left w:type="dxa" w:w="100"/>
              <w:bottom w:type="dxa" w:w="60"/>
              <w:right w:type="dxa" w:w="100"/>
            </w:tcMar>
          </w:tcPr>
          <w:p>
            <w:r>
              <w:rPr>
                <w:b w:val="false"/>
                <w:bCs w:val="false"/>
              </w:rPr>
              <w:t xml:space="preserve">36 input fields, combined create/amend dispatch logic, a non-obvious DE-customer-number derivation rule, and its own distinct response field order</w:t>
            </w:r>
          </w:p>
        </w:tc>
      </w:tr>
      <w:tr>
        <w:tc>
          <w:tcPr>
            <w:tcW w:type="dxa" w:w="2509"/>
            <w:tcMar>
              <w:top w:type="dxa" w:w="60"/>
              <w:left w:type="dxa" w:w="100"/>
              <w:bottom w:type="dxa" w:w="60"/>
              <w:right w:type="dxa" w:w="100"/>
            </w:tcMar>
          </w:tcPr>
          <w:p>
            <w:r>
              <w:rPr>
                <w:b w:val="false"/>
                <w:bCs w:val="false"/>
              </w:rPr>
              <w:t xml:space="preserve">Code Integrity Risk</w:t>
            </w:r>
          </w:p>
        </w:tc>
        <w:tc>
          <w:tcPr>
            <w:tcW w:type="dxa" w:w="1544"/>
            <w:tcMar>
              <w:top w:type="dxa" w:w="60"/>
              <w:left w:type="dxa" w:w="100"/>
              <w:bottom w:type="dxa" w:w="60"/>
              <w:right w:type="dxa" w:w="100"/>
            </w:tcMar>
          </w:tcPr>
          <w:p>
            <w:r>
              <w:rPr>
                <w:b w:val="false"/>
                <w:bCs w:val="false"/>
              </w:rPr>
              <w:t xml:space="preserve">Critical — highest of the five services reviewed</w:t>
            </w:r>
          </w:p>
        </w:tc>
        <w:tc>
          <w:tcPr>
            <w:tcW w:type="dxa" w:w="5307"/>
            <w:tcMar>
              <w:top w:type="dxa" w:w="60"/>
              <w:left w:type="dxa" w:w="100"/>
              <w:bottom w:type="dxa" w:w="60"/>
              <w:right w:type="dxa" w:w="100"/>
            </w:tcMar>
          </w:tcPr>
          <w:p>
            <w:r>
              <w:rPr>
                <w:b w:val="false"/>
                <w:bCs w:val="false"/>
              </w:rPr>
              <w:t xml:space="preserve">A likely defect (Finding #1) may cause VALIDATE-mode requests to silently execute as real financial postings — this must be confirmed before this routine is treated as a safe reference for TPH/IRIS design</w:t>
            </w:r>
          </w:p>
        </w:tc>
      </w:tr>
      <w:tr>
        <w:tc>
          <w:tcPr>
            <w:tcW w:type="dxa" w:w="2509"/>
            <w:tcMar>
              <w:top w:type="dxa" w:w="60"/>
              <w:left w:type="dxa" w:w="100"/>
              <w:bottom w:type="dxa" w:w="60"/>
              <w:right w:type="dxa" w:w="100"/>
            </w:tcMar>
          </w:tcPr>
          <w:p>
            <w:r>
              <w:rPr>
                <w:b w:val="false"/>
                <w:bCs w:val="false"/>
              </w:rPr>
              <w:t xml:space="preserve">Testing Priority</w:t>
            </w:r>
          </w:p>
        </w:tc>
        <w:tc>
          <w:tcPr>
            <w:tcW w:type="dxa" w:w="1544"/>
            <w:tcMar>
              <w:top w:type="dxa" w:w="60"/>
              <w:left w:type="dxa" w:w="100"/>
              <w:bottom w:type="dxa" w:w="60"/>
              <w:right w:type="dxa" w:w="100"/>
            </w:tcMar>
          </w:tcPr>
          <w:p>
            <w:r>
              <w:rPr>
                <w:b w:val="false"/>
                <w:bCs w:val="false"/>
              </w:rPr>
              <w:t xml:space="preserve">P0 — resolve Finding #1 before any other work on this service</w:t>
            </w:r>
          </w:p>
        </w:tc>
        <w:tc>
          <w:tcPr>
            <w:tcW w:type="dxa" w:w="5307"/>
            <w:tcMar>
              <w:top w:type="dxa" w:w="60"/>
              <w:left w:type="dxa" w:w="100"/>
              <w:bottom w:type="dxa" w:w="60"/>
              <w:right w:type="dxa" w:w="100"/>
            </w:tcMar>
          </w:tcPr>
          <w:p>
            <w:r>
              <w:rPr>
                <w:b w:val="false"/>
                <w:bCs w:val="false"/>
              </w:rPr>
              <w:t xml:space="preserve">Until confirmed, it cannot be assumed that a 'dry run' request against this service is actually safe</w:t>
            </w:r>
          </w:p>
        </w:tc>
      </w:tr>
    </w:tbl>
    <w:p>
      <w:pPr>
        <w:pStyle w:val="Heading1"/>
        <w:pBdr>
          <w:bottom w:val="single" w:color="2E5395" w:sz="6" w:space="4"/>
        </w:pBdr>
        <w:spacing w:after="150" w:before="300"/>
      </w:pPr>
      <w:r>
        <w:t xml:space="preserve">Service Description (Business View)</w:t>
      </w:r>
    </w:p>
    <w:p>
      <w:pPr>
        <w:spacing w:after="120"/>
      </w:pPr>
      <w:r>
        <w:t xml:space="preserve">This service creates (or amends) a bank-to-bank transfer — money moving between the bank's own correspondent (Nostro) accounts and another bank, rather than a retail or corporate customer sending money to a named beneficiary. It's the treasury/interbank counterpart to Create Outward Transfer (Document 01), sharing much of the same underlying mechanics (available-balance checking, OFS posting, the same audit/idempotency infrastructure) but with its own field set: correspondent bank details, clearing references, and a borrower ID rather than beneficiary address and IBAN details.</w:t>
      </w:r>
    </w:p>
    <w:p>
      <w:pPr>
        <w:spacing w:after="120"/>
      </w:pPr>
      <w:r>
        <w:t xml:space="preserve">In plain terms, when this service is called it:</w:t>
      </w:r>
    </w:p>
    <w:p>
      <w:pPr>
        <w:pStyle w:val="ListParagraph"/>
        <w:numPr>
          <w:ilvl w:val="0"/>
          <w:numId w:val="1"/>
        </w:numPr>
        <w:spacing w:after="60"/>
      </w:pPr>
      <w:r>
        <w:t xml:space="preserve">Confirms the sending account has enough available funds, or that an overdraft is explicitly allowed, for both legs of the transfer — this service expects the caller to supply both the debit and credit amounts directly, rather than relying on T24 to work one out from the other via FX.</w:t>
      </w:r>
    </w:p>
    <w:p>
      <w:pPr>
        <w:pStyle w:val="ListParagraph"/>
        <w:numPr>
          <w:ilvl w:val="0"/>
          <w:numId w:val="1"/>
        </w:numPr>
        <w:spacing w:after="60"/>
      </w:pPr>
      <w:r>
        <w:t xml:space="preserve">For a specific currency/flag combination, looks up a special 'DE customer number' tied to the correspondent bank's SWIFT identity — a rule unique to this service (section 4.2).</w:t>
      </w:r>
    </w:p>
    <w:p>
      <w:pPr>
        <w:pStyle w:val="ListParagraph"/>
        <w:numPr>
          <w:ilvl w:val="0"/>
          <w:numId w:val="1"/>
        </w:numPr>
        <w:spacing w:after="60"/>
      </w:pPr>
      <w:r>
        <w:t xml:space="preserve">Submits the transfer to T24, either as a brand-new record or as an amendment to one already awaiting authorization, depending on whether an existing transfer ID was supplied.</w:t>
      </w:r>
    </w:p>
    <w:p>
      <w:pPr>
        <w:pStyle w:val="ListParagraph"/>
        <w:numPr>
          <w:ilvl w:val="0"/>
          <w:numId w:val="1"/>
        </w:numPr>
        <w:spacing w:after="60"/>
      </w:pPr>
      <w:r>
        <w:t xml:space="preserve">Registers the transfer in the same shared audit log that Create Outward Transfer uses, so it can later be authorized through the same Authorise FT service (Document 04) using either T24's own transfer ID or the original message ID.</w:t>
      </w:r>
    </w:p>
    <w:p>
      <w:pPr>
        <w:pStyle w:val="ListParagraph"/>
        <w:numPr>
          <w:ilvl w:val="0"/>
          <w:numId w:val="1"/>
        </w:numPr>
        <w:spacing w:after="60"/>
      </w:pPr>
      <w:r>
        <w:t xml:space="preserve">For successfully-amended transfers still awaiting authorization, attempts to regenerate a delivery/advice preview — though see Finding #3 below for a defect in this specific step.</w:t>
      </w:r>
    </w:p>
    <w:p>
      <w:pPr>
        <w:spacing w:after="120"/>
      </w:pPr>
      <w:r>
        <w:rPr>
          <w:i/>
          <w:iCs/>
        </w:rPr>
        <w:t xml:space="preserve">Who uses it: treasury/back-office systems or channels initiating correspondent banking transfers, as distinct from retail/corporate customer transfers.</w:t>
      </w:r>
    </w:p>
    <w:p>
      <w:pPr>
        <w:pStyle w:val="Heading1"/>
        <w:pBdr>
          <w:bottom w:val="single" w:color="2E5395" w:sz="6" w:space="4"/>
        </w:pBdr>
        <w:spacing w:after="150" w:before="300"/>
      </w:pPr>
      <w:r>
        <w:t xml:space="preserve">1. Purpose</w:t>
      </w:r>
    </w:p>
    <w:p>
      <w:pPr>
        <w:spacing w:after="120"/>
      </w:pPr>
      <w:r>
        <w:t xml:space="preserve">CIB.NOSTRO.OT.FT is a single routine that handles both creation and amendment of a Nostro transfer, dispatching between the two based on whether an FT ID was supplied, and separately handling idempotent replay for already-completed requests. It parses 36 pipe-delimited fields, builds the appropriate OFS record, posts it, records the outcome in the shared CIB.API.FT audit table, and — on the amend path specifically — attempts a post-authorization delivery preview.</w:t>
      </w:r>
    </w:p>
    <w:p>
      <w:pPr>
        <w:pStyle w:val="Heading1"/>
        <w:pBdr>
          <w:bottom w:val="single" w:color="2E5395" w:sz="6" w:space="4"/>
        </w:pBdr>
        <w:spacing w:after="150" w:before="300"/>
      </w:pPr>
      <w:r>
        <w:t xml:space="preserve">2. Dispatch Logic — How Create vs Amend vs Cached-Replay Is Selected</w:t>
      </w:r>
    </w:p>
    <w:p>
      <w:pPr>
        <w:spacing w:after="120"/>
      </w:pPr>
      <w:r>
        <w:rPr>
          <w:i/>
          <w:iCs/>
        </w:rPr>
        <w:t xml:space="preserve">Unlike the other four routines, this one combines create, amend, and idempotent-replay handling in a single entry point:</w:t>
      </w:r>
    </w:p>
    <w:p>
      <w:pPr>
        <w:spacing w:after="80"/>
      </w:pPr>
      <w:r>
        <w:rPr>
          <w:b/>
          <w:bCs/>
        </w:rPr>
        <w:t xml:space="preserve">1. </w:t>
      </w:r>
      <w:r>
        <w:t xml:space="preserve">If FUNCTION.ID = 'V' (validate) AND an FT_ID was supplied, go straight to the Amend path (FT.AMEND.PROCESS), skipping the idempotency check entirely.</w:t>
      </w:r>
    </w:p>
    <w:p>
      <w:pPr>
        <w:spacing w:after="80"/>
      </w:pPr>
      <w:r>
        <w:rPr>
          <w:b/>
          <w:bCs/>
        </w:rPr>
        <w:t xml:space="preserve">2. </w:t>
      </w:r>
      <w:r>
        <w:t xml:space="preserve">If FUNCTION.ID = 'V' AND no FT_ID was supplied, go straight to the Create path (FT.PROCESS), also skipping the idempotency check.</w:t>
      </w:r>
    </w:p>
    <w:p>
      <w:pPr>
        <w:spacing w:after="80"/>
      </w:pPr>
      <w:r>
        <w:rPr>
          <w:b/>
          <w:bCs/>
        </w:rPr>
        <w:t xml:space="preserve">3. </w:t>
      </w:r>
      <w:r>
        <w:t xml:space="preserve">Otherwise (not a validate call): check the CIB.API.FT audit log for this MSG.ID. If a prior call already completed with status 0000, replay that cached result with response code 1001 (no reprocessing) — the same distinct-replay-code convention used by Simulate Fees &amp; Calculate Commission (Document 02).</w:t>
      </w:r>
    </w:p>
    <w:p>
      <w:pPr>
        <w:spacing w:after="80"/>
      </w:pPr>
      <w:r>
        <w:rPr>
          <w:b/>
          <w:bCs/>
        </w:rPr>
        <w:t xml:space="preserve">4. </w:t>
      </w:r>
      <w:r>
        <w:t xml:space="preserve">If no cached success exists: if an FT_ID was supplied, go to the Amend path; otherwise, go to the Create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4"/>
              <w:bottom w:val="single" w:color="C00000" w:sz="4"/>
              <w:right w:val="single" w:color="C00000" w:sz="4"/>
            </w:tcBorders>
            <w:shd w:fill="FDEAEA" w:val="clear"/>
            <w:tcMar>
              <w:top w:type="dxa" w:w="150"/>
              <w:left w:type="dxa" w:w="180"/>
              <w:bottom w:type="dxa" w:w="150"/>
              <w:right w:type="dxa" w:w="180"/>
            </w:tcMar>
          </w:tcPr>
          <w:p>
            <w:pPr>
              <w:spacing w:after="100"/>
            </w:pPr>
            <w:r>
              <w:rPr>
                <w:b/>
                <w:bCs/>
                <w:color w:val="C00000"/>
                <w:sz w:val="24"/>
                <w:szCs w:val="24"/>
              </w:rPr>
              <w:t xml:space="preserve">CRITICAL FINDING #1 — VALIDATE Requests May Silently Execute as Real Postings (FUNCTION_ID vs FUNCTION.ID)</w:t>
            </w:r>
          </w:p>
          <w:p>
            <w:pPr>
              <w:spacing w:after="80"/>
            </w:pPr>
            <w:r>
              <w:rPr>
                <w:color w:val="444444"/>
              </w:rPr>
              <w:t xml:space="preserve">This routine's dispatch logic above — and all of the VALIDATE/PROCESS resolution inside both FT.PROCESS and FT.AMEND.PROCESS — depends on a variable named FUNCTION.ID (dot). But the ONLY place this routine ever populates a function-id value from the input is in SAVE.MSG, where it's assigned into a DIFFERENT variable: FUNCTION_ID (underscore). FUNCTION.ID (dot) is never assigned anywhere in this routine.</w:t>
            </w:r>
          </w:p>
          <w:p>
            <w:pPr>
              <w:spacing w:after="80"/>
            </w:pPr>
            <w:r>
              <w:rPr>
                <w:color w:val="444444"/>
              </w:rPr>
              <w:t xml:space="preserve">The consequence is severe. At the very top level, 'IF FUNCTION.ID EQ "V" THEN' would always evaluate false (since FUNCTION.ID is blank, not 'V'), meaning the routine ALWAYS falls into the idempotency-check branch, never the direct-validate branch — even when the caller explicitly requested a validate-only dry run.</w:t>
            </w:r>
          </w:p>
          <w:p>
            <w:pPr>
              <w:spacing w:after="80"/>
            </w:pPr>
            <w:r>
              <w:rPr>
                <w:color w:val="444444"/>
              </w:rPr>
              <w:t xml:space="preserve">Deeper inside FT.PROCESS and FT.AMEND.PROCESS, the same blank FUNCTION.ID means 'IF FUNCTION.ID EQ "V" THEN FUNCTION.ID = "VALIDATE"' never fires, while 'IF FUNCTION.ID EQ "I" OR FUNCTION.ID EQ "" THEN FUNCTION.ID = "PROCESS"' ALWAYS fires (blank matches the empty-string condition) — meaning every single call through this routine resolves to PROCESS mode in the OFS header, regardless of what the caller actually asked for.</w:t>
            </w:r>
          </w:p>
          <w:p>
            <w:pPr>
              <w:spacing w:after="80"/>
            </w:pPr>
            <w:r>
              <w:rPr>
                <w:color w:val="444444"/>
              </w:rPr>
              <w:t xml:space="preserve">In plain terms: if a channel sends FUNCTION_ID='V' expecting a safe, non-posting validation check, this routine appears to silently ignore that and execute a real, live posting instead. This is the same underlying bug PATTERN found in Amend Outward Transfer (Document 03, SRC_ACC.ID vs SRC.ACC.ID) — a variable populated with one name, read back under a different one — but here the consequence is financial-transaction-execution risk rather than a data-population gap, making it the most severe finding across all five services reviewed.</w:t>
            </w:r>
          </w:p>
          <w:p>
            <w:pPr>
              <w:spacing w:after="80"/>
            </w:pPr>
            <w:r>
              <w:rPr>
                <w:color w:val="444444"/>
              </w:rPr>
              <w:t xml:space="preserve">This must be confirmed against the live T24 system before anything else in this document is treated as reliable: does calling this service with a validate-only request actually avoid posting a live transaction today, or not? If it does avoid posting, there must be a mechanism not visible in this excerpt (e.g. a COMMON-block FUNCTION.ID set by an earlier routine in the same chain) — the same kind of hidden dependency flagged in Document 03.</w:t>
            </w:r>
          </w:p>
        </w:tc>
      </w:tr>
    </w:tbl>
    <w:p>
      <w:pPr>
        <w:pStyle w:val="Heading1"/>
        <w:pBdr>
          <w:bottom w:val="single" w:color="2E5395" w:sz="6" w:space="4"/>
        </w:pBdr>
        <w:spacing w:after="150" w:before="300"/>
      </w:pPr>
      <w:r>
        <w:t xml:space="preserve">3. Input Contract (36 Fields, Pipe-Delimited)</w:t>
      </w:r>
    </w:p>
    <w:p>
      <w:pPr>
        <w:spacing w:after="120"/>
      </w:pPr>
      <w:r>
        <w:rPr>
          <w:i/>
          <w:iCs/>
          <w:color w:val="555555"/>
        </w:rPr>
        <w:t xml:space="preserve">Category legend: A = posted to OFS as a named data field; B = used only in the OFS header/routing segment; C = used only for internal control-flow, never posted.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8"/>
        <w:gridCol w:w="2006"/>
        <w:gridCol w:w="1839"/>
        <w:gridCol w:w="5098"/>
      </w:tblGrid>
      <w:tr>
        <w:trPr>
          <w:tblHeader/>
        </w:trPr>
        <w:tc>
          <w:tcPr>
            <w:tcW w:type="dxa" w:w="418"/>
            <w:shd w:fill="2E5395" w:val="clear"/>
            <w:tcMar>
              <w:top w:type="dxa" w:w="80"/>
              <w:left w:type="dxa" w:w="100"/>
              <w:bottom w:type="dxa" w:w="80"/>
              <w:right w:type="dxa" w:w="100"/>
            </w:tcMar>
          </w:tcPr>
          <w:p>
            <w:r>
              <w:rPr>
                <w:b/>
                <w:bCs/>
                <w:color w:val="FFFFFF"/>
              </w:rPr>
              <w:t xml:space="preserve">#</w:t>
            </w:r>
          </w:p>
        </w:tc>
        <w:tc>
          <w:tcPr>
            <w:tcW w:type="dxa" w:w="2006"/>
            <w:shd w:fill="2E5395" w:val="clear"/>
            <w:tcMar>
              <w:top w:type="dxa" w:w="80"/>
              <w:left w:type="dxa" w:w="100"/>
              <w:bottom w:type="dxa" w:w="80"/>
              <w:right w:type="dxa" w:w="100"/>
            </w:tcMar>
          </w:tcPr>
          <w:p>
            <w:r>
              <w:rPr>
                <w:b/>
                <w:bCs/>
                <w:color w:val="FFFFFF"/>
              </w:rPr>
              <w:t xml:space="preserve">Field</w:t>
            </w:r>
          </w:p>
        </w:tc>
        <w:tc>
          <w:tcPr>
            <w:tcW w:type="dxa" w:w="1839"/>
            <w:shd w:fill="2E5395" w:val="clear"/>
            <w:tcMar>
              <w:top w:type="dxa" w:w="80"/>
              <w:left w:type="dxa" w:w="100"/>
              <w:bottom w:type="dxa" w:w="80"/>
              <w:right w:type="dxa" w:w="100"/>
            </w:tcMar>
          </w:tcPr>
          <w:p>
            <w:r>
              <w:rPr>
                <w:b/>
                <w:bCs/>
                <w:color w:val="FFFFFF"/>
              </w:rPr>
              <w:t xml:space="preserve">Category</w:t>
            </w:r>
          </w:p>
        </w:tc>
        <w:tc>
          <w:tcPr>
            <w:tcW w:type="dxa" w:w="5098"/>
            <w:shd w:fill="2E5395" w:val="clear"/>
            <w:tcMar>
              <w:top w:type="dxa" w:w="80"/>
              <w:left w:type="dxa" w:w="100"/>
              <w:bottom w:type="dxa" w:w="80"/>
              <w:right w:type="dxa" w:w="100"/>
            </w:tcMar>
          </w:tcPr>
          <w:p>
            <w:r>
              <w:rPr>
                <w:b/>
                <w:bCs/>
                <w:color w:val="FFFFFF"/>
              </w:rPr>
              <w:t xml:space="preserve">Posted to OFS? / Treatment</w:t>
            </w:r>
          </w:p>
        </w:tc>
      </w:tr>
      <w:tr>
        <w:tc>
          <w:tcPr>
            <w:tcW w:type="dxa" w:w="418"/>
            <w:tcMar>
              <w:top w:type="dxa" w:w="60"/>
              <w:left w:type="dxa" w:w="100"/>
              <w:bottom w:type="dxa" w:w="60"/>
              <w:right w:type="dxa" w:w="100"/>
            </w:tcMar>
          </w:tcPr>
          <w:p>
            <w:r>
              <w:rPr>
                <w:b w:val="false"/>
                <w:bCs w:val="false"/>
              </w:rPr>
              <w:t xml:space="preserve">1</w:t>
            </w:r>
          </w:p>
        </w:tc>
        <w:tc>
          <w:tcPr>
            <w:tcW w:type="dxa" w:w="2006"/>
            <w:tcMar>
              <w:top w:type="dxa" w:w="60"/>
              <w:left w:type="dxa" w:w="100"/>
              <w:bottom w:type="dxa" w:w="60"/>
              <w:right w:type="dxa" w:w="100"/>
            </w:tcMar>
          </w:tcPr>
          <w:p>
            <w:r>
              <w:rPr>
                <w:b w:val="false"/>
                <w:bCs w:val="false"/>
              </w:rPr>
              <w:t xml:space="preserve">FT_ID</w:t>
            </w:r>
          </w:p>
        </w:tc>
        <w:tc>
          <w:tcPr>
            <w:tcW w:type="dxa" w:w="1839"/>
            <w:tcMar>
              <w:top w:type="dxa" w:w="60"/>
              <w:left w:type="dxa" w:w="100"/>
              <w:bottom w:type="dxa" w:w="60"/>
              <w:right w:type="dxa" w:w="100"/>
            </w:tcMar>
          </w:tcPr>
          <w:p>
            <w:r>
              <w:rPr>
                <w:b w:val="false"/>
                <w:bCs w:val="false"/>
              </w:rPr>
              <w:t xml:space="preserve">B — routing / mode selector</w:t>
            </w:r>
          </w:p>
        </w:tc>
        <w:tc>
          <w:tcPr>
            <w:tcW w:type="dxa" w:w="5098"/>
            <w:tcMar>
              <w:top w:type="dxa" w:w="60"/>
              <w:left w:type="dxa" w:w="100"/>
              <w:bottom w:type="dxa" w:w="60"/>
              <w:right w:type="dxa" w:w="100"/>
            </w:tcMar>
          </w:tcPr>
          <w:p>
            <w:r>
              <w:rPr>
                <w:b w:val="false"/>
                <w:bCs w:val="false"/>
              </w:rPr>
              <w:t xml:space="preserve">If non-blank, targets an existing record (Amend path); if blank, creates a new record (Create path). Never posted as a named field</w:t>
            </w:r>
          </w:p>
        </w:tc>
      </w:tr>
      <w:tr>
        <w:tc>
          <w:tcPr>
            <w:tcW w:type="dxa" w:w="418"/>
            <w:tcMar>
              <w:top w:type="dxa" w:w="60"/>
              <w:left w:type="dxa" w:w="100"/>
              <w:bottom w:type="dxa" w:w="60"/>
              <w:right w:type="dxa" w:w="100"/>
            </w:tcMar>
          </w:tcPr>
          <w:p>
            <w:r>
              <w:rPr>
                <w:b w:val="false"/>
                <w:bCs w:val="false"/>
              </w:rPr>
              <w:t xml:space="preserve">2</w:t>
            </w:r>
          </w:p>
        </w:tc>
        <w:tc>
          <w:tcPr>
            <w:tcW w:type="dxa" w:w="2006"/>
            <w:tcMar>
              <w:top w:type="dxa" w:w="60"/>
              <w:left w:type="dxa" w:w="100"/>
              <w:bottom w:type="dxa" w:w="60"/>
              <w:right w:type="dxa" w:w="100"/>
            </w:tcMar>
          </w:tcPr>
          <w:p>
            <w:r>
              <w:rPr>
                <w:b w:val="false"/>
                <w:bCs w:val="false"/>
              </w:rPr>
              <w:t xml:space="preserve">SRC_ACC_ID (debit/nostro account)</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 DEBIT.ACCT.NO; also drives the balance check</w:t>
            </w:r>
          </w:p>
        </w:tc>
      </w:tr>
      <w:tr>
        <w:tc>
          <w:tcPr>
            <w:tcW w:type="dxa" w:w="418"/>
            <w:tcMar>
              <w:top w:type="dxa" w:w="60"/>
              <w:left w:type="dxa" w:w="100"/>
              <w:bottom w:type="dxa" w:w="60"/>
              <w:right w:type="dxa" w:w="100"/>
            </w:tcMar>
          </w:tcPr>
          <w:p>
            <w:r>
              <w:rPr>
                <w:b w:val="false"/>
                <w:bCs w:val="false"/>
              </w:rPr>
              <w:t xml:space="preserve">3</w:t>
            </w:r>
          </w:p>
        </w:tc>
        <w:tc>
          <w:tcPr>
            <w:tcW w:type="dxa" w:w="2006"/>
            <w:tcMar>
              <w:top w:type="dxa" w:w="60"/>
              <w:left w:type="dxa" w:w="100"/>
              <w:bottom w:type="dxa" w:w="60"/>
              <w:right w:type="dxa" w:w="100"/>
            </w:tcMar>
          </w:tcPr>
          <w:p>
            <w:r>
              <w:rPr>
                <w:b w:val="false"/>
                <w:bCs w:val="false"/>
              </w:rPr>
              <w:t xml:space="preserve">SRC_CURR</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 DEBIT.CURRENCY, posted directly from input — no derivation from the account's own currency (unlike Create Outward Transfer)</w:t>
            </w:r>
          </w:p>
        </w:tc>
      </w:tr>
      <w:tr>
        <w:tc>
          <w:tcPr>
            <w:tcW w:type="dxa" w:w="418"/>
            <w:tcMar>
              <w:top w:type="dxa" w:w="60"/>
              <w:left w:type="dxa" w:w="100"/>
              <w:bottom w:type="dxa" w:w="60"/>
              <w:right w:type="dxa" w:w="100"/>
            </w:tcMar>
          </w:tcPr>
          <w:p>
            <w:r>
              <w:rPr>
                <w:b w:val="false"/>
                <w:bCs w:val="false"/>
              </w:rPr>
              <w:t xml:space="preserve">4</w:t>
            </w:r>
          </w:p>
        </w:tc>
        <w:tc>
          <w:tcPr>
            <w:tcW w:type="dxa" w:w="2006"/>
            <w:tcMar>
              <w:top w:type="dxa" w:w="60"/>
              <w:left w:type="dxa" w:w="100"/>
              <w:bottom w:type="dxa" w:w="60"/>
              <w:right w:type="dxa" w:w="100"/>
            </w:tcMar>
          </w:tcPr>
          <w:p>
            <w:r>
              <w:rPr>
                <w:b w:val="false"/>
                <w:bCs w:val="false"/>
              </w:rPr>
              <w:t xml:space="preserve">SRC_AMT</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 DEBIT.AMOUNT — posted explicitly alongside CREDIT.AMOUNT; this is a two-sided transfer where both legs' amounts are supplied by the caller, not auto-derived by T24 FX</w:t>
            </w:r>
          </w:p>
        </w:tc>
      </w:tr>
      <w:tr>
        <w:tc>
          <w:tcPr>
            <w:tcW w:type="dxa" w:w="418"/>
            <w:tcMar>
              <w:top w:type="dxa" w:w="60"/>
              <w:left w:type="dxa" w:w="100"/>
              <w:bottom w:type="dxa" w:w="60"/>
              <w:right w:type="dxa" w:w="100"/>
            </w:tcMar>
          </w:tcPr>
          <w:p>
            <w:r>
              <w:rPr>
                <w:b w:val="false"/>
                <w:bCs w:val="false"/>
              </w:rPr>
              <w:t xml:space="preserve">5</w:t>
            </w:r>
          </w:p>
        </w:tc>
        <w:tc>
          <w:tcPr>
            <w:tcW w:type="dxa" w:w="2006"/>
            <w:tcMar>
              <w:top w:type="dxa" w:w="60"/>
              <w:left w:type="dxa" w:w="100"/>
              <w:bottom w:type="dxa" w:w="60"/>
              <w:right w:type="dxa" w:w="100"/>
            </w:tcMar>
          </w:tcPr>
          <w:p>
            <w:r>
              <w:rPr>
                <w:b w:val="false"/>
                <w:bCs w:val="false"/>
              </w:rPr>
              <w:t xml:space="preserve">DEBIT_VALUE_DATE</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 DEBIT.VALUE.DATE — no blank-default logic here (unlike the customer-transfer routines, which default to VALUE.DATE if blank)</w:t>
            </w:r>
          </w:p>
        </w:tc>
      </w:tr>
      <w:tr>
        <w:tc>
          <w:tcPr>
            <w:tcW w:type="dxa" w:w="418"/>
            <w:tcMar>
              <w:top w:type="dxa" w:w="60"/>
              <w:left w:type="dxa" w:w="100"/>
              <w:bottom w:type="dxa" w:w="60"/>
              <w:right w:type="dxa" w:w="100"/>
            </w:tcMar>
          </w:tcPr>
          <w:p>
            <w:r>
              <w:rPr>
                <w:b w:val="false"/>
                <w:bCs w:val="false"/>
              </w:rPr>
              <w:t xml:space="preserve">6</w:t>
            </w:r>
          </w:p>
        </w:tc>
        <w:tc>
          <w:tcPr>
            <w:tcW w:type="dxa" w:w="2006"/>
            <w:tcMar>
              <w:top w:type="dxa" w:w="60"/>
              <w:left w:type="dxa" w:w="100"/>
              <w:bottom w:type="dxa" w:w="60"/>
              <w:right w:type="dxa" w:w="100"/>
            </w:tcMar>
          </w:tcPr>
          <w:p>
            <w:r>
              <w:rPr>
                <w:b w:val="false"/>
                <w:bCs w:val="false"/>
              </w:rPr>
              <w:t xml:space="preserve">SRC_NARR</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 DEBIT.THEIR.REF</w:t>
            </w:r>
          </w:p>
        </w:tc>
      </w:tr>
      <w:tr>
        <w:tc>
          <w:tcPr>
            <w:tcW w:type="dxa" w:w="418"/>
            <w:tcMar>
              <w:top w:type="dxa" w:w="60"/>
              <w:left w:type="dxa" w:w="100"/>
              <w:bottom w:type="dxa" w:w="60"/>
              <w:right w:type="dxa" w:w="100"/>
            </w:tcMar>
          </w:tcPr>
          <w:p>
            <w:r>
              <w:rPr>
                <w:b w:val="false"/>
                <w:bCs w:val="false"/>
              </w:rPr>
              <w:t xml:space="preserve">7</w:t>
            </w:r>
          </w:p>
        </w:tc>
        <w:tc>
          <w:tcPr>
            <w:tcW w:type="dxa" w:w="2006"/>
            <w:tcMar>
              <w:top w:type="dxa" w:w="60"/>
              <w:left w:type="dxa" w:w="100"/>
              <w:bottom w:type="dxa" w:w="60"/>
              <w:right w:type="dxa" w:w="100"/>
            </w:tcMar>
          </w:tcPr>
          <w:p>
            <w:r>
              <w:rPr>
                <w:b w:val="false"/>
                <w:bCs w:val="false"/>
              </w:rPr>
              <w:t xml:space="preserve">TRG_ACC_ID</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Copied into CREDIT_ACCT_NO → CREDIT.ACCT.NO</w:t>
            </w:r>
          </w:p>
        </w:tc>
      </w:tr>
      <w:tr>
        <w:tc>
          <w:tcPr>
            <w:tcW w:type="dxa" w:w="418"/>
            <w:tcMar>
              <w:top w:type="dxa" w:w="60"/>
              <w:left w:type="dxa" w:w="100"/>
              <w:bottom w:type="dxa" w:w="60"/>
              <w:right w:type="dxa" w:w="100"/>
            </w:tcMar>
          </w:tcPr>
          <w:p>
            <w:r>
              <w:rPr>
                <w:b w:val="false"/>
                <w:bCs w:val="false"/>
              </w:rPr>
              <w:t xml:space="preserve">8</w:t>
            </w:r>
          </w:p>
        </w:tc>
        <w:tc>
          <w:tcPr>
            <w:tcW w:type="dxa" w:w="2006"/>
            <w:tcMar>
              <w:top w:type="dxa" w:w="60"/>
              <w:left w:type="dxa" w:w="100"/>
              <w:bottom w:type="dxa" w:w="60"/>
              <w:right w:type="dxa" w:w="100"/>
            </w:tcMar>
          </w:tcPr>
          <w:p>
            <w:r>
              <w:rPr>
                <w:b w:val="false"/>
                <w:bCs w:val="false"/>
              </w:rPr>
              <w:t xml:space="preserve">TRG_CURR</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 CREDIT.CURRENCY; also used in the PEG_FLAG/DE.CUST.NO rule (§4.2)</w:t>
            </w:r>
          </w:p>
        </w:tc>
      </w:tr>
      <w:tr>
        <w:tc>
          <w:tcPr>
            <w:tcW w:type="dxa" w:w="418"/>
            <w:tcMar>
              <w:top w:type="dxa" w:w="60"/>
              <w:left w:type="dxa" w:w="100"/>
              <w:bottom w:type="dxa" w:w="60"/>
              <w:right w:type="dxa" w:w="100"/>
            </w:tcMar>
          </w:tcPr>
          <w:p>
            <w:r>
              <w:rPr>
                <w:b w:val="false"/>
                <w:bCs w:val="false"/>
              </w:rPr>
              <w:t xml:space="preserve">9</w:t>
            </w:r>
          </w:p>
        </w:tc>
        <w:tc>
          <w:tcPr>
            <w:tcW w:type="dxa" w:w="2006"/>
            <w:tcMar>
              <w:top w:type="dxa" w:w="60"/>
              <w:left w:type="dxa" w:w="100"/>
              <w:bottom w:type="dxa" w:w="60"/>
              <w:right w:type="dxa" w:w="100"/>
            </w:tcMar>
          </w:tcPr>
          <w:p>
            <w:r>
              <w:rPr>
                <w:b w:val="false"/>
                <w:bCs w:val="false"/>
              </w:rPr>
              <w:t xml:space="preserve">TRG_AMT</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 CREDIT.AMOUNT; also used in the balance check and as PAID.AMOUNT on success</w:t>
            </w:r>
          </w:p>
        </w:tc>
      </w:tr>
      <w:tr>
        <w:tc>
          <w:tcPr>
            <w:tcW w:type="dxa" w:w="418"/>
            <w:tcMar>
              <w:top w:type="dxa" w:w="60"/>
              <w:left w:type="dxa" w:w="100"/>
              <w:bottom w:type="dxa" w:w="60"/>
              <w:right w:type="dxa" w:w="100"/>
            </w:tcMar>
          </w:tcPr>
          <w:p>
            <w:r>
              <w:rPr>
                <w:b w:val="false"/>
                <w:bCs w:val="false"/>
              </w:rPr>
              <w:t xml:space="preserve">10</w:t>
            </w:r>
          </w:p>
        </w:tc>
        <w:tc>
          <w:tcPr>
            <w:tcW w:type="dxa" w:w="2006"/>
            <w:tcMar>
              <w:top w:type="dxa" w:w="60"/>
              <w:left w:type="dxa" w:w="100"/>
              <w:bottom w:type="dxa" w:w="60"/>
              <w:right w:type="dxa" w:w="100"/>
            </w:tcMar>
          </w:tcPr>
          <w:p>
            <w:r>
              <w:rPr>
                <w:b w:val="false"/>
                <w:bCs w:val="false"/>
              </w:rPr>
              <w:t xml:space="preserve">CREDIT_VALUE_DATE</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 CREDIT.VALUE.DATE</w:t>
            </w:r>
          </w:p>
        </w:tc>
      </w:tr>
      <w:tr>
        <w:tc>
          <w:tcPr>
            <w:tcW w:type="dxa" w:w="418"/>
            <w:tcMar>
              <w:top w:type="dxa" w:w="60"/>
              <w:left w:type="dxa" w:w="100"/>
              <w:bottom w:type="dxa" w:w="60"/>
              <w:right w:type="dxa" w:w="100"/>
            </w:tcMar>
          </w:tcPr>
          <w:p>
            <w:r>
              <w:rPr>
                <w:b w:val="false"/>
                <w:bCs w:val="false"/>
              </w:rPr>
              <w:t xml:space="preserve">11</w:t>
            </w:r>
          </w:p>
        </w:tc>
        <w:tc>
          <w:tcPr>
            <w:tcW w:type="dxa" w:w="2006"/>
            <w:tcMar>
              <w:top w:type="dxa" w:w="60"/>
              <w:left w:type="dxa" w:w="100"/>
              <w:bottom w:type="dxa" w:w="60"/>
              <w:right w:type="dxa" w:w="100"/>
            </w:tcMar>
          </w:tcPr>
          <w:p>
            <w:r>
              <w:rPr>
                <w:b w:val="false"/>
                <w:bCs w:val="false"/>
              </w:rPr>
              <w:t xml:space="preserve">TRG_NARR</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 CREDIT.THEIR.REF</w:t>
            </w:r>
          </w:p>
        </w:tc>
      </w:tr>
      <w:tr>
        <w:tc>
          <w:tcPr>
            <w:tcW w:type="dxa" w:w="418"/>
            <w:tcMar>
              <w:top w:type="dxa" w:w="60"/>
              <w:left w:type="dxa" w:w="100"/>
              <w:bottom w:type="dxa" w:w="60"/>
              <w:right w:type="dxa" w:w="100"/>
            </w:tcMar>
          </w:tcPr>
          <w:p>
            <w:r>
              <w:rPr>
                <w:b w:val="false"/>
                <w:bCs w:val="false"/>
              </w:rPr>
              <w:t xml:space="preserve">12</w:t>
            </w:r>
          </w:p>
        </w:tc>
        <w:tc>
          <w:tcPr>
            <w:tcW w:type="dxa" w:w="2006"/>
            <w:tcMar>
              <w:top w:type="dxa" w:w="60"/>
              <w:left w:type="dxa" w:w="100"/>
              <w:bottom w:type="dxa" w:w="60"/>
              <w:right w:type="dxa" w:w="100"/>
            </w:tcMar>
          </w:tcPr>
          <w:p>
            <w:r>
              <w:rPr>
                <w:b w:val="false"/>
                <w:bCs w:val="false"/>
              </w:rPr>
              <w:t xml:space="preserve">FREE_MARKT_CODE</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Posted as-is</w:t>
            </w:r>
          </w:p>
        </w:tc>
      </w:tr>
      <w:tr>
        <w:tc>
          <w:tcPr>
            <w:tcW w:type="dxa" w:w="418"/>
            <w:tcMar>
              <w:top w:type="dxa" w:w="60"/>
              <w:left w:type="dxa" w:w="100"/>
              <w:bottom w:type="dxa" w:w="60"/>
              <w:right w:type="dxa" w:w="100"/>
            </w:tcMar>
          </w:tcPr>
          <w:p>
            <w:r>
              <w:rPr>
                <w:b w:val="false"/>
                <w:bCs w:val="false"/>
              </w:rPr>
              <w:t xml:space="preserve">13</w:t>
            </w:r>
          </w:p>
        </w:tc>
        <w:tc>
          <w:tcPr>
            <w:tcW w:type="dxa" w:w="2006"/>
            <w:tcMar>
              <w:top w:type="dxa" w:w="60"/>
              <w:left w:type="dxa" w:w="100"/>
              <w:bottom w:type="dxa" w:w="60"/>
              <w:right w:type="dxa" w:w="100"/>
            </w:tcMar>
          </w:tcPr>
          <w:p>
            <w:r>
              <w:rPr>
                <w:b w:val="false"/>
                <w:bCs w:val="false"/>
              </w:rPr>
              <w:t xml:space="preserve">BORROWER_ID</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Posted as-is — a field not seen in any customer-transfer routine, suggesting a lending/treasury-specific use case</w:t>
            </w:r>
          </w:p>
        </w:tc>
      </w:tr>
      <w:tr>
        <w:tc>
          <w:tcPr>
            <w:tcW w:type="dxa" w:w="418"/>
            <w:tcMar>
              <w:top w:type="dxa" w:w="60"/>
              <w:left w:type="dxa" w:w="100"/>
              <w:bottom w:type="dxa" w:w="60"/>
              <w:right w:type="dxa" w:w="100"/>
            </w:tcMar>
          </w:tcPr>
          <w:p>
            <w:r>
              <w:rPr>
                <w:b w:val="false"/>
                <w:bCs w:val="false"/>
              </w:rPr>
              <w:t xml:space="preserve">N/A</w:t>
            </w:r>
          </w:p>
        </w:tc>
        <w:tc>
          <w:tcPr>
            <w:tcW w:type="dxa" w:w="2006"/>
            <w:tcMar>
              <w:top w:type="dxa" w:w="60"/>
              <w:left w:type="dxa" w:w="100"/>
              <w:bottom w:type="dxa" w:w="60"/>
              <w:right w:type="dxa" w:w="100"/>
            </w:tcMar>
          </w:tcPr>
          <w:p>
            <w:r>
              <w:rPr>
                <w:b w:val="false"/>
                <w:bCs w:val="false"/>
              </w:rPr>
              <w:t xml:space="preserve">BRANCH.CODE</w:t>
            </w:r>
          </w:p>
        </w:tc>
        <w:tc>
          <w:tcPr>
            <w:tcW w:type="dxa" w:w="1839"/>
            <w:tcMar>
              <w:top w:type="dxa" w:w="60"/>
              <w:left w:type="dxa" w:w="100"/>
              <w:bottom w:type="dxa" w:w="60"/>
              <w:right w:type="dxa" w:w="100"/>
            </w:tcMar>
          </w:tcPr>
          <w:p>
            <w:r>
              <w:rPr>
                <w:b w:val="false"/>
                <w:bCs w:val="false"/>
              </w:rPr>
              <w:t xml:space="preserve">Not an input field at all</w:t>
            </w:r>
          </w:p>
        </w:tc>
        <w:tc>
          <w:tcPr>
            <w:tcW w:type="dxa" w:w="5098"/>
            <w:tcMar>
              <w:top w:type="dxa" w:w="60"/>
              <w:left w:type="dxa" w:w="100"/>
              <w:bottom w:type="dxa" w:w="60"/>
              <w:right w:type="dxa" w:w="100"/>
            </w:tcMar>
          </w:tcPr>
          <w:p>
            <w:r>
              <w:rPr>
                <w:b w:val="false"/>
                <w:bCs w:val="false"/>
              </w:rPr>
              <w:t xml:space="preserve">Hardcoded to the literal '085' in this routine — every Nostro transfer processed here is attributed to branch 085 regardless of channel or caller. See section 4.4</w:t>
            </w:r>
          </w:p>
        </w:tc>
      </w:tr>
      <w:tr>
        <w:tc>
          <w:tcPr>
            <w:tcW w:type="dxa" w:w="418"/>
            <w:tcMar>
              <w:top w:type="dxa" w:w="60"/>
              <w:left w:type="dxa" w:w="100"/>
              <w:bottom w:type="dxa" w:w="60"/>
              <w:right w:type="dxa" w:w="100"/>
            </w:tcMar>
          </w:tcPr>
          <w:p>
            <w:r>
              <w:rPr>
                <w:b w:val="false"/>
                <w:bCs w:val="false"/>
              </w:rPr>
              <w:t xml:space="preserve">14</w:t>
            </w:r>
          </w:p>
        </w:tc>
        <w:tc>
          <w:tcPr>
            <w:tcW w:type="dxa" w:w="2006"/>
            <w:tcMar>
              <w:top w:type="dxa" w:w="60"/>
              <w:left w:type="dxa" w:w="100"/>
              <w:bottom w:type="dxa" w:w="60"/>
              <w:right w:type="dxa" w:w="100"/>
            </w:tcMar>
          </w:tcPr>
          <w:p>
            <w:r>
              <w:rPr>
                <w:b w:val="false"/>
                <w:bCs w:val="false"/>
              </w:rPr>
              <w:t xml:space="preserve">ORDERING_BANK</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 ORDERING.BANK:n (looped, '_' split)</w:t>
            </w:r>
          </w:p>
        </w:tc>
      </w:tr>
      <w:tr>
        <w:tc>
          <w:tcPr>
            <w:tcW w:type="dxa" w:w="418"/>
            <w:tcMar>
              <w:top w:type="dxa" w:w="60"/>
              <w:left w:type="dxa" w:w="100"/>
              <w:bottom w:type="dxa" w:w="60"/>
              <w:right w:type="dxa" w:w="100"/>
            </w:tcMar>
          </w:tcPr>
          <w:p>
            <w:r>
              <w:rPr>
                <w:b w:val="false"/>
                <w:bCs w:val="false"/>
              </w:rPr>
              <w:t xml:space="preserve">15</w:t>
            </w:r>
          </w:p>
        </w:tc>
        <w:tc>
          <w:tcPr>
            <w:tcW w:type="dxa" w:w="2006"/>
            <w:tcMar>
              <w:top w:type="dxa" w:w="60"/>
              <w:left w:type="dxa" w:w="100"/>
              <w:bottom w:type="dxa" w:w="60"/>
              <w:right w:type="dxa" w:w="100"/>
            </w:tcMar>
          </w:tcPr>
          <w:p>
            <w:r>
              <w:rPr>
                <w:b w:val="false"/>
                <w:bCs w:val="false"/>
              </w:rPr>
              <w:t xml:space="preserve">SEND.CORR</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 LOC.CLRG.REF ('Local Clearing Reference') — a field unique to this Nostro routine</w:t>
            </w:r>
          </w:p>
        </w:tc>
      </w:tr>
      <w:tr>
        <w:tc>
          <w:tcPr>
            <w:tcW w:type="dxa" w:w="418"/>
            <w:tcMar>
              <w:top w:type="dxa" w:w="60"/>
              <w:left w:type="dxa" w:w="100"/>
              <w:bottom w:type="dxa" w:w="60"/>
              <w:right w:type="dxa" w:w="100"/>
            </w:tcMar>
          </w:tcPr>
          <w:p>
            <w:r>
              <w:rPr>
                <w:b w:val="false"/>
                <w:bCs w:val="false"/>
              </w:rPr>
              <w:t xml:space="preserve">16</w:t>
            </w:r>
          </w:p>
        </w:tc>
        <w:tc>
          <w:tcPr>
            <w:tcW w:type="dxa" w:w="2006"/>
            <w:tcMar>
              <w:top w:type="dxa" w:w="60"/>
              <w:left w:type="dxa" w:w="100"/>
              <w:bottom w:type="dxa" w:w="60"/>
              <w:right w:type="dxa" w:w="100"/>
            </w:tcMar>
          </w:tcPr>
          <w:p>
            <w:r>
              <w:rPr>
                <w:b w:val="false"/>
                <w:bCs w:val="false"/>
              </w:rPr>
              <w:t xml:space="preserve">REC_CORR_BANK</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 REC.CORR.BANK:n (looped) — 'Receiving Correspondent Bank', Nostro-specific</w:t>
            </w:r>
          </w:p>
        </w:tc>
      </w:tr>
      <w:tr>
        <w:tc>
          <w:tcPr>
            <w:tcW w:type="dxa" w:w="418"/>
            <w:tcMar>
              <w:top w:type="dxa" w:w="60"/>
              <w:left w:type="dxa" w:w="100"/>
              <w:bottom w:type="dxa" w:w="60"/>
              <w:right w:type="dxa" w:w="100"/>
            </w:tcMar>
          </w:tcPr>
          <w:p>
            <w:r>
              <w:rPr>
                <w:b w:val="false"/>
                <w:bCs w:val="false"/>
              </w:rPr>
              <w:t xml:space="preserve">17</w:t>
            </w:r>
          </w:p>
        </w:tc>
        <w:tc>
          <w:tcPr>
            <w:tcW w:type="dxa" w:w="2006"/>
            <w:tcMar>
              <w:top w:type="dxa" w:w="60"/>
              <w:left w:type="dxa" w:w="100"/>
              <w:bottom w:type="dxa" w:w="60"/>
              <w:right w:type="dxa" w:w="100"/>
            </w:tcMar>
          </w:tcPr>
          <w:p>
            <w:r>
              <w:rPr>
                <w:b w:val="false"/>
                <w:bCs w:val="false"/>
              </w:rPr>
              <w:t xml:space="preserve">REC_CORR_BANK_ACC</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 REC.CORR.BANK.ACC, posted directly</w:t>
            </w:r>
          </w:p>
        </w:tc>
      </w:tr>
      <w:tr>
        <w:tc>
          <w:tcPr>
            <w:tcW w:type="dxa" w:w="418"/>
            <w:tcMar>
              <w:top w:type="dxa" w:w="60"/>
              <w:left w:type="dxa" w:w="100"/>
              <w:bottom w:type="dxa" w:w="60"/>
              <w:right w:type="dxa" w:w="100"/>
            </w:tcMar>
          </w:tcPr>
          <w:p>
            <w:r>
              <w:rPr>
                <w:b w:val="false"/>
                <w:bCs w:val="false"/>
              </w:rPr>
              <w:t xml:space="preserve">18</w:t>
            </w:r>
          </w:p>
        </w:tc>
        <w:tc>
          <w:tcPr>
            <w:tcW w:type="dxa" w:w="2006"/>
            <w:tcMar>
              <w:top w:type="dxa" w:w="60"/>
              <w:left w:type="dxa" w:w="100"/>
              <w:bottom w:type="dxa" w:w="60"/>
              <w:right w:type="dxa" w:w="100"/>
            </w:tcMar>
          </w:tcPr>
          <w:p>
            <w:r>
              <w:rPr>
                <w:b w:val="false"/>
                <w:bCs w:val="false"/>
              </w:rPr>
              <w:t xml:space="preserve">INTERMED_BANK</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 INTERMED.BANK:n (looped)</w:t>
            </w:r>
          </w:p>
        </w:tc>
      </w:tr>
      <w:tr>
        <w:tc>
          <w:tcPr>
            <w:tcW w:type="dxa" w:w="418"/>
            <w:tcMar>
              <w:top w:type="dxa" w:w="60"/>
              <w:left w:type="dxa" w:w="100"/>
              <w:bottom w:type="dxa" w:w="60"/>
              <w:right w:type="dxa" w:w="100"/>
            </w:tcMar>
          </w:tcPr>
          <w:p>
            <w:r>
              <w:rPr>
                <w:b w:val="false"/>
                <w:bCs w:val="false"/>
              </w:rPr>
              <w:t xml:space="preserve">19</w:t>
            </w:r>
          </w:p>
        </w:tc>
        <w:tc>
          <w:tcPr>
            <w:tcW w:type="dxa" w:w="2006"/>
            <w:tcMar>
              <w:top w:type="dxa" w:w="60"/>
              <w:left w:type="dxa" w:w="100"/>
              <w:bottom w:type="dxa" w:w="60"/>
              <w:right w:type="dxa" w:w="100"/>
            </w:tcMar>
          </w:tcPr>
          <w:p>
            <w:r>
              <w:rPr>
                <w:b w:val="false"/>
                <w:bCs w:val="false"/>
              </w:rPr>
              <w:t xml:space="preserve">INTERMED_BANK_ACCT</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 INTERMED.BANK.ACC, posted directly</w:t>
            </w:r>
          </w:p>
        </w:tc>
      </w:tr>
      <w:tr>
        <w:tc>
          <w:tcPr>
            <w:tcW w:type="dxa" w:w="418"/>
            <w:tcMar>
              <w:top w:type="dxa" w:w="60"/>
              <w:left w:type="dxa" w:w="100"/>
              <w:bottom w:type="dxa" w:w="60"/>
              <w:right w:type="dxa" w:w="100"/>
            </w:tcMar>
          </w:tcPr>
          <w:p>
            <w:r>
              <w:rPr>
                <w:b w:val="false"/>
                <w:bCs w:val="false"/>
              </w:rPr>
              <w:t xml:space="preserve">20</w:t>
            </w:r>
          </w:p>
        </w:tc>
        <w:tc>
          <w:tcPr>
            <w:tcW w:type="dxa" w:w="2006"/>
            <w:tcMar>
              <w:top w:type="dxa" w:w="60"/>
              <w:left w:type="dxa" w:w="100"/>
              <w:bottom w:type="dxa" w:w="60"/>
              <w:right w:type="dxa" w:w="100"/>
            </w:tcMar>
          </w:tcPr>
          <w:p>
            <w:r>
              <w:rPr>
                <w:b w:val="false"/>
                <w:bCs w:val="false"/>
              </w:rPr>
              <w:t xml:space="preserve">BNK_NME_57</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Posted directly as supplied — unlike Create Outward Transfer, this is NOT derived from a BIC code; the channel must supply the SWIFT tag-57 value itself</w:t>
            </w:r>
          </w:p>
        </w:tc>
      </w:tr>
      <w:tr>
        <w:tc>
          <w:tcPr>
            <w:tcW w:type="dxa" w:w="418"/>
            <w:tcMar>
              <w:top w:type="dxa" w:w="60"/>
              <w:left w:type="dxa" w:w="100"/>
              <w:bottom w:type="dxa" w:w="60"/>
              <w:right w:type="dxa" w:w="100"/>
            </w:tcMar>
          </w:tcPr>
          <w:p>
            <w:r>
              <w:rPr>
                <w:b w:val="false"/>
                <w:bCs w:val="false"/>
              </w:rPr>
              <w:t xml:space="preserve">21</w:t>
            </w:r>
          </w:p>
        </w:tc>
        <w:tc>
          <w:tcPr>
            <w:tcW w:type="dxa" w:w="2006"/>
            <w:tcMar>
              <w:top w:type="dxa" w:w="60"/>
              <w:left w:type="dxa" w:w="100"/>
              <w:bottom w:type="dxa" w:w="60"/>
              <w:right w:type="dxa" w:w="100"/>
            </w:tcMar>
          </w:tcPr>
          <w:p>
            <w:r>
              <w:rPr>
                <w:b w:val="false"/>
                <w:bCs w:val="false"/>
              </w:rPr>
              <w:t xml:space="preserve">ACCT_WITH_BANK_ACC</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Posted directly</w:t>
            </w:r>
          </w:p>
        </w:tc>
      </w:tr>
      <w:tr>
        <w:tc>
          <w:tcPr>
            <w:tcW w:type="dxa" w:w="418"/>
            <w:tcMar>
              <w:top w:type="dxa" w:w="60"/>
              <w:left w:type="dxa" w:w="100"/>
              <w:bottom w:type="dxa" w:w="60"/>
              <w:right w:type="dxa" w:w="100"/>
            </w:tcMar>
          </w:tcPr>
          <w:p>
            <w:r>
              <w:rPr>
                <w:b w:val="false"/>
                <w:bCs w:val="false"/>
              </w:rPr>
              <w:t xml:space="preserve">22</w:t>
            </w:r>
          </w:p>
        </w:tc>
        <w:tc>
          <w:tcPr>
            <w:tcW w:type="dxa" w:w="2006"/>
            <w:tcMar>
              <w:top w:type="dxa" w:w="60"/>
              <w:left w:type="dxa" w:w="100"/>
              <w:bottom w:type="dxa" w:w="60"/>
              <w:right w:type="dxa" w:w="100"/>
            </w:tcMar>
          </w:tcPr>
          <w:p>
            <w:r>
              <w:rPr>
                <w:b w:val="false"/>
                <w:bCs w:val="false"/>
              </w:rPr>
              <w:t xml:space="preserve">ACCT_WITH_BANK</w:t>
            </w:r>
          </w:p>
        </w:tc>
        <w:tc>
          <w:tcPr>
            <w:tcW w:type="dxa" w:w="1839"/>
            <w:tcMar>
              <w:top w:type="dxa" w:w="60"/>
              <w:left w:type="dxa" w:w="100"/>
              <w:bottom w:type="dxa" w:w="60"/>
              <w:right w:type="dxa" w:w="100"/>
            </w:tcMar>
          </w:tcPr>
          <w:p>
            <w:r>
              <w:rPr>
                <w:b w:val="false"/>
                <w:bCs w:val="false"/>
              </w:rPr>
              <w:t xml:space="preserve">A — posted, dual-use</w:t>
            </w:r>
          </w:p>
        </w:tc>
        <w:tc>
          <w:tcPr>
            <w:tcW w:type="dxa" w:w="5098"/>
            <w:tcMar>
              <w:top w:type="dxa" w:w="60"/>
              <w:left w:type="dxa" w:w="100"/>
              <w:bottom w:type="dxa" w:w="60"/>
              <w:right w:type="dxa" w:w="100"/>
            </w:tcMar>
          </w:tcPr>
          <w:p>
            <w:r>
              <w:rPr>
                <w:b w:val="false"/>
                <w:bCs w:val="false"/>
              </w:rPr>
              <w:t xml:space="preserve">→ ACCT.WITH.BANK:n (looped); the FIRST value is also inspected for a 'SW-' prefix as part of the PEG_FLAG/DE.CUST.NO rule (section 4.2)</w:t>
            </w:r>
          </w:p>
        </w:tc>
      </w:tr>
      <w:tr>
        <w:tc>
          <w:tcPr>
            <w:tcW w:type="dxa" w:w="418"/>
            <w:tcMar>
              <w:top w:type="dxa" w:w="60"/>
              <w:left w:type="dxa" w:w="100"/>
              <w:bottom w:type="dxa" w:w="60"/>
              <w:right w:type="dxa" w:w="100"/>
            </w:tcMar>
          </w:tcPr>
          <w:p>
            <w:r>
              <w:rPr>
                <w:b w:val="false"/>
                <w:bCs w:val="false"/>
              </w:rPr>
              <w:t xml:space="preserve">23</w:t>
            </w:r>
          </w:p>
        </w:tc>
        <w:tc>
          <w:tcPr>
            <w:tcW w:type="dxa" w:w="2006"/>
            <w:tcMar>
              <w:top w:type="dxa" w:w="60"/>
              <w:left w:type="dxa" w:w="100"/>
              <w:bottom w:type="dxa" w:w="60"/>
              <w:right w:type="dxa" w:w="100"/>
            </w:tcMar>
          </w:tcPr>
          <w:p>
            <w:r>
              <w:rPr>
                <w:b w:val="false"/>
                <w:bCs w:val="false"/>
              </w:rPr>
              <w:t xml:space="preserve">BEN_ACC</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 BEN.ACCT.NO — posted as a raw literal with NO IBAN validation/formatting logic at all, unlike both Create and Amend Outward Transfer</w:t>
            </w:r>
          </w:p>
        </w:tc>
      </w:tr>
      <w:tr>
        <w:tc>
          <w:tcPr>
            <w:tcW w:type="dxa" w:w="418"/>
            <w:tcMar>
              <w:top w:type="dxa" w:w="60"/>
              <w:left w:type="dxa" w:w="100"/>
              <w:bottom w:type="dxa" w:w="60"/>
              <w:right w:type="dxa" w:w="100"/>
            </w:tcMar>
          </w:tcPr>
          <w:p>
            <w:r>
              <w:rPr>
                <w:b w:val="false"/>
                <w:bCs w:val="false"/>
              </w:rPr>
              <w:t xml:space="preserve">24</w:t>
            </w:r>
          </w:p>
        </w:tc>
        <w:tc>
          <w:tcPr>
            <w:tcW w:type="dxa" w:w="2006"/>
            <w:tcMar>
              <w:top w:type="dxa" w:w="60"/>
              <w:left w:type="dxa" w:w="100"/>
              <w:bottom w:type="dxa" w:w="60"/>
              <w:right w:type="dxa" w:w="100"/>
            </w:tcMar>
          </w:tcPr>
          <w:p>
            <w:r>
              <w:rPr>
                <w:b w:val="false"/>
                <w:bCs w:val="false"/>
              </w:rPr>
              <w:t xml:space="preserve">BEN_BANK</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 BEN.BANK:n (looped)</w:t>
            </w:r>
          </w:p>
        </w:tc>
      </w:tr>
      <w:tr>
        <w:tc>
          <w:tcPr>
            <w:tcW w:type="dxa" w:w="418"/>
            <w:tcMar>
              <w:top w:type="dxa" w:w="60"/>
              <w:left w:type="dxa" w:w="100"/>
              <w:bottom w:type="dxa" w:w="60"/>
              <w:right w:type="dxa" w:w="100"/>
            </w:tcMar>
          </w:tcPr>
          <w:p>
            <w:r>
              <w:rPr>
                <w:b w:val="false"/>
                <w:bCs w:val="false"/>
              </w:rPr>
              <w:t xml:space="preserve">25</w:t>
            </w:r>
          </w:p>
        </w:tc>
        <w:tc>
          <w:tcPr>
            <w:tcW w:type="dxa" w:w="2006"/>
            <w:tcMar>
              <w:top w:type="dxa" w:w="60"/>
              <w:left w:type="dxa" w:w="100"/>
              <w:bottom w:type="dxa" w:w="60"/>
              <w:right w:type="dxa" w:w="100"/>
            </w:tcMar>
          </w:tcPr>
          <w:p>
            <w:r>
              <w:rPr>
                <w:b w:val="false"/>
                <w:bCs w:val="false"/>
              </w:rPr>
              <w:t xml:space="preserve">SEND_TO_PARTY</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 SEND.TO.PARTY:n (looped) — a field not seen in the customer-transfer routines</w:t>
            </w:r>
          </w:p>
        </w:tc>
      </w:tr>
      <w:tr>
        <w:tc>
          <w:tcPr>
            <w:tcW w:type="dxa" w:w="418"/>
            <w:tcMar>
              <w:top w:type="dxa" w:w="60"/>
              <w:left w:type="dxa" w:w="100"/>
              <w:bottom w:type="dxa" w:w="60"/>
              <w:right w:type="dxa" w:w="100"/>
            </w:tcMar>
          </w:tcPr>
          <w:p>
            <w:r>
              <w:rPr>
                <w:b w:val="false"/>
                <w:bCs w:val="false"/>
              </w:rPr>
              <w:t xml:space="preserve">26</w:t>
            </w:r>
          </w:p>
        </w:tc>
        <w:tc>
          <w:tcPr>
            <w:tcW w:type="dxa" w:w="2006"/>
            <w:tcMar>
              <w:top w:type="dxa" w:w="60"/>
              <w:left w:type="dxa" w:w="100"/>
              <w:bottom w:type="dxa" w:w="60"/>
              <w:right w:type="dxa" w:w="100"/>
            </w:tcMar>
          </w:tcPr>
          <w:p>
            <w:r>
              <w:rPr>
                <w:b w:val="false"/>
                <w:bCs w:val="false"/>
              </w:rPr>
              <w:t xml:space="preserve">BK_TO_BK_OUT</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 BK.TO.BK.OUT:1:n — always treated as sub-multivalued from the start in the Create path (fixed ':1:' prefix), a simpler mechanism than Outward Transfer's merge-against-existing-record approach</w:t>
            </w:r>
          </w:p>
        </w:tc>
      </w:tr>
      <w:tr>
        <w:tc>
          <w:tcPr>
            <w:tcW w:type="dxa" w:w="418"/>
            <w:tcMar>
              <w:top w:type="dxa" w:w="60"/>
              <w:left w:type="dxa" w:w="100"/>
              <w:bottom w:type="dxa" w:w="60"/>
              <w:right w:type="dxa" w:w="100"/>
            </w:tcMar>
          </w:tcPr>
          <w:p>
            <w:r>
              <w:rPr>
                <w:b w:val="false"/>
                <w:bCs w:val="false"/>
              </w:rPr>
              <w:t xml:space="preserve">27</w:t>
            </w:r>
          </w:p>
        </w:tc>
        <w:tc>
          <w:tcPr>
            <w:tcW w:type="dxa" w:w="2006"/>
            <w:tcMar>
              <w:top w:type="dxa" w:w="60"/>
              <w:left w:type="dxa" w:w="100"/>
              <w:bottom w:type="dxa" w:w="60"/>
              <w:right w:type="dxa" w:w="100"/>
            </w:tcMar>
          </w:tcPr>
          <w:p>
            <w:r>
              <w:rPr>
                <w:b w:val="false"/>
                <w:bCs w:val="false"/>
              </w:rPr>
              <w:t xml:space="preserve">CHARGES_ACCT_NO</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Posted directly, no BEN.OUR.CHARGES-driven clearing rule (this routine has no BEN.OUR.CHARGES field at all)</w:t>
            </w:r>
          </w:p>
        </w:tc>
      </w:tr>
      <w:tr>
        <w:tc>
          <w:tcPr>
            <w:tcW w:type="dxa" w:w="418"/>
            <w:tcMar>
              <w:top w:type="dxa" w:w="60"/>
              <w:left w:type="dxa" w:w="100"/>
              <w:bottom w:type="dxa" w:w="60"/>
              <w:right w:type="dxa" w:w="100"/>
            </w:tcMar>
          </w:tcPr>
          <w:p>
            <w:r>
              <w:rPr>
                <w:b w:val="false"/>
                <w:bCs w:val="false"/>
              </w:rPr>
              <w:t xml:space="preserve">28</w:t>
            </w:r>
          </w:p>
        </w:tc>
        <w:tc>
          <w:tcPr>
            <w:tcW w:type="dxa" w:w="2006"/>
            <w:tcMar>
              <w:top w:type="dxa" w:w="60"/>
              <w:left w:type="dxa" w:w="100"/>
              <w:bottom w:type="dxa" w:w="60"/>
              <w:right w:type="dxa" w:w="100"/>
            </w:tcMar>
          </w:tcPr>
          <w:p>
            <w:r>
              <w:rPr>
                <w:b w:val="false"/>
                <w:bCs w:val="false"/>
              </w:rPr>
              <w:t xml:space="preserve">COMMISSION_CODE</w:t>
            </w:r>
          </w:p>
        </w:tc>
        <w:tc>
          <w:tcPr>
            <w:tcW w:type="dxa" w:w="1839"/>
            <w:tcMar>
              <w:top w:type="dxa" w:w="60"/>
              <w:left w:type="dxa" w:w="100"/>
              <w:bottom w:type="dxa" w:w="60"/>
              <w:right w:type="dxa" w:w="100"/>
            </w:tcMar>
          </w:tcPr>
          <w:p>
            <w:r>
              <w:rPr>
                <w:b w:val="false"/>
                <w:bCs w:val="false"/>
              </w:rPr>
              <w:t xml:space="preserve">A — posted, no auto-default</w:t>
            </w:r>
          </w:p>
        </w:tc>
        <w:tc>
          <w:tcPr>
            <w:tcW w:type="dxa" w:w="5098"/>
            <w:tcMar>
              <w:top w:type="dxa" w:w="60"/>
              <w:left w:type="dxa" w:w="100"/>
              <w:bottom w:type="dxa" w:w="60"/>
              <w:right w:type="dxa" w:w="100"/>
            </w:tcMar>
          </w:tcPr>
          <w:p>
            <w:r>
              <w:rPr>
                <w:b w:val="false"/>
                <w:bCs w:val="false"/>
              </w:rPr>
              <w:t xml:space="preserve">Posted exactly as supplied — NONE of the OUR/BEN/SHA auto-default logic present in the customer-transfer routines exists here</w:t>
            </w:r>
          </w:p>
        </w:tc>
      </w:tr>
      <w:tr>
        <w:tc>
          <w:tcPr>
            <w:tcW w:type="dxa" w:w="418"/>
            <w:tcMar>
              <w:top w:type="dxa" w:w="60"/>
              <w:left w:type="dxa" w:w="100"/>
              <w:bottom w:type="dxa" w:w="60"/>
              <w:right w:type="dxa" w:w="100"/>
            </w:tcMar>
          </w:tcPr>
          <w:p>
            <w:r>
              <w:rPr>
                <w:b w:val="false"/>
                <w:bCs w:val="false"/>
              </w:rPr>
              <w:t xml:space="preserve">29</w:t>
            </w:r>
          </w:p>
        </w:tc>
        <w:tc>
          <w:tcPr>
            <w:tcW w:type="dxa" w:w="2006"/>
            <w:tcMar>
              <w:top w:type="dxa" w:w="60"/>
              <w:left w:type="dxa" w:w="100"/>
              <w:bottom w:type="dxa" w:w="60"/>
              <w:right w:type="dxa" w:w="100"/>
            </w:tcMar>
          </w:tcPr>
          <w:p>
            <w:r>
              <w:rPr>
                <w:b w:val="false"/>
                <w:bCs w:val="false"/>
              </w:rPr>
              <w:t xml:space="preserve">COMMISSION_TYPE</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 COMMISSION.TYPE:n, looped via a manual FOR loop (Create path) — same older style as the original Create Outward Transfer, not the newer FILL.MULTI mechanism</w:t>
            </w:r>
          </w:p>
        </w:tc>
      </w:tr>
      <w:tr>
        <w:tc>
          <w:tcPr>
            <w:tcW w:type="dxa" w:w="418"/>
            <w:tcMar>
              <w:top w:type="dxa" w:w="60"/>
              <w:left w:type="dxa" w:w="100"/>
              <w:bottom w:type="dxa" w:w="60"/>
              <w:right w:type="dxa" w:w="100"/>
            </w:tcMar>
          </w:tcPr>
          <w:p>
            <w:r>
              <w:rPr>
                <w:b w:val="false"/>
                <w:bCs w:val="false"/>
              </w:rPr>
              <w:t xml:space="preserve">30</w:t>
            </w:r>
          </w:p>
        </w:tc>
        <w:tc>
          <w:tcPr>
            <w:tcW w:type="dxa" w:w="2006"/>
            <w:tcMar>
              <w:top w:type="dxa" w:w="60"/>
              <w:left w:type="dxa" w:w="100"/>
              <w:bottom w:type="dxa" w:w="60"/>
              <w:right w:type="dxa" w:w="100"/>
            </w:tcMar>
          </w:tcPr>
          <w:p>
            <w:r>
              <w:rPr>
                <w:b w:val="false"/>
                <w:bCs w:val="false"/>
              </w:rPr>
              <w:t xml:space="preserve">COMMISSION_AMT</w:t>
            </w:r>
          </w:p>
        </w:tc>
        <w:tc>
          <w:tcPr>
            <w:tcW w:type="dxa" w:w="1839"/>
            <w:tcMar>
              <w:top w:type="dxa" w:w="60"/>
              <w:left w:type="dxa" w:w="100"/>
              <w:bottom w:type="dxa" w:w="60"/>
              <w:right w:type="dxa" w:w="100"/>
            </w:tcMar>
          </w:tcPr>
          <w:p>
            <w:r>
              <w:rPr>
                <w:b w:val="false"/>
                <w:bCs w:val="false"/>
              </w:rPr>
              <w:t xml:space="preserve">A — posted</w:t>
            </w:r>
          </w:p>
        </w:tc>
        <w:tc>
          <w:tcPr>
            <w:tcW w:type="dxa" w:w="5098"/>
            <w:tcMar>
              <w:top w:type="dxa" w:w="60"/>
              <w:left w:type="dxa" w:w="100"/>
              <w:bottom w:type="dxa" w:w="60"/>
              <w:right w:type="dxa" w:w="100"/>
            </w:tcMar>
          </w:tcPr>
          <w:p>
            <w:r>
              <w:rPr>
                <w:b w:val="false"/>
                <w:bCs w:val="false"/>
              </w:rPr>
              <w:t xml:space="preserve">→ COMMISSION.AMT:n, looped together with COMMISSION.TYPE in the same FOR loop</w:t>
            </w:r>
          </w:p>
        </w:tc>
      </w:tr>
      <w:tr>
        <w:tc>
          <w:tcPr>
            <w:tcW w:type="dxa" w:w="418"/>
            <w:tcMar>
              <w:top w:type="dxa" w:w="60"/>
              <w:left w:type="dxa" w:w="100"/>
              <w:bottom w:type="dxa" w:w="60"/>
              <w:right w:type="dxa" w:w="100"/>
            </w:tcMar>
          </w:tcPr>
          <w:p>
            <w:r>
              <w:rPr>
                <w:b w:val="false"/>
                <w:bCs w:val="false"/>
              </w:rPr>
              <w:t xml:space="preserve">31</w:t>
            </w:r>
          </w:p>
        </w:tc>
        <w:tc>
          <w:tcPr>
            <w:tcW w:type="dxa" w:w="2006"/>
            <w:tcMar>
              <w:top w:type="dxa" w:w="60"/>
              <w:left w:type="dxa" w:w="100"/>
              <w:bottom w:type="dxa" w:w="60"/>
              <w:right w:type="dxa" w:w="100"/>
            </w:tcMar>
          </w:tcPr>
          <w:p>
            <w:r>
              <w:rPr>
                <w:b w:val="false"/>
                <w:bCs w:val="false"/>
              </w:rPr>
              <w:t xml:space="preserve">PEG_FLAG</w:t>
            </w:r>
          </w:p>
        </w:tc>
        <w:tc>
          <w:tcPr>
            <w:tcW w:type="dxa" w:w="1839"/>
            <w:tcMar>
              <w:top w:type="dxa" w:w="60"/>
              <w:left w:type="dxa" w:w="100"/>
              <w:bottom w:type="dxa" w:w="60"/>
              <w:right w:type="dxa" w:w="100"/>
            </w:tcMar>
          </w:tcPr>
          <w:p>
            <w:r>
              <w:rPr>
                <w:b w:val="false"/>
                <w:bCs w:val="false"/>
              </w:rPr>
              <w:t xml:space="preserve">C — control-flow only</w:t>
            </w:r>
          </w:p>
        </w:tc>
        <w:tc>
          <w:tcPr>
            <w:tcW w:type="dxa" w:w="5098"/>
            <w:tcMar>
              <w:top w:type="dxa" w:w="60"/>
              <w:left w:type="dxa" w:w="100"/>
              <w:bottom w:type="dxa" w:w="60"/>
              <w:right w:type="dxa" w:w="100"/>
            </w:tcMar>
          </w:tcPr>
          <w:p>
            <w:r>
              <w:rPr>
                <w:b w:val="false"/>
                <w:bCs w:val="false"/>
              </w:rPr>
              <w:t xml:space="preserve">Never posted directly — gates the DE.CUST.NO derivation rule (section 4.2)</w:t>
            </w:r>
          </w:p>
        </w:tc>
      </w:tr>
      <w:tr>
        <w:tc>
          <w:tcPr>
            <w:tcW w:type="dxa" w:w="418"/>
            <w:tcMar>
              <w:top w:type="dxa" w:w="60"/>
              <w:left w:type="dxa" w:w="100"/>
              <w:bottom w:type="dxa" w:w="60"/>
              <w:right w:type="dxa" w:w="100"/>
            </w:tcMar>
          </w:tcPr>
          <w:p>
            <w:r>
              <w:rPr>
                <w:b w:val="false"/>
                <w:bCs w:val="false"/>
              </w:rPr>
              <w:t xml:space="preserve">32</w:t>
            </w:r>
          </w:p>
        </w:tc>
        <w:tc>
          <w:tcPr>
            <w:tcW w:type="dxa" w:w="2006"/>
            <w:tcMar>
              <w:top w:type="dxa" w:w="60"/>
              <w:left w:type="dxa" w:w="100"/>
              <w:bottom w:type="dxa" w:w="60"/>
              <w:right w:type="dxa" w:w="100"/>
            </w:tcMar>
          </w:tcPr>
          <w:p>
            <w:r>
              <w:rPr>
                <w:b w:val="false"/>
                <w:bCs w:val="false"/>
              </w:rPr>
              <w:t xml:space="preserve">OD_TYPE</w:t>
            </w:r>
          </w:p>
        </w:tc>
        <w:tc>
          <w:tcPr>
            <w:tcW w:type="dxa" w:w="1839"/>
            <w:tcMar>
              <w:top w:type="dxa" w:w="60"/>
              <w:left w:type="dxa" w:w="100"/>
              <w:bottom w:type="dxa" w:w="60"/>
              <w:right w:type="dxa" w:w="100"/>
            </w:tcMar>
          </w:tcPr>
          <w:p>
            <w:r>
              <w:rPr>
                <w:b w:val="false"/>
                <w:bCs w:val="false"/>
              </w:rPr>
              <w:t xml:space="preserve">C — control-flow only</w:t>
            </w:r>
          </w:p>
        </w:tc>
        <w:tc>
          <w:tcPr>
            <w:tcW w:type="dxa" w:w="5098"/>
            <w:tcMar>
              <w:top w:type="dxa" w:w="60"/>
              <w:left w:type="dxa" w:w="100"/>
              <w:bottom w:type="dxa" w:w="60"/>
              <w:right w:type="dxa" w:w="100"/>
            </w:tcMar>
          </w:tcPr>
          <w:p>
            <w:r>
              <w:rPr>
                <w:b w:val="false"/>
                <w:bCs w:val="false"/>
              </w:rPr>
              <w:t xml:space="preserve">Gates the balance check (AVAL.BALANCE &gt;= TRG_AMT OR OD_TYPE='Y') — never posted</w:t>
            </w:r>
          </w:p>
        </w:tc>
      </w:tr>
      <w:tr>
        <w:tc>
          <w:tcPr>
            <w:tcW w:type="dxa" w:w="418"/>
            <w:tcMar>
              <w:top w:type="dxa" w:w="60"/>
              <w:left w:type="dxa" w:w="100"/>
              <w:bottom w:type="dxa" w:w="60"/>
              <w:right w:type="dxa" w:w="100"/>
            </w:tcMar>
          </w:tcPr>
          <w:p>
            <w:r>
              <w:rPr>
                <w:b w:val="false"/>
                <w:bCs w:val="false"/>
              </w:rPr>
              <w:t xml:space="preserve">33</w:t>
            </w:r>
          </w:p>
        </w:tc>
        <w:tc>
          <w:tcPr>
            <w:tcW w:type="dxa" w:w="2006"/>
            <w:tcMar>
              <w:top w:type="dxa" w:w="60"/>
              <w:left w:type="dxa" w:w="100"/>
              <w:bottom w:type="dxa" w:w="60"/>
              <w:right w:type="dxa" w:w="100"/>
            </w:tcMar>
          </w:tcPr>
          <w:p>
            <w:r>
              <w:rPr>
                <w:b w:val="false"/>
                <w:bCs w:val="false"/>
              </w:rPr>
              <w:t xml:space="preserve">GTS_CONTROL</w:t>
            </w:r>
          </w:p>
        </w:tc>
        <w:tc>
          <w:tcPr>
            <w:tcW w:type="dxa" w:w="1839"/>
            <w:tcMar>
              <w:top w:type="dxa" w:w="60"/>
              <w:left w:type="dxa" w:w="100"/>
              <w:bottom w:type="dxa" w:w="60"/>
              <w:right w:type="dxa" w:w="100"/>
            </w:tcMar>
          </w:tcPr>
          <w:p>
            <w:r>
              <w:rPr>
                <w:b w:val="false"/>
                <w:bCs w:val="false"/>
              </w:rPr>
              <w:t xml:space="preserve">B — header only</w:t>
            </w:r>
          </w:p>
        </w:tc>
        <w:tc>
          <w:tcPr>
            <w:tcW w:type="dxa" w:w="5098"/>
            <w:tcMar>
              <w:top w:type="dxa" w:w="60"/>
              <w:left w:type="dxa" w:w="100"/>
              <w:bottom w:type="dxa" w:w="60"/>
              <w:right w:type="dxa" w:w="100"/>
            </w:tcMar>
          </w:tcPr>
          <w:p>
            <w:r>
              <w:rPr>
                <w:b w:val="false"/>
                <w:bCs w:val="false"/>
              </w:rPr>
              <w:t xml:space="preserve">Used in the OFS header/routing segment</w:t>
            </w:r>
          </w:p>
        </w:tc>
      </w:tr>
      <w:tr>
        <w:tc>
          <w:tcPr>
            <w:tcW w:type="dxa" w:w="418"/>
            <w:tcMar>
              <w:top w:type="dxa" w:w="60"/>
              <w:left w:type="dxa" w:w="100"/>
              <w:bottom w:type="dxa" w:w="60"/>
              <w:right w:type="dxa" w:w="100"/>
            </w:tcMar>
          </w:tcPr>
          <w:p>
            <w:r>
              <w:rPr>
                <w:b w:val="false"/>
                <w:bCs w:val="false"/>
              </w:rPr>
              <w:t xml:space="preserve">34</w:t>
            </w:r>
          </w:p>
        </w:tc>
        <w:tc>
          <w:tcPr>
            <w:tcW w:type="dxa" w:w="2006"/>
            <w:tcMar>
              <w:top w:type="dxa" w:w="60"/>
              <w:left w:type="dxa" w:w="100"/>
              <w:bottom w:type="dxa" w:w="60"/>
              <w:right w:type="dxa" w:w="100"/>
            </w:tcMar>
          </w:tcPr>
          <w:p>
            <w:r>
              <w:rPr>
                <w:b w:val="false"/>
                <w:bCs w:val="false"/>
              </w:rPr>
              <w:t xml:space="preserve">AUTH_FLAG</w:t>
            </w:r>
          </w:p>
        </w:tc>
        <w:tc>
          <w:tcPr>
            <w:tcW w:type="dxa" w:w="1839"/>
            <w:tcMar>
              <w:top w:type="dxa" w:w="60"/>
              <w:left w:type="dxa" w:w="100"/>
              <w:bottom w:type="dxa" w:w="60"/>
              <w:right w:type="dxa" w:w="100"/>
            </w:tcMar>
          </w:tcPr>
          <w:p>
            <w:r>
              <w:rPr>
                <w:b w:val="false"/>
                <w:bCs w:val="false"/>
              </w:rPr>
              <w:t xml:space="preserve">B — header only</w:t>
            </w:r>
          </w:p>
        </w:tc>
        <w:tc>
          <w:tcPr>
            <w:tcW w:type="dxa" w:w="5098"/>
            <w:tcMar>
              <w:top w:type="dxa" w:w="60"/>
              <w:left w:type="dxa" w:w="100"/>
              <w:bottom w:type="dxa" w:w="60"/>
              <w:right w:type="dxa" w:w="100"/>
            </w:tcMar>
          </w:tcPr>
          <w:p>
            <w:r>
              <w:rPr>
                <w:b w:val="false"/>
                <w:bCs w:val="false"/>
              </w:rPr>
              <w:t xml:space="preserve">Used in the OFS header/routing segment</w:t>
            </w:r>
          </w:p>
        </w:tc>
      </w:tr>
      <w:tr>
        <w:tc>
          <w:tcPr>
            <w:tcW w:type="dxa" w:w="418"/>
            <w:shd w:fill="FDEAEA" w:val="clear"/>
            <w:tcMar>
              <w:top w:type="dxa" w:w="60"/>
              <w:left w:type="dxa" w:w="100"/>
              <w:bottom w:type="dxa" w:w="60"/>
              <w:right w:type="dxa" w:w="100"/>
            </w:tcMar>
          </w:tcPr>
          <w:p>
            <w:r>
              <w:rPr>
                <w:b w:val="false"/>
                <w:bCs w:val="false"/>
              </w:rPr>
              <w:t xml:space="preserve">35</w:t>
            </w:r>
          </w:p>
        </w:tc>
        <w:tc>
          <w:tcPr>
            <w:tcW w:type="dxa" w:w="2006"/>
            <w:shd w:fill="FDEAEA" w:val="clear"/>
            <w:tcMar>
              <w:top w:type="dxa" w:w="60"/>
              <w:left w:type="dxa" w:w="100"/>
              <w:bottom w:type="dxa" w:w="60"/>
              <w:right w:type="dxa" w:w="100"/>
            </w:tcMar>
          </w:tcPr>
          <w:p>
            <w:r>
              <w:rPr>
                <w:b w:val="false"/>
                <w:bCs w:val="false"/>
              </w:rPr>
              <w:t xml:space="preserve">FUNCTION_ID</w:t>
            </w:r>
          </w:p>
        </w:tc>
        <w:tc>
          <w:tcPr>
            <w:tcW w:type="dxa" w:w="1839"/>
            <w:shd w:fill="FDEAEA" w:val="clear"/>
            <w:tcMar>
              <w:top w:type="dxa" w:w="60"/>
              <w:left w:type="dxa" w:w="100"/>
              <w:bottom w:type="dxa" w:w="60"/>
              <w:right w:type="dxa" w:w="100"/>
            </w:tcMar>
          </w:tcPr>
          <w:p>
            <w:r>
              <w:rPr>
                <w:b w:val="false"/>
                <w:bCs w:val="false"/>
              </w:rPr>
              <w:t xml:space="preserve">CRITICAL — see Finding #1</w:t>
            </w:r>
          </w:p>
        </w:tc>
        <w:tc>
          <w:tcPr>
            <w:tcW w:type="dxa" w:w="5098"/>
            <w:shd w:fill="FDEAEA" w:val="clear"/>
            <w:tcMar>
              <w:top w:type="dxa" w:w="60"/>
              <w:left w:type="dxa" w:w="100"/>
              <w:bottom w:type="dxa" w:w="60"/>
              <w:right w:type="dxa" w:w="100"/>
            </w:tcMar>
          </w:tcPr>
          <w:p>
            <w:r>
              <w:rPr>
                <w:b w:val="false"/>
                <w:bCs w:val="false"/>
              </w:rPr>
              <w:t xml:space="preserve">Parsed from input into a variable named FUNCTION_ID (underscore), but every single piece of dispatch/mode logic in this routine tests FUNCTION.ID (dot) instead — a variable that is never populated from this input at all</w:t>
            </w:r>
          </w:p>
        </w:tc>
      </w:tr>
    </w:tbl>
    <w:p>
      <w:pPr>
        <w:pStyle w:val="Heading1"/>
        <w:pBdr>
          <w:bottom w:val="single" w:color="2E5395" w:sz="6" w:space="4"/>
        </w:pBdr>
        <w:spacing w:after="150" w:before="300"/>
      </w:pPr>
      <w:r>
        <w:t xml:space="preserve">4. Validations &amp; Business Rules</w:t>
      </w:r>
    </w:p>
    <w:p>
      <w:pPr>
        <w:pStyle w:val="Heading2"/>
        <w:spacing w:after="120" w:before="260"/>
      </w:pPr>
      <w:r>
        <w:t xml:space="preserve">4.1 Available Balance Check (Two-Sided Amounts, Refined by Real Sample — see §13)</w:t>
      </w:r>
    </w:p>
    <w:p>
      <w:pPr>
        <w:pStyle w:val="ListParagraph"/>
        <w:numPr>
          <w:ilvl w:val="0"/>
          <w:numId w:val="1"/>
        </w:numPr>
        <w:spacing w:after="60"/>
      </w:pPr>
      <w:r>
        <w:t xml:space="preserve">Computes available balance via GET.NET.AVL.BL for the debit/nostro account, same mechanism as the customer-transfer routines.</w:t>
      </w:r>
    </w:p>
    <w:p>
      <w:pPr>
        <w:pStyle w:val="ListParagraph"/>
        <w:numPr>
          <w:ilvl w:val="0"/>
          <w:numId w:val="1"/>
        </w:numPr>
        <w:spacing w:after="60"/>
      </w:pPr>
      <w:r>
        <w:t xml:space="preserve">This routine posts BOTH DEBIT.AMOUNT/DEBIT.CURRENCY and CREDIT.AMOUNT/CREDIT.CURRENCY fields from the input — but a real captured sample (§13) shows the caller can leave DEBIT_CURRENCY and DEBIT_AMOUNT blank, and T24 will auto-derive both from the credit side when no FX conversion is needed (same currency, mirrored amount). This refines the original assumption that the caller must always supply both legs explicitly — in practice, blank debit fields are a supported, working pattern, at least for same-currency transfers.</w:t>
      </w:r>
    </w:p>
    <w:p>
      <w:pPr>
        <w:pStyle w:val="ListParagraph"/>
        <w:numPr>
          <w:ilvl w:val="0"/>
          <w:numId w:val="1"/>
        </w:numPr>
        <w:spacing w:after="60"/>
      </w:pPr>
      <w:r>
        <w:t xml:space="preserve">Proceeds only if available balance covers TRG_AMT, or OD_TYPE='Y' (wire tag name confirmed as OD_FLAG in the real sample — see §13.1); otherwise returns 0006 with an insufficient-balance message.</w:t>
      </w:r>
    </w:p>
    <w:p>
      <w:pPr>
        <w:pStyle w:val="Heading2"/>
        <w:spacing w:after="120" w:before="260"/>
      </w:pPr>
      <w:r>
        <w:t xml:space="preserve">4.2 DE Customer Number Derivation (PEG_FLAG Rule) — Unique to This Service</w:t>
      </w:r>
    </w:p>
    <w:p>
      <w:pPr>
        <w:pStyle w:val="ListParagraph"/>
        <w:numPr>
          <w:ilvl w:val="0"/>
          <w:numId w:val="1"/>
        </w:numPr>
        <w:spacing w:after="60"/>
      </w:pPr>
      <w:r>
        <w:t xml:space="preserve">If PEG_FLAG = '1', AND the target (credit) currency equals local currency (EGP), AND the first value supplied in ACCT_WITH_BANK starts with the literal prefix 'SW-', the routine extracts characters 4 through 16 of that value as a SWIFT-style account-with-bank code, then calls the custom routine CIB.GET.DE.CUST.NO to resolve a 'DE customer number', which is then posted into the OFS record as DE.CUST.NO.</w:t>
      </w:r>
    </w:p>
    <w:p>
      <w:pPr>
        <w:pStyle w:val="ListParagraph"/>
        <w:numPr>
          <w:ilvl w:val="0"/>
          <w:numId w:val="1"/>
        </w:numPr>
        <w:spacing w:after="60"/>
      </w:pPr>
      <w:r>
        <w:t xml:space="preserve">In the Amend path specifically, if any part of this condition is NOT met, the routine explicitly posts the literal 'NULL' for DE.CUST.NO instead of omitting the field — consistent with the general pattern that amendments must actively clear stale values.</w:t>
      </w:r>
    </w:p>
    <w:p>
      <w:pPr>
        <w:spacing w:after="120"/>
      </w:pPr>
      <w:r>
        <w:rPr>
          <w:color w:val="C00000"/>
        </w:rPr>
        <w:t xml:space="preserve">This rule (and the meaning of 'PEG' and 'DE customer number') is not self-explanatory from the code alone and needs a plain-language explanation from the business/treasury team before it can be confidently reproduced.</w:t>
      </w:r>
    </w:p>
    <w:p>
      <w:pPr>
        <w:pStyle w:val="Heading2"/>
        <w:spacing w:after="120" w:before="260"/>
      </w:pPr>
      <w:r>
        <w:t xml:space="preserve">4.3 No Commission Code Auto-Default, No IBAN Validation</w:t>
      </w:r>
    </w:p>
    <w:p>
      <w:pPr>
        <w:pStyle w:val="ListParagraph"/>
        <w:numPr>
          <w:ilvl w:val="0"/>
          <w:numId w:val="1"/>
        </w:numPr>
        <w:spacing w:after="60"/>
      </w:pPr>
      <w:r>
        <w:t xml:space="preserve">Unlike every customer-transfer routine reviewed so far, COMMISSION.CODE is posted exactly as supplied with no OUR/BEN/SHA-driven default logic — there is no BEN.OUR.CHARGES field in this service's input contract at all.</w:t>
      </w:r>
    </w:p>
    <w:p>
      <w:pPr>
        <w:pStyle w:val="ListParagraph"/>
        <w:numPr>
          <w:ilvl w:val="0"/>
          <w:numId w:val="1"/>
        </w:numPr>
        <w:spacing w:after="60"/>
      </w:pPr>
      <w:r>
        <w:t xml:space="preserve">BEN.ACCT.NO (from BEN_ACC) is posted as a raw literal with no IBAN-format validation or IBAN.BEN/BEN.ACCT.NO branching — a simplification consistent with this being an interbank rather than retail-beneficiary service, but worth confirming is intentional.</w:t>
      </w:r>
    </w:p>
    <w:p>
      <w:pPr>
        <w:pStyle w:val="Heading2"/>
        <w:spacing w:after="120" w:before="260"/>
      </w:pPr>
      <w:r>
        <w:t xml:space="preserve">4.4 Hardcoded Branch Code</w:t>
      </w:r>
    </w:p>
    <w:p>
      <w:pPr>
        <w:pStyle w:val="ListParagraph"/>
        <w:numPr>
          <w:ilvl w:val="0"/>
          <w:numId w:val="1"/>
        </w:numPr>
        <w:spacing w:after="60"/>
      </w:pPr>
      <w:r>
        <w:t xml:space="preserve">BRANCH.CODE is not an input field in this routine at all — it is hardcoded to the literal string '085' in SAVE.MSG, meaning every Nostro transfer processed through this service is booked under branch 085 regardless of the initiating channel or caller.</w:t>
      </w:r>
    </w:p>
    <w:p>
      <w:pPr>
        <w:spacing w:after="120"/>
      </w:pPr>
      <w:r>
        <w:rPr>
          <w:color w:val="C00000"/>
        </w:rPr>
        <w:t xml:space="preserve">Confirm whether this is an intentional design decision (e.g. all treasury/Nostro activity is centrally booked under one branch) or an oversight that should become a proper configurable input in the TPH/IRIS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4"/>
              <w:bottom w:val="single" w:color="C00000" w:sz="4"/>
              <w:right w:val="single" w:color="C00000" w:sz="4"/>
            </w:tcBorders>
            <w:shd w:fill="FDEAEA" w:val="clear"/>
            <w:tcMar>
              <w:top w:type="dxa" w:w="150"/>
              <w:left w:type="dxa" w:w="180"/>
              <w:bottom w:type="dxa" w:w="150"/>
              <w:right w:type="dxa" w:w="180"/>
            </w:tcMar>
          </w:tcPr>
          <w:p>
            <w:pPr>
              <w:spacing w:after="100"/>
            </w:pPr>
            <w:r>
              <w:rPr>
                <w:b/>
                <w:bCs/>
                <w:color w:val="C00000"/>
                <w:sz w:val="24"/>
                <w:szCs w:val="24"/>
              </w:rPr>
              <w:t xml:space="preserve">CRITICAL FINDING #2 — Dead Success-Fallback Logic in Amend Path (NOTAUTHCOUNT LT 0 Should Be GT 0)</w:t>
            </w:r>
          </w:p>
          <w:p>
            <w:pPr>
              <w:spacing w:after="80"/>
            </w:pPr>
            <w:r>
              <w:rPr>
                <w:color w:val="444444"/>
              </w:rPr>
              <w:t xml:space="preserve">In FT.AMEND.PROCESS's response-handling logic, when the OFS post does not return an immediate success (VAL not equal to '1'), the routine checks whether the OFS response text contains the phrase 'NOT AUTH. RECORD NOT CHANGED' — a T24 condition meaning the record was already authorized and no change was actually needed, which the OTHER routines (Create/Simulate Outward Transfer) correctly treat as a success case.</w:t>
            </w:r>
          </w:p>
          <w:p>
            <w:pPr>
              <w:spacing w:after="80"/>
            </w:pPr>
            <w:r>
              <w:rPr>
                <w:color w:val="444444"/>
              </w:rPr>
              <w:t xml:space="preserve">Here, the check is written as 'IF NOTAUTHCOUNT LT 0 THEN' — but NOTAUTHCOUNT comes from COUNT(), which counts substring occurrences and can never return a negative number. The condition 'less than 0' can therefore never be true. This looks like a straightforward typo — GT (greater than) was almost certainly intended, matching the working pattern in the other routines — but as written, this fallback is completely dead code.</w:t>
            </w:r>
          </w:p>
          <w:p>
            <w:pPr>
              <w:spacing w:after="80"/>
            </w:pPr>
            <w:r>
              <w:rPr>
                <w:color w:val="444444"/>
              </w:rPr>
              <w:t xml:space="preserve">The practical effect: a Nostro amendment that T24 reports as 'already authorized, nothing changed' will incorrectly come back as a 0006 failure from this routine, rather than the 0000 success that the equivalent situation produces in Create/Simulate Outward Transfer.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4"/>
              <w:bottom w:val="single" w:color="C00000" w:sz="4"/>
              <w:right w:val="single" w:color="C00000" w:sz="4"/>
            </w:tcBorders>
            <w:shd w:fill="FDEAEA" w:val="clear"/>
            <w:tcMar>
              <w:top w:type="dxa" w:w="150"/>
              <w:left w:type="dxa" w:w="180"/>
              <w:bottom w:type="dxa" w:w="150"/>
              <w:right w:type="dxa" w:w="180"/>
            </w:tcMar>
          </w:tcPr>
          <w:p>
            <w:pPr>
              <w:spacing w:after="100"/>
            </w:pPr>
            <w:r>
              <w:rPr>
                <w:b/>
                <w:bCs/>
                <w:color w:val="C00000"/>
                <w:sz w:val="24"/>
                <w:szCs w:val="24"/>
              </w:rPr>
              <w:t xml:space="preserve">CRITICAL FINDING #3 — Same Unrestored-Globals Defect as Document 04, Found Independently Here</w:t>
            </w:r>
          </w:p>
          <w:p>
            <w:pPr>
              <w:spacing w:after="80"/>
            </w:pPr>
            <w:r>
              <w:rPr>
                <w:color w:val="444444"/>
              </w:rPr>
              <w:t xml:space="preserve">This routine's own UPDATE.DE.PREVIEW (called from FT.AMEND.PROCESS after a successful amendment) follows the identical pattern found independently in Authorise FT (Document 04, Critical Finding #2): it saves the current MESSAGE and ID.NEW global variables into SAVE.MESSAGE / SAVE.ID.NEW, overwrites them (MESSAGE='PREVIEW', ID.NEW=FT.ID) to call FT.DELIVERY, and never restores the originals afterward.</w:t>
            </w:r>
          </w:p>
          <w:p>
            <w:pPr>
              <w:spacing w:after="80"/>
            </w:pPr>
            <w:r>
              <w:rPr>
                <w:color w:val="444444"/>
              </w:rPr>
              <w:t xml:space="preserve">This routine's version is slightly more careful than Document 04's in one respect — it additionally checks that the target record's status is 'INAU' (in authorization) before firing the preview — but the missing restoration of MESSAGE/ID.NEW is the exact same defect, occurring independently in a second, separate routine.</w:t>
            </w:r>
          </w:p>
          <w:p>
            <w:pPr>
              <w:spacing w:after="80"/>
            </w:pPr>
            <w:r>
              <w:rPr>
                <w:color w:val="444444"/>
              </w:rPr>
              <w:t xml:space="preserve">Finding this same specific bug pattern in two unrelated routines strengthens the case that it's a genuine, systemic gap (likely propagated by copy-paste between routines) rather than a one-off — worth raising as a general code-quality item with the T24 team, not just a per-routine fix.</w:t>
            </w:r>
          </w:p>
        </w:tc>
      </w:tr>
    </w:tbl>
    <w:p>
      <w:pPr>
        <w:pStyle w:val="Heading1"/>
        <w:pBdr>
          <w:bottom w:val="single" w:color="2E5395" w:sz="6" w:space="4"/>
        </w:pBdr>
        <w:spacing w:after="150" w:before="300"/>
      </w:pPr>
      <w:r>
        <w:t xml:space="preserve">5. Cross-Service Connections</w:t>
      </w:r>
    </w:p>
    <w:p>
      <w:pPr>
        <w:pStyle w:val="ListParagraph"/>
        <w:numPr>
          <w:ilvl w:val="0"/>
          <w:numId w:val="1"/>
        </w:numPr>
        <w:spacing w:after="60"/>
      </w:pPr>
      <w:r>
        <w:t xml:space="preserve">This service hardcodes its transaction type to OT22 (in SAVE.MSG, when first registering the record in CIB.API.FT). Authorise FT (Document 04) has a dedicated branch that specifically checks for TRANSACTION.TYPE = 'OT22' to decide whether to regenerate a delivery preview — this confirms OT22 is specifically Nostro-transfer transactions, and that BOTH this routine's own Amend path (Finding #3) and the separate Authorise FT routine independently attempt the same preview-regeneration step, with the same underlying defect, for the same transaction type.</w:t>
      </w:r>
    </w:p>
    <w:p>
      <w:pPr>
        <w:pStyle w:val="ListParagraph"/>
        <w:numPr>
          <w:ilvl w:val="0"/>
          <w:numId w:val="1"/>
        </w:numPr>
        <w:spacing w:after="60"/>
      </w:pPr>
      <w:r>
        <w:t xml:space="preserve">Both this service and Create Outward Transfer (Document 01) write into the same FBNK.CIB.API.FT audit table, keyed by MSG.ID. This means Authorise FT (Document 04) can resolve either service's transfers via the identical 'if FT.ID doesn't start with FT, look it up as a MSG.ID' mechanism — the audit table, and the authorization step, are shared infrastructure across the whole Outward Transfer / Nostro Transfer family, not service-specific.</w:t>
      </w:r>
    </w:p>
    <w:p>
      <w:pPr>
        <w:spacing w:after="120"/>
      </w:pPr>
      <w:r>
        <w:rPr>
          <w:i/>
          <w:iCs/>
        </w:rPr>
        <w:t xml:space="preserve">For the TPH/IRIS design, this argues for a shared 'transfer audit/idempotency' component and a shared 'authorize' capability across both transfer families, rather than duplicating that infrastructure per service — matching how the current T24 implementation already shares it.</w:t>
      </w:r>
    </w:p>
    <w:p>
      <w:pPr>
        <w:pStyle w:val="Heading1"/>
        <w:pBdr>
          <w:bottom w:val="single" w:color="2E5395" w:sz="6" w:space="4"/>
        </w:pBdr>
        <w:spacing w:after="150" w:before="300"/>
      </w:pPr>
      <w:r>
        <w:t xml:space="preserve">6. Response Contract</w:t>
      </w:r>
    </w:p>
    <w:p>
      <w:pPr>
        <w:spacing w:after="120"/>
      </w:pPr>
      <w:r>
        <w:t xml:space="preserve">Format: HEADER.ID|STATUS|FT.ID|OVERRIDE|OFSRECORD| — note the field order (OVERRIDE before OFSRECORD, and no PAID.AMOUNT segment at all) is DIFFERENT from every other routine reviewed. Create/Amend Outward Transfer use STATUS|FT.ID|OFSRECORD|PAID.AMOUNT|OVERRIDE — a migration approach that assumes one shared response-parsing template across all 'transfer' services would break on this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2E5395" w:val="clear"/>
            <w:tcMar>
              <w:top w:type="dxa" w:w="80"/>
              <w:left w:type="dxa" w:w="100"/>
              <w:bottom w:type="dxa" w:w="80"/>
              <w:right w:type="dxa" w:w="100"/>
            </w:tcMar>
          </w:tcPr>
          <w:p>
            <w:r>
              <w:rPr>
                <w:b/>
                <w:bCs/>
                <w:color w:val="FFFFFF"/>
              </w:rPr>
              <w:t xml:space="preserve">Status Code</w:t>
            </w:r>
          </w:p>
        </w:tc>
        <w:tc>
          <w:tcPr>
            <w:tcW w:type="dxa" w:w="7301"/>
            <w:shd w:fill="2E5395" w:val="clear"/>
            <w:tcMar>
              <w:top w:type="dxa" w:w="80"/>
              <w:left w:type="dxa" w:w="100"/>
              <w:bottom w:type="dxa" w:w="80"/>
              <w:right w:type="dxa" w:w="100"/>
            </w:tcMar>
          </w:tcPr>
          <w:p>
            <w:r>
              <w:rPr>
                <w:b/>
                <w:bCs/>
                <w:color w:val="FFFFFF"/>
              </w:rPr>
              <w:t xml:space="preserve">Meaning</w:t>
            </w:r>
          </w:p>
        </w:tc>
      </w:tr>
      <w:tr>
        <w:tc>
          <w:tcPr>
            <w:tcW w:type="dxa" w:w="2059"/>
            <w:tcMar>
              <w:top w:type="dxa" w:w="60"/>
              <w:left w:type="dxa" w:w="100"/>
              <w:bottom w:type="dxa" w:w="60"/>
              <w:right w:type="dxa" w:w="100"/>
            </w:tcMar>
          </w:tcPr>
          <w:p>
            <w:r>
              <w:rPr>
                <w:b w:val="false"/>
                <w:bCs w:val="false"/>
              </w:rPr>
              <w:t xml:space="preserve">0000</w:t>
            </w:r>
          </w:p>
        </w:tc>
        <w:tc>
          <w:tcPr>
            <w:tcW w:type="dxa" w:w="7301"/>
            <w:tcMar>
              <w:top w:type="dxa" w:w="60"/>
              <w:left w:type="dxa" w:w="100"/>
              <w:bottom w:type="dxa" w:w="60"/>
              <w:right w:type="dxa" w:w="100"/>
            </w:tcMar>
          </w:tcPr>
          <w:p>
            <w:r>
              <w:rPr>
                <w:b w:val="false"/>
                <w:bCs w:val="false"/>
              </w:rPr>
              <w:t xml:space="preserve">Success — OFS post accepted</w:t>
            </w:r>
          </w:p>
        </w:tc>
      </w:tr>
      <w:tr>
        <w:tc>
          <w:tcPr>
            <w:tcW w:type="dxa" w:w="2059"/>
            <w:tcMar>
              <w:top w:type="dxa" w:w="60"/>
              <w:left w:type="dxa" w:w="100"/>
              <w:bottom w:type="dxa" w:w="60"/>
              <w:right w:type="dxa" w:w="100"/>
            </w:tcMar>
          </w:tcPr>
          <w:p>
            <w:r>
              <w:rPr>
                <w:b w:val="false"/>
                <w:bCs w:val="false"/>
              </w:rPr>
              <w:t xml:space="preserve">0006</w:t>
            </w:r>
          </w:p>
        </w:tc>
        <w:tc>
          <w:tcPr>
            <w:tcW w:type="dxa" w:w="7301"/>
            <w:tcMar>
              <w:top w:type="dxa" w:w="60"/>
              <w:left w:type="dxa" w:w="100"/>
              <w:bottom w:type="dxa" w:w="60"/>
              <w:right w:type="dxa" w:w="100"/>
            </w:tcMar>
          </w:tcPr>
          <w:p>
            <w:r>
              <w:rPr>
                <w:b w:val="false"/>
                <w:bCs w:val="false"/>
              </w:rPr>
              <w:t xml:space="preserve">Failure — insufficient balance, or OFS post rejected (including the dead-fallback case in Finding #2)</w:t>
            </w:r>
          </w:p>
        </w:tc>
      </w:tr>
      <w:tr>
        <w:tc>
          <w:tcPr>
            <w:tcW w:type="dxa" w:w="2059"/>
            <w:tcMar>
              <w:top w:type="dxa" w:w="60"/>
              <w:left w:type="dxa" w:w="100"/>
              <w:bottom w:type="dxa" w:w="60"/>
              <w:right w:type="dxa" w:w="100"/>
            </w:tcMar>
          </w:tcPr>
          <w:p>
            <w:r>
              <w:rPr>
                <w:b w:val="false"/>
                <w:bCs w:val="false"/>
              </w:rPr>
              <w:t xml:space="preserve">1001</w:t>
            </w:r>
          </w:p>
        </w:tc>
        <w:tc>
          <w:tcPr>
            <w:tcW w:type="dxa" w:w="7301"/>
            <w:tcMar>
              <w:top w:type="dxa" w:w="60"/>
              <w:left w:type="dxa" w:w="100"/>
              <w:bottom w:type="dxa" w:w="60"/>
              <w:right w:type="dxa" w:w="100"/>
            </w:tcMar>
          </w:tcPr>
          <w:p>
            <w:r>
              <w:rPr>
                <w:b w:val="false"/>
                <w:bCs w:val="false"/>
              </w:rPr>
              <w:t xml:space="preserve">Duplicate message — cached replay of a prior successful (0000) result, same convention as Simulate Fees &amp; Calculate Commission</w:t>
            </w:r>
          </w:p>
        </w:tc>
      </w:tr>
    </w:tbl>
    <w:p>
      <w:pPr>
        <w:pStyle w:val="Heading1"/>
        <w:pBdr>
          <w:bottom w:val="single" w:color="2E5395" w:sz="6" w:space="4"/>
        </w:pBdr>
        <w:spacing w:after="150" w:before="300"/>
      </w:pPr>
      <w:r>
        <w:t xml:space="preserve">7. Config Tables This Routine Depends On</w:t>
      </w:r>
    </w:p>
    <w:p>
      <w:pPr>
        <w:spacing w:after="120"/>
      </w:pPr>
      <w:r>
        <w:rPr>
          <w:i/>
          <w:iCs/>
        </w:rPr>
        <w:t xml:space="preserve">None beyond the shared CIB.API.FT audit table (section 5) — like Amend Outward Transfer and Authorise FT, this routine reads no CIB-specific per-channel or per-service configuration tables; all behavior is hardcoded directly in the routine.</w:t>
      </w:r>
    </w:p>
    <w:p>
      <w:pPr>
        <w:pStyle w:val="Heading1"/>
        <w:pBdr>
          <w:bottom w:val="single" w:color="2E5395" w:sz="6" w:space="4"/>
        </w:pBdr>
        <w:spacing w:after="150" w:before="300"/>
      </w:pPr>
      <w:r>
        <w:t xml:space="preserve">8. Files Read /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19"/>
        <w:gridCol w:w="1308"/>
        <w:gridCol w:w="5032"/>
      </w:tblGrid>
      <w:tr>
        <w:trPr>
          <w:tblHeader/>
        </w:trPr>
        <w:tc>
          <w:tcPr>
            <w:tcW w:type="dxa" w:w="3019"/>
            <w:shd w:fill="2E5395" w:val="clear"/>
            <w:tcMar>
              <w:top w:type="dxa" w:w="80"/>
              <w:left w:type="dxa" w:w="100"/>
              <w:bottom w:type="dxa" w:w="80"/>
              <w:right w:type="dxa" w:w="100"/>
            </w:tcMar>
          </w:tcPr>
          <w:p>
            <w:r>
              <w:rPr>
                <w:b/>
                <w:bCs/>
                <w:color w:val="FFFFFF"/>
              </w:rPr>
              <w:t xml:space="preserve">File / Table</w:t>
            </w:r>
          </w:p>
        </w:tc>
        <w:tc>
          <w:tcPr>
            <w:tcW w:type="dxa" w:w="1308"/>
            <w:shd w:fill="2E5395" w:val="clear"/>
            <w:tcMar>
              <w:top w:type="dxa" w:w="80"/>
              <w:left w:type="dxa" w:w="100"/>
              <w:bottom w:type="dxa" w:w="80"/>
              <w:right w:type="dxa" w:w="100"/>
            </w:tcMar>
          </w:tcPr>
          <w:p>
            <w:r>
              <w:rPr>
                <w:b/>
                <w:bCs/>
                <w:color w:val="FFFFFF"/>
              </w:rPr>
              <w:t xml:space="preserve">Access</w:t>
            </w:r>
          </w:p>
        </w:tc>
        <w:tc>
          <w:tcPr>
            <w:tcW w:type="dxa" w:w="5032"/>
            <w:shd w:fill="2E5395" w:val="clear"/>
            <w:tcMar>
              <w:top w:type="dxa" w:w="80"/>
              <w:left w:type="dxa" w:w="100"/>
              <w:bottom w:type="dxa" w:w="80"/>
              <w:right w:type="dxa" w:w="100"/>
            </w:tcMar>
          </w:tcPr>
          <w:p>
            <w:r>
              <w:rPr>
                <w:b/>
                <w:bCs/>
                <w:color w:val="FFFFFF"/>
              </w:rPr>
              <w:t xml:space="preserve">Purpose</w:t>
            </w:r>
          </w:p>
        </w:tc>
      </w:tr>
      <w:tr>
        <w:tc>
          <w:tcPr>
            <w:tcW w:type="dxa" w:w="3019"/>
            <w:tcMar>
              <w:top w:type="dxa" w:w="60"/>
              <w:left w:type="dxa" w:w="100"/>
              <w:bottom w:type="dxa" w:w="60"/>
              <w:right w:type="dxa" w:w="100"/>
            </w:tcMar>
          </w:tcPr>
          <w:p>
            <w:r>
              <w:rPr>
                <w:b w:val="false"/>
                <w:bCs w:val="false"/>
              </w:rPr>
              <w:t xml:space="preserve">F.ACCOUNT.RETAIL.CU.ACCT</w:t>
            </w:r>
          </w:p>
        </w:tc>
        <w:tc>
          <w:tcPr>
            <w:tcW w:type="dxa" w:w="1308"/>
            <w:tcMar>
              <w:top w:type="dxa" w:w="60"/>
              <w:left w:type="dxa" w:w="100"/>
              <w:bottom w:type="dxa" w:w="60"/>
              <w:right w:type="dxa" w:w="100"/>
            </w:tcMar>
          </w:tcPr>
          <w:p>
            <w:r>
              <w:rPr>
                <w:b w:val="false"/>
                <w:bCs w:val="false"/>
              </w:rPr>
              <w:t xml:space="preserve">Read</w:t>
            </w:r>
          </w:p>
        </w:tc>
        <w:tc>
          <w:tcPr>
            <w:tcW w:type="dxa" w:w="5032"/>
            <w:tcMar>
              <w:top w:type="dxa" w:w="60"/>
              <w:left w:type="dxa" w:w="100"/>
              <w:bottom w:type="dxa" w:w="60"/>
              <w:right w:type="dxa" w:w="100"/>
            </w:tcMar>
          </w:tcPr>
          <w:p>
            <w:r>
              <w:rPr>
                <w:b w:val="false"/>
                <w:bCs w:val="false"/>
              </w:rPr>
              <w:t xml:space="preserve">Short-account-number resolution, same pattern as the other routines</w:t>
            </w:r>
          </w:p>
        </w:tc>
      </w:tr>
      <w:tr>
        <w:tc>
          <w:tcPr>
            <w:tcW w:type="dxa" w:w="3019"/>
            <w:tcMar>
              <w:top w:type="dxa" w:w="60"/>
              <w:left w:type="dxa" w:w="100"/>
              <w:bottom w:type="dxa" w:w="60"/>
              <w:right w:type="dxa" w:w="100"/>
            </w:tcMar>
          </w:tcPr>
          <w:p>
            <w:r>
              <w:rPr>
                <w:b w:val="false"/>
                <w:bCs w:val="false"/>
              </w:rPr>
              <w:t xml:space="preserve">F.COMPANY</w:t>
            </w:r>
          </w:p>
        </w:tc>
        <w:tc>
          <w:tcPr>
            <w:tcW w:type="dxa" w:w="1308"/>
            <w:tcMar>
              <w:top w:type="dxa" w:w="60"/>
              <w:left w:type="dxa" w:w="100"/>
              <w:bottom w:type="dxa" w:w="60"/>
              <w:right w:type="dxa" w:w="100"/>
            </w:tcMar>
          </w:tcPr>
          <w:p>
            <w:r>
              <w:rPr>
                <w:b w:val="false"/>
                <w:bCs w:val="false"/>
              </w:rPr>
              <w:t xml:space="preserve">Read</w:t>
            </w:r>
          </w:p>
        </w:tc>
        <w:tc>
          <w:tcPr>
            <w:tcW w:type="dxa" w:w="5032"/>
            <w:tcMar>
              <w:top w:type="dxa" w:w="60"/>
              <w:left w:type="dxa" w:w="100"/>
              <w:bottom w:type="dxa" w:w="60"/>
              <w:right w:type="dxa" w:w="100"/>
            </w:tcMar>
          </w:tcPr>
          <w:p>
            <w:r>
              <w:rPr>
                <w:b w:val="false"/>
                <w:bCs w:val="false"/>
              </w:rPr>
              <w:t xml:space="preserve">Opened; no clear reference found in the reviewed logic</w:t>
            </w:r>
          </w:p>
        </w:tc>
      </w:tr>
      <w:tr>
        <w:tc>
          <w:tcPr>
            <w:tcW w:type="dxa" w:w="3019"/>
            <w:shd w:fill="FDEAEA" w:val="clear"/>
            <w:tcMar>
              <w:top w:type="dxa" w:w="60"/>
              <w:left w:type="dxa" w:w="100"/>
              <w:bottom w:type="dxa" w:w="60"/>
              <w:right w:type="dxa" w:w="100"/>
            </w:tcMar>
          </w:tcPr>
          <w:p>
            <w:r>
              <w:rPr>
                <w:b w:val="false"/>
                <w:bCs w:val="false"/>
              </w:rPr>
              <w:t xml:space="preserve">FBNK.NOSTRO.ACC</w:t>
            </w:r>
          </w:p>
        </w:tc>
        <w:tc>
          <w:tcPr>
            <w:tcW w:type="dxa" w:w="1308"/>
            <w:shd w:fill="FDEAEA" w:val="clear"/>
            <w:tcMar>
              <w:top w:type="dxa" w:w="60"/>
              <w:left w:type="dxa" w:w="100"/>
              <w:bottom w:type="dxa" w:w="60"/>
              <w:right w:type="dxa" w:w="100"/>
            </w:tcMar>
          </w:tcPr>
          <w:p>
            <w:r>
              <w:rPr>
                <w:b w:val="false"/>
                <w:bCs w:val="false"/>
              </w:rPr>
              <w:t xml:space="preserve">Read</w:t>
            </w:r>
          </w:p>
        </w:tc>
        <w:tc>
          <w:tcPr>
            <w:tcW w:type="dxa" w:w="5032"/>
            <w:shd w:fill="FDEAEA" w:val="clear"/>
            <w:tcMar>
              <w:top w:type="dxa" w:w="60"/>
              <w:left w:type="dxa" w:w="100"/>
              <w:bottom w:type="dxa" w:w="60"/>
              <w:right w:type="dxa" w:w="100"/>
            </w:tcMar>
          </w:tcPr>
          <w:p>
            <w:r>
              <w:rPr>
                <w:b w:val="false"/>
                <w:bCs w:val="false"/>
              </w:rPr>
              <w:t xml:space="preserve">Opened (and explicitly $INSERT'd via I_F.NOSTRO.ACC) but never actually read anywhere in this routine — a notable oversight in a routine whose entire purpose is Nostro transfers</w:t>
            </w:r>
          </w:p>
        </w:tc>
      </w:tr>
      <w:tr>
        <w:tc>
          <w:tcPr>
            <w:tcW w:type="dxa" w:w="3019"/>
            <w:tcMar>
              <w:top w:type="dxa" w:w="60"/>
              <w:left w:type="dxa" w:w="100"/>
              <w:bottom w:type="dxa" w:w="60"/>
              <w:right w:type="dxa" w:w="100"/>
            </w:tcMar>
          </w:tcPr>
          <w:p>
            <w:r>
              <w:rPr>
                <w:b w:val="false"/>
                <w:bCs w:val="false"/>
              </w:rPr>
              <w:t xml:space="preserve">F.ACCOUNT</w:t>
            </w:r>
          </w:p>
        </w:tc>
        <w:tc>
          <w:tcPr>
            <w:tcW w:type="dxa" w:w="1308"/>
            <w:tcMar>
              <w:top w:type="dxa" w:w="60"/>
              <w:left w:type="dxa" w:w="100"/>
              <w:bottom w:type="dxa" w:w="60"/>
              <w:right w:type="dxa" w:w="100"/>
            </w:tcMar>
          </w:tcPr>
          <w:p>
            <w:r>
              <w:rPr>
                <w:b w:val="false"/>
                <w:bCs w:val="false"/>
              </w:rPr>
              <w:t xml:space="preserve">Read</w:t>
            </w:r>
          </w:p>
        </w:tc>
        <w:tc>
          <w:tcPr>
            <w:tcW w:type="dxa" w:w="5032"/>
            <w:tcMar>
              <w:top w:type="dxa" w:w="60"/>
              <w:left w:type="dxa" w:w="100"/>
              <w:bottom w:type="dxa" w:w="60"/>
              <w:right w:type="dxa" w:w="100"/>
            </w:tcMar>
          </w:tcPr>
          <w:p>
            <w:r>
              <w:rPr>
                <w:b w:val="false"/>
                <w:bCs w:val="false"/>
              </w:rPr>
              <w:t xml:space="preserve">Debit account lookups (short-number resolution)</w:t>
            </w:r>
          </w:p>
        </w:tc>
      </w:tr>
      <w:tr>
        <w:tc>
          <w:tcPr>
            <w:tcW w:type="dxa" w:w="3019"/>
            <w:tcMar>
              <w:top w:type="dxa" w:w="60"/>
              <w:left w:type="dxa" w:w="100"/>
              <w:bottom w:type="dxa" w:w="60"/>
              <w:right w:type="dxa" w:w="100"/>
            </w:tcMar>
          </w:tcPr>
          <w:p>
            <w:r>
              <w:rPr>
                <w:b w:val="false"/>
                <w:bCs w:val="false"/>
              </w:rPr>
              <w:t xml:space="preserve">F.CURRENCY</w:t>
            </w:r>
          </w:p>
        </w:tc>
        <w:tc>
          <w:tcPr>
            <w:tcW w:type="dxa" w:w="1308"/>
            <w:tcMar>
              <w:top w:type="dxa" w:w="60"/>
              <w:left w:type="dxa" w:w="100"/>
              <w:bottom w:type="dxa" w:w="60"/>
              <w:right w:type="dxa" w:w="100"/>
            </w:tcMar>
          </w:tcPr>
          <w:p>
            <w:r>
              <w:rPr>
                <w:b w:val="false"/>
                <w:bCs w:val="false"/>
              </w:rPr>
              <w:t xml:space="preserve">Read</w:t>
            </w:r>
          </w:p>
        </w:tc>
        <w:tc>
          <w:tcPr>
            <w:tcW w:type="dxa" w:w="5032"/>
            <w:tcMar>
              <w:top w:type="dxa" w:w="60"/>
              <w:left w:type="dxa" w:w="100"/>
              <w:bottom w:type="dxa" w:w="60"/>
              <w:right w:type="dxa" w:w="100"/>
            </w:tcMar>
          </w:tcPr>
          <w:p>
            <w:r>
              <w:rPr>
                <w:b w:val="false"/>
                <w:bCs w:val="false"/>
              </w:rPr>
              <w:t xml:space="preserve">Opened; no clear reference found in the reviewed logic</w:t>
            </w:r>
          </w:p>
        </w:tc>
      </w:tr>
      <w:tr>
        <w:tc>
          <w:tcPr>
            <w:tcW w:type="dxa" w:w="3019"/>
            <w:tcMar>
              <w:top w:type="dxa" w:w="60"/>
              <w:left w:type="dxa" w:w="100"/>
              <w:bottom w:type="dxa" w:w="60"/>
              <w:right w:type="dxa" w:w="100"/>
            </w:tcMar>
          </w:tcPr>
          <w:p>
            <w:r>
              <w:rPr>
                <w:b w:val="false"/>
                <w:bCs w:val="false"/>
              </w:rPr>
              <w:t xml:space="preserve">FBNK.FUNDS.TRANSFER</w:t>
            </w:r>
          </w:p>
        </w:tc>
        <w:tc>
          <w:tcPr>
            <w:tcW w:type="dxa" w:w="1308"/>
            <w:tcMar>
              <w:top w:type="dxa" w:w="60"/>
              <w:left w:type="dxa" w:w="100"/>
              <w:bottom w:type="dxa" w:w="60"/>
              <w:right w:type="dxa" w:w="100"/>
            </w:tcMar>
          </w:tcPr>
          <w:p>
            <w:r>
              <w:rPr>
                <w:b w:val="false"/>
                <w:bCs w:val="false"/>
              </w:rPr>
              <w:t xml:space="preserve">Read</w:t>
            </w:r>
          </w:p>
        </w:tc>
        <w:tc>
          <w:tcPr>
            <w:tcW w:type="dxa" w:w="5032"/>
            <w:tcMar>
              <w:top w:type="dxa" w:w="60"/>
              <w:left w:type="dxa" w:w="100"/>
              <w:bottom w:type="dxa" w:w="60"/>
              <w:right w:type="dxa" w:w="100"/>
            </w:tcMar>
          </w:tcPr>
          <w:p>
            <w:r>
              <w:rPr>
                <w:b w:val="false"/>
                <w:bCs w:val="false"/>
              </w:rPr>
              <w:t xml:space="preserve">Fallback OVERRIDE-text read if the NAU record isn't found</w:t>
            </w:r>
          </w:p>
        </w:tc>
      </w:tr>
      <w:tr>
        <w:tc>
          <w:tcPr>
            <w:tcW w:type="dxa" w:w="3019"/>
            <w:tcMar>
              <w:top w:type="dxa" w:w="60"/>
              <w:left w:type="dxa" w:w="100"/>
              <w:bottom w:type="dxa" w:w="60"/>
              <w:right w:type="dxa" w:w="100"/>
            </w:tcMar>
          </w:tcPr>
          <w:p>
            <w:r>
              <w:rPr>
                <w:b w:val="false"/>
                <w:bCs w:val="false"/>
              </w:rPr>
              <w:t xml:space="preserve">FBNK.FUNDS.TRANSFER$NAU</w:t>
            </w:r>
          </w:p>
        </w:tc>
        <w:tc>
          <w:tcPr>
            <w:tcW w:type="dxa" w:w="1308"/>
            <w:tcMar>
              <w:top w:type="dxa" w:w="60"/>
              <w:left w:type="dxa" w:w="100"/>
              <w:bottom w:type="dxa" w:w="60"/>
              <w:right w:type="dxa" w:w="100"/>
            </w:tcMar>
          </w:tcPr>
          <w:p>
            <w:r>
              <w:rPr>
                <w:b w:val="false"/>
                <w:bCs w:val="false"/>
              </w:rPr>
              <w:t xml:space="preserve">Read</w:t>
            </w:r>
          </w:p>
        </w:tc>
        <w:tc>
          <w:tcPr>
            <w:tcW w:type="dxa" w:w="5032"/>
            <w:tcMar>
              <w:top w:type="dxa" w:w="60"/>
              <w:left w:type="dxa" w:w="100"/>
              <w:bottom w:type="dxa" w:w="60"/>
              <w:right w:type="dxa" w:w="100"/>
            </w:tcMar>
          </w:tcPr>
          <w:p>
            <w:r>
              <w:rPr>
                <w:b w:val="false"/>
                <w:bCs w:val="false"/>
              </w:rPr>
              <w:t xml:space="preserve">Primary OVERRIDE-text source, opened as FN.FILE.FUNDS.TRANSFER.NAU (opened twice, redundantly, in OPEN.FILES)</w:t>
            </w:r>
          </w:p>
        </w:tc>
      </w:tr>
      <w:tr>
        <w:tc>
          <w:tcPr>
            <w:tcW w:type="dxa" w:w="3019"/>
            <w:shd w:fill="FDEAEA" w:val="clear"/>
            <w:tcMar>
              <w:top w:type="dxa" w:w="60"/>
              <w:left w:type="dxa" w:w="100"/>
              <w:bottom w:type="dxa" w:w="60"/>
              <w:right w:type="dxa" w:w="100"/>
            </w:tcMar>
          </w:tcPr>
          <w:p>
            <w:r>
              <w:rPr>
                <w:b w:val="false"/>
                <w:bCs w:val="false"/>
              </w:rPr>
              <w:t xml:space="preserve">FBNK.FUNDS.TRANSFER$NAU (again, via FN.FT.NAU)</w:t>
            </w:r>
          </w:p>
        </w:tc>
        <w:tc>
          <w:tcPr>
            <w:tcW w:type="dxa" w:w="1308"/>
            <w:shd w:fill="FDEAEA" w:val="clear"/>
            <w:tcMar>
              <w:top w:type="dxa" w:w="60"/>
              <w:left w:type="dxa" w:w="100"/>
              <w:bottom w:type="dxa" w:w="60"/>
              <w:right w:type="dxa" w:w="100"/>
            </w:tcMar>
          </w:tcPr>
          <w:p>
            <w:r>
              <w:rPr>
                <w:b w:val="false"/>
                <w:bCs w:val="false"/>
              </w:rPr>
              <w:t xml:space="preserve">Read</w:t>
            </w:r>
          </w:p>
        </w:tc>
        <w:tc>
          <w:tcPr>
            <w:tcW w:type="dxa" w:w="5032"/>
            <w:shd w:fill="FDEAEA" w:val="clear"/>
            <w:tcMar>
              <w:top w:type="dxa" w:w="60"/>
              <w:left w:type="dxa" w:w="100"/>
              <w:bottom w:type="dxa" w:w="60"/>
              <w:right w:type="dxa" w:w="100"/>
            </w:tcMar>
          </w:tcPr>
          <w:p>
            <w:r>
              <w:rPr>
                <w:b w:val="false"/>
                <w:bCs w:val="false"/>
              </w:rPr>
              <w:t xml:space="preserve">UPDATE.DE.PREVIEW reads via a DIFFERENT file-handle variable, FN.FT.NAU, which is never explicitly opened anywhere in OPEN.FILES — needs verification: either a COMMON-block handle inherited from elsewhere, or a genuine reference-to-unopened-file risk</w:t>
            </w:r>
          </w:p>
        </w:tc>
      </w:tr>
      <w:tr>
        <w:tc>
          <w:tcPr>
            <w:tcW w:type="dxa" w:w="3019"/>
            <w:tcMar>
              <w:top w:type="dxa" w:w="60"/>
              <w:left w:type="dxa" w:w="100"/>
              <w:bottom w:type="dxa" w:w="60"/>
              <w:right w:type="dxa" w:w="100"/>
            </w:tcMar>
          </w:tcPr>
          <w:p>
            <w:r>
              <w:rPr>
                <w:b w:val="false"/>
                <w:bCs w:val="false"/>
              </w:rPr>
              <w:t xml:space="preserve">FBNK.CIB.API.FT</w:t>
            </w:r>
          </w:p>
        </w:tc>
        <w:tc>
          <w:tcPr>
            <w:tcW w:type="dxa" w:w="1308"/>
            <w:tcMar>
              <w:top w:type="dxa" w:w="60"/>
              <w:left w:type="dxa" w:w="100"/>
              <w:bottom w:type="dxa" w:w="60"/>
              <w:right w:type="dxa" w:w="100"/>
            </w:tcMar>
          </w:tcPr>
          <w:p>
            <w:r>
              <w:rPr>
                <w:b w:val="false"/>
                <w:bCs w:val="false"/>
              </w:rPr>
              <w:t xml:space="preserve">Read/Write</w:t>
            </w:r>
          </w:p>
        </w:tc>
        <w:tc>
          <w:tcPr>
            <w:tcW w:type="dxa" w:w="5032"/>
            <w:tcMar>
              <w:top w:type="dxa" w:w="60"/>
              <w:left w:type="dxa" w:w="100"/>
              <w:bottom w:type="dxa" w:w="60"/>
              <w:right w:type="dxa" w:w="100"/>
            </w:tcMar>
          </w:tcPr>
          <w:p>
            <w:r>
              <w:rPr>
                <w:b w:val="false"/>
                <w:bCs w:val="false"/>
              </w:rPr>
              <w:t xml:space="preserve">Idempotency &amp; audit store — the SAME table Create Outward Transfer (Document 01) uses, and the same one Authorise FT (Document 04) reads to resolve a MSG.ID into a real FT.ID</w:t>
            </w:r>
          </w:p>
        </w:tc>
      </w:tr>
    </w:tbl>
    <w:p>
      <w:pPr>
        <w:pStyle w:val="Heading1"/>
        <w:pBdr>
          <w:bottom w:val="single" w:color="2E5395" w:sz="6" w:space="4"/>
        </w:pBdr>
        <w:spacing w:after="150" w:before="300"/>
      </w:pPr>
      <w:r>
        <w:t xml:space="preserve">9. External Routines Called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shd w:fill="2E5395" w:val="clear"/>
            <w:tcMar>
              <w:top w:type="dxa" w:w="80"/>
              <w:left w:type="dxa" w:w="100"/>
              <w:bottom w:type="dxa" w:w="80"/>
              <w:right w:type="dxa" w:w="100"/>
            </w:tcMar>
          </w:tcPr>
          <w:p>
            <w:r>
              <w:rPr>
                <w:b/>
                <w:bCs/>
                <w:color w:val="FFFFFF"/>
              </w:rPr>
              <w:t xml:space="preserve">Routine</w:t>
            </w:r>
          </w:p>
        </w:tc>
        <w:tc>
          <w:tcPr>
            <w:tcW w:type="dxa" w:w="6178"/>
            <w:shd w:fill="2E5395" w:val="clear"/>
            <w:tcMar>
              <w:top w:type="dxa" w:w="80"/>
              <w:left w:type="dxa" w:w="100"/>
              <w:bottom w:type="dxa" w:w="80"/>
              <w:right w:type="dxa" w:w="100"/>
            </w:tcMar>
          </w:tcPr>
          <w:p>
            <w:r>
              <w:rPr>
                <w:b/>
                <w:bCs/>
                <w:color w:val="FFFFFF"/>
              </w:rPr>
              <w:t xml:space="preserve">Purpose</w:t>
            </w:r>
          </w:p>
        </w:tc>
      </w:tr>
      <w:tr>
        <w:tc>
          <w:tcPr>
            <w:tcW w:type="dxa" w:w="3182"/>
            <w:tcMar>
              <w:top w:type="dxa" w:w="60"/>
              <w:left w:type="dxa" w:w="100"/>
              <w:bottom w:type="dxa" w:w="60"/>
              <w:right w:type="dxa" w:w="100"/>
            </w:tcMar>
          </w:tcPr>
          <w:p>
            <w:r>
              <w:rPr>
                <w:b w:val="false"/>
                <w:bCs w:val="false"/>
              </w:rPr>
              <w:t xml:space="preserve">GET.NET.AVL.BL</w:t>
            </w:r>
          </w:p>
        </w:tc>
        <w:tc>
          <w:tcPr>
            <w:tcW w:type="dxa" w:w="6178"/>
            <w:tcMar>
              <w:top w:type="dxa" w:w="60"/>
              <w:left w:type="dxa" w:w="100"/>
              <w:bottom w:type="dxa" w:w="60"/>
              <w:right w:type="dxa" w:w="100"/>
            </w:tcMar>
          </w:tcPr>
          <w:p>
            <w:r>
              <w:rPr>
                <w:b w:val="false"/>
                <w:bCs w:val="false"/>
              </w:rPr>
              <w:t xml:space="preserve">T24-side balance computation — same call used across the Outward Transfer family</w:t>
            </w:r>
          </w:p>
        </w:tc>
      </w:tr>
      <w:tr>
        <w:tc>
          <w:tcPr>
            <w:tcW w:type="dxa" w:w="3182"/>
            <w:tcMar>
              <w:top w:type="dxa" w:w="60"/>
              <w:left w:type="dxa" w:w="100"/>
              <w:bottom w:type="dxa" w:w="60"/>
              <w:right w:type="dxa" w:w="100"/>
            </w:tcMar>
          </w:tcPr>
          <w:p>
            <w:r>
              <w:rPr>
                <w:b w:val="false"/>
                <w:bCs w:val="false"/>
              </w:rPr>
              <w:t xml:space="preserve">CIB.GET.DE.CUST.NO</w:t>
            </w:r>
          </w:p>
        </w:tc>
        <w:tc>
          <w:tcPr>
            <w:tcW w:type="dxa" w:w="6178"/>
            <w:tcMar>
              <w:top w:type="dxa" w:w="60"/>
              <w:left w:type="dxa" w:w="100"/>
              <w:bottom w:type="dxa" w:w="60"/>
              <w:right w:type="dxa" w:w="100"/>
            </w:tcMar>
          </w:tcPr>
          <w:p>
            <w:r>
              <w:rPr>
                <w:b w:val="false"/>
                <w:bCs w:val="false"/>
              </w:rPr>
              <w:t xml:space="preserve">Custom — resolves a 'DE customer number' from a SWIFT-style account-with-bank code; not seen in any other routine reviewed so far — needs its own source review</w:t>
            </w:r>
          </w:p>
        </w:tc>
      </w:tr>
      <w:tr>
        <w:tc>
          <w:tcPr>
            <w:tcW w:type="dxa" w:w="3182"/>
            <w:tcMar>
              <w:top w:type="dxa" w:w="60"/>
              <w:left w:type="dxa" w:w="100"/>
              <w:bottom w:type="dxa" w:w="60"/>
              <w:right w:type="dxa" w:w="100"/>
            </w:tcMar>
          </w:tcPr>
          <w:p>
            <w:r>
              <w:rPr>
                <w:b w:val="false"/>
                <w:bCs w:val="false"/>
              </w:rPr>
              <w:t xml:space="preserve">OFS.INITIALISE.SOURCE / OFS.BULK.MANAGER</w:t>
            </w:r>
          </w:p>
        </w:tc>
        <w:tc>
          <w:tcPr>
            <w:tcW w:type="dxa" w:w="6178"/>
            <w:tcMar>
              <w:top w:type="dxa" w:w="60"/>
              <w:left w:type="dxa" w:w="100"/>
              <w:bottom w:type="dxa" w:w="60"/>
              <w:right w:type="dxa" w:w="100"/>
            </w:tcMar>
          </w:tcPr>
          <w:p>
            <w:r>
              <w:rPr>
                <w:b w:val="false"/>
                <w:bCs w:val="false"/>
              </w:rPr>
              <w:t xml:space="preserve">T24 standard OFS posting mechanism — same pattern as all four prior routines</w:t>
            </w:r>
          </w:p>
        </w:tc>
      </w:tr>
      <w:tr>
        <w:tc>
          <w:tcPr>
            <w:tcW w:type="dxa" w:w="3182"/>
            <w:tcMar>
              <w:top w:type="dxa" w:w="60"/>
              <w:left w:type="dxa" w:w="100"/>
              <w:bottom w:type="dxa" w:w="60"/>
              <w:right w:type="dxa" w:w="100"/>
            </w:tcMar>
          </w:tcPr>
          <w:p>
            <w:r>
              <w:rPr>
                <w:b w:val="false"/>
                <w:bCs w:val="false"/>
              </w:rPr>
              <w:t xml:space="preserve">F.MATREAD</w:t>
            </w:r>
          </w:p>
        </w:tc>
        <w:tc>
          <w:tcPr>
            <w:tcW w:type="dxa" w:w="6178"/>
            <w:tcMar>
              <w:top w:type="dxa" w:w="60"/>
              <w:left w:type="dxa" w:w="100"/>
              <w:bottom w:type="dxa" w:w="60"/>
              <w:right w:type="dxa" w:w="100"/>
            </w:tcMar>
          </w:tcPr>
          <w:p>
            <w:r>
              <w:rPr>
                <w:b w:val="false"/>
                <w:bCs w:val="false"/>
              </w:rPr>
              <w:t xml:space="preserve">T24 standard — full multi-value record + audit-array read, used only inside UPDATE.DE.PREVIEW</w:t>
            </w:r>
          </w:p>
        </w:tc>
      </w:tr>
      <w:tr>
        <w:tc>
          <w:tcPr>
            <w:tcW w:type="dxa" w:w="3182"/>
            <w:tcMar>
              <w:top w:type="dxa" w:w="60"/>
              <w:left w:type="dxa" w:w="100"/>
              <w:bottom w:type="dxa" w:w="60"/>
              <w:right w:type="dxa" w:w="100"/>
            </w:tcMar>
          </w:tcPr>
          <w:p>
            <w:r>
              <w:rPr>
                <w:b w:val="false"/>
                <w:bCs w:val="false"/>
              </w:rPr>
              <w:t xml:space="preserve">FT.DELIVERY</w:t>
            </w:r>
          </w:p>
        </w:tc>
        <w:tc>
          <w:tcPr>
            <w:tcW w:type="dxa" w:w="6178"/>
            <w:tcMar>
              <w:top w:type="dxa" w:w="60"/>
              <w:left w:type="dxa" w:w="100"/>
              <w:bottom w:type="dxa" w:w="60"/>
              <w:right w:type="dxa" w:w="100"/>
            </w:tcMar>
          </w:tcPr>
          <w:p>
            <w:r>
              <w:rPr>
                <w:b w:val="false"/>
                <w:bCs w:val="false"/>
              </w:rPr>
              <w:t xml:space="preserve">T24 core — delivery/advice document generation, called here in 'PREVIEW' mode for in-authorization (INAU) Nostro records</w:t>
            </w:r>
          </w:p>
        </w:tc>
      </w:tr>
    </w:tbl>
    <w:p>
      <w:pPr>
        <w:pStyle w:val="Heading1"/>
        <w:pBdr>
          <w:bottom w:val="single" w:color="2E5395" w:sz="6" w:space="4"/>
        </w:pBdr>
        <w:spacing w:after="150" w:before="300"/>
      </w:pPr>
      <w:r>
        <w:t xml:space="preserve">10. Recommended TPH/IRIS Migration Checklist for This Service</w:t>
      </w:r>
    </w:p>
    <w:p>
      <w:pPr>
        <w:spacing w:after="80"/>
      </w:pPr>
      <w:r>
        <w:t xml:space="preserve">☐  BLOCKING — Resolve Critical Finding #1: confirm with the live T24 team whether VALIDATE-mode calls to this service actually avoid posting a real transaction today, and if so, how — before treating this routine's FUNCTION.ID logic as a reliable spec.</w:t>
      </w:r>
    </w:p>
    <w:p>
      <w:pPr>
        <w:spacing w:after="80"/>
      </w:pPr>
      <w:r>
        <w:t xml:space="preserve">☐  Fix or consciously drop Critical Finding #2 (NOTAUTHCOUNT LT 0) rather than porting the dead fallback silently — decide whether the 'already authorized, no change' case should map to success in the new design (as it correctly does elsewhere).</w:t>
      </w:r>
    </w:p>
    <w:p>
      <w:pPr>
        <w:spacing w:after="80"/>
      </w:pPr>
      <w:r>
        <w:t xml:space="preserve">☐  Resolve Critical Finding #3 alongside its twin in Document 04 — treat the unrestored-globals pattern as one systemic issue, not two separate ones.</w:t>
      </w:r>
    </w:p>
    <w:p>
      <w:pPr>
        <w:spacing w:after="80"/>
      </w:pPr>
      <w:r>
        <w:t xml:space="preserve">☐  Confirm whether FBNK.NOSTRO.ACC is genuinely unused (and thus this open can be dropped) or whether it's referenced somewhere not visible in this excerpt.</w:t>
      </w:r>
    </w:p>
    <w:p>
      <w:pPr>
        <w:spacing w:after="80"/>
      </w:pPr>
      <w:r>
        <w:t xml:space="preserve">☐  Verify whether the FN.FT.NAU file handle used in UPDATE.DE.PREVIEW is a real, working reference (e.g. via a COMMON block) or a latent defect, the same way Document 03's SRC.ACC.ID question needs verification.</w:t>
      </w:r>
    </w:p>
    <w:p>
      <w:pPr>
        <w:spacing w:after="80"/>
      </w:pPr>
      <w:r>
        <w:t xml:space="preserve">☐  Get a plain-language business explanation of the PEG_FLAG / DE.CUST.NO rule (section 4.2) — including what 'PEG' and 'DE customer' mean — before attempting to reproduce it.</w:t>
      </w:r>
    </w:p>
    <w:p>
      <w:pPr>
        <w:spacing w:after="80"/>
      </w:pPr>
      <w:r>
        <w:t xml:space="preserve">☐  Confirm whether the hardcoded branch code '085' (section 4.4) is intentional centralized booking or should become configurable.</w:t>
      </w:r>
    </w:p>
    <w:p>
      <w:pPr>
        <w:spacing w:after="80"/>
      </w:pPr>
      <w:r>
        <w:t xml:space="preserve">☐  Design the shared audit/idempotency and authorize infrastructure (section 5) as common components serving both the Outward Transfer and Nostro Transfer families, rather than per-service duplicates.</w:t>
      </w:r>
    </w:p>
    <w:p>
      <w:pPr>
        <w:spacing w:after="80"/>
      </w:pPr>
      <w:r>
        <w:t xml:space="preserve">☐  Build a response-parsing implementation specific to this service's own field order (section 6) — do not reuse Create/Amend Outward Transfer's parsing template.</w:t>
      </w:r>
    </w:p>
    <w:p>
      <w:pPr>
        <w:spacing w:after="80"/>
      </w:pPr>
      <w:r>
        <w:t xml:space="preserve">☐  Reproduce the two-sided (DEBIT.AMOUNT and CREDIT.AMOUNT both explicit) amount handling — confirm whether TPH/IRIS should replicate this or allow FX auto-derivation the way the customer-transfer services do.</w:t>
      </w:r>
    </w:p>
    <w:p>
      <w:pPr>
        <w:spacing w:after="80"/>
      </w:pPr>
      <w:r>
        <w:t xml:space="preserve">☐  Obtain a real sample request/response for this service (none was available for this review) to validate the above the way Documents 01–02 were validated against live samples.</w:t>
      </w:r>
    </w:p>
    <w:p>
      <w:pPr>
        <w:pStyle w:val="Heading1"/>
        <w:pBdr>
          <w:bottom w:val="single" w:color="2E5395" w:sz="6" w:space="4"/>
        </w:pBdr>
        <w:spacing w:after="150" w:before="300"/>
      </w:pPr>
      <w:r>
        <w:t xml:space="preserve">11. Code Evolution / Technical Debt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15"/>
        <w:gridCol w:w="1812"/>
        <w:gridCol w:w="5133"/>
      </w:tblGrid>
      <w:tr>
        <w:trPr>
          <w:tblHeader/>
        </w:trPr>
        <w:tc>
          <w:tcPr>
            <w:tcW w:type="dxa" w:w="2415"/>
            <w:shd w:fill="2E5395" w:val="clear"/>
            <w:tcMar>
              <w:top w:type="dxa" w:w="80"/>
              <w:left w:type="dxa" w:w="100"/>
              <w:bottom w:type="dxa" w:w="80"/>
              <w:right w:type="dxa" w:w="100"/>
            </w:tcMar>
          </w:tcPr>
          <w:p>
            <w:r>
              <w:rPr>
                <w:b/>
                <w:bCs/>
                <w:color w:val="FFFFFF"/>
              </w:rPr>
              <w:t xml:space="preserve">Marker / Author Tag</w:t>
            </w:r>
          </w:p>
        </w:tc>
        <w:tc>
          <w:tcPr>
            <w:tcW w:type="dxa" w:w="1812"/>
            <w:shd w:fill="2E5395" w:val="clear"/>
            <w:tcMar>
              <w:top w:type="dxa" w:w="80"/>
              <w:left w:type="dxa" w:w="100"/>
              <w:bottom w:type="dxa" w:w="80"/>
              <w:right w:type="dxa" w:w="100"/>
            </w:tcMar>
          </w:tcPr>
          <w:p>
            <w:r>
              <w:rPr>
                <w:b/>
                <w:bCs/>
                <w:color w:val="FFFFFF"/>
              </w:rPr>
              <w:t xml:space="preserve">Approx. Date</w:t>
            </w:r>
          </w:p>
        </w:tc>
        <w:tc>
          <w:tcPr>
            <w:tcW w:type="dxa" w:w="5133"/>
            <w:shd w:fill="2E5395" w:val="clear"/>
            <w:tcMar>
              <w:top w:type="dxa" w:w="80"/>
              <w:left w:type="dxa" w:w="100"/>
              <w:bottom w:type="dxa" w:w="80"/>
              <w:right w:type="dxa" w:w="100"/>
            </w:tcMar>
          </w:tcPr>
          <w:p>
            <w:r>
              <w:rPr>
                <w:b/>
                <w:bCs/>
                <w:color w:val="FFFFFF"/>
              </w:rPr>
              <w:t xml:space="preserve">What It Touched (from code)</w:t>
            </w:r>
          </w:p>
        </w:tc>
      </w:tr>
      <w:tr>
        <w:tc>
          <w:tcPr>
            <w:tcW w:type="dxa" w:w="2415"/>
            <w:tcMar>
              <w:top w:type="dxa" w:w="60"/>
              <w:left w:type="dxa" w:w="100"/>
              <w:bottom w:type="dxa" w:w="60"/>
              <w:right w:type="dxa" w:w="100"/>
            </w:tcMar>
          </w:tcPr>
          <w:p>
            <w:r>
              <w:rPr>
                <w:b w:val="false"/>
                <w:bCs w:val="false"/>
              </w:rPr>
              <w:t xml:space="preserve">NGDE</w:t>
            </w:r>
          </w:p>
        </w:tc>
        <w:tc>
          <w:tcPr>
            <w:tcW w:type="dxa" w:w="1812"/>
            <w:tcMar>
              <w:top w:type="dxa" w:w="60"/>
              <w:left w:type="dxa" w:w="100"/>
              <w:bottom w:type="dxa" w:w="60"/>
              <w:right w:type="dxa" w:w="100"/>
            </w:tcMar>
          </w:tcPr>
          <w:p>
            <w:r>
              <w:rPr>
                <w:b w:val="false"/>
                <w:bCs w:val="false"/>
              </w:rPr>
              <w:t xml:space="preserve">11-Jan-2018 (original)</w:t>
            </w:r>
          </w:p>
        </w:tc>
        <w:tc>
          <w:tcPr>
            <w:tcW w:type="dxa" w:w="5133"/>
            <w:tcMar>
              <w:top w:type="dxa" w:w="60"/>
              <w:left w:type="dxa" w:w="100"/>
              <w:bottom w:type="dxa" w:w="60"/>
              <w:right w:type="dxa" w:w="100"/>
            </w:tcMar>
          </w:tcPr>
          <w:p>
            <w:r>
              <w:rPr>
                <w:b w:val="false"/>
                <w:bCs w:val="false"/>
              </w:rPr>
              <w:t xml:space="preserve">Original routine creation</w:t>
            </w:r>
          </w:p>
        </w:tc>
      </w:tr>
      <w:tr>
        <w:tc>
          <w:tcPr>
            <w:tcW w:type="dxa" w:w="2415"/>
            <w:tcMar>
              <w:top w:type="dxa" w:w="60"/>
              <w:left w:type="dxa" w:w="100"/>
              <w:bottom w:type="dxa" w:w="60"/>
              <w:right w:type="dxa" w:w="100"/>
            </w:tcMar>
          </w:tcPr>
          <w:p>
            <w:r>
              <w:rPr>
                <w:b w:val="false"/>
                <w:bCs w:val="false"/>
              </w:rPr>
              <w:t xml:space="preserve">Rajasekhar / MCBCS-20180614</w:t>
            </w:r>
          </w:p>
        </w:tc>
        <w:tc>
          <w:tcPr>
            <w:tcW w:type="dxa" w:w="1812"/>
            <w:tcMar>
              <w:top w:type="dxa" w:w="60"/>
              <w:left w:type="dxa" w:w="100"/>
              <w:bottom w:type="dxa" w:w="60"/>
              <w:right w:type="dxa" w:w="100"/>
            </w:tcMar>
          </w:tcPr>
          <w:p>
            <w:r>
              <w:rPr>
                <w:b w:val="false"/>
                <w:bCs w:val="false"/>
              </w:rPr>
              <w:t xml:space="preserve">14-Jun-2018</w:t>
            </w:r>
          </w:p>
        </w:tc>
        <w:tc>
          <w:tcPr>
            <w:tcW w:type="dxa" w:w="5133"/>
            <w:tcMar>
              <w:top w:type="dxa" w:w="60"/>
              <w:left w:type="dxa" w:w="100"/>
              <w:bottom w:type="dxa" w:w="60"/>
              <w:right w:type="dxa" w:w="100"/>
            </w:tcMar>
          </w:tcPr>
          <w:p>
            <w:r>
              <w:rPr>
                <w:b w:val="false"/>
                <w:bCs w:val="false"/>
              </w:rPr>
              <w:t xml:space="preserve">R18 upgrade retrofit — comparison-operator modernization (=, &lt;&gt; to EQ, NE), F.READ conversions; largely mechanical, but this is also where the FUNCTION_ID/FUNCTION.ID split and NOTAUTHCOUNT LT/GT issue most likely originated or were carried forward unnoticed</w:t>
            </w:r>
          </w:p>
        </w:tc>
      </w:tr>
      <w:tr>
        <w:tc>
          <w:tcPr>
            <w:tcW w:type="dxa" w:w="2415"/>
            <w:tcMar>
              <w:top w:type="dxa" w:w="60"/>
              <w:left w:type="dxa" w:w="100"/>
              <w:bottom w:type="dxa" w:w="60"/>
              <w:right w:type="dxa" w:w="100"/>
            </w:tcMar>
          </w:tcPr>
          <w:p>
            <w:r>
              <w:rPr>
                <w:b w:val="false"/>
                <w:bCs w:val="false"/>
              </w:rPr>
              <w:t xml:space="preserve">TAFJ Conversion</w:t>
            </w:r>
          </w:p>
        </w:tc>
        <w:tc>
          <w:tcPr>
            <w:tcW w:type="dxa" w:w="1812"/>
            <w:tcMar>
              <w:top w:type="dxa" w:w="60"/>
              <w:left w:type="dxa" w:w="100"/>
              <w:bottom w:type="dxa" w:w="60"/>
              <w:right w:type="dxa" w:w="100"/>
            </w:tcMar>
          </w:tcPr>
          <w:p>
            <w:r>
              <w:rPr>
                <w:b w:val="false"/>
                <w:bCs w:val="false"/>
              </w:rPr>
              <w:t xml:space="preserve">30-Mar-2020</w:t>
            </w:r>
          </w:p>
        </w:tc>
        <w:tc>
          <w:tcPr>
            <w:tcW w:type="dxa" w:w="5133"/>
            <w:tcMar>
              <w:top w:type="dxa" w:w="60"/>
              <w:left w:type="dxa" w:w="100"/>
              <w:bottom w:type="dxa" w:w="60"/>
              <w:right w:type="dxa" w:w="100"/>
            </w:tcMar>
          </w:tcPr>
          <w:p>
            <w:r>
              <w:rPr>
                <w:b w:val="false"/>
                <w:bCs w:val="false"/>
              </w:rPr>
              <w:t xml:space="preserve">Null-string comparison fixes for INTERMED_BANK_ACCT and ACCT_WITH_BANK_ACC defaulting</w:t>
            </w:r>
          </w:p>
        </w:tc>
      </w:tr>
    </w:tbl>
    <w:p>
      <w:pPr>
        <w:pStyle w:val="Heading1"/>
        <w:pBdr>
          <w:bottom w:val="single" w:color="2E5395" w:sz="6" w:space="4"/>
        </w:pBdr>
        <w:spacing w:after="150" w:before="300"/>
      </w:pPr>
      <w:r>
        <w:t xml:space="preserve">12. Open Questions / Assumptions for the Team</w:t>
      </w:r>
    </w:p>
    <w:p>
      <w:pPr>
        <w:pStyle w:val="ListParagraph"/>
        <w:numPr>
          <w:ilvl w:val="0"/>
          <w:numId w:val="1"/>
        </w:numPr>
        <w:spacing w:after="60"/>
      </w:pPr>
      <w:r>
        <w:t xml:space="preserve">Highest priority: does a VALIDATE-mode call to this service actually behave safely in production today, given Critical Finding #1? If yes, what mechanism makes FUNCTION.ID resolve correctly despite the apparent variable mismatch?</w:t>
      </w:r>
    </w:p>
    <w:p>
      <w:pPr>
        <w:pStyle w:val="ListParagraph"/>
        <w:numPr>
          <w:ilvl w:val="0"/>
          <w:numId w:val="1"/>
        </w:numPr>
        <w:spacing w:after="60"/>
      </w:pPr>
      <w:r>
        <w:t xml:space="preserve">Is the NOTAUTHCOUNT LT 0 condition (Finding #2) a known, accepted quirk, or has it caused real support tickets for Nostro amendments being reported as failed when T24 actually treated them as already-authorized?</w:t>
      </w:r>
    </w:p>
    <w:p>
      <w:pPr>
        <w:pStyle w:val="ListParagraph"/>
        <w:numPr>
          <w:ilvl w:val="0"/>
          <w:numId w:val="1"/>
        </w:numPr>
        <w:spacing w:after="60"/>
      </w:pPr>
      <w:r>
        <w:t xml:space="preserve">What do 'PEG_FLAG' and 'DE customer number' mean in business terms, and is the SW- prefix convention for ACCT_WITH_BANK still current?</w:t>
      </w:r>
    </w:p>
    <w:p>
      <w:pPr>
        <w:pStyle w:val="ListParagraph"/>
        <w:numPr>
          <w:ilvl w:val="0"/>
          <w:numId w:val="1"/>
        </w:numPr>
        <w:spacing w:after="60"/>
      </w:pPr>
      <w:r>
        <w:t xml:space="preserve">Is the hardcoded branch code '085' correct for all Nostro transfers processed via this service, or does it need to vary?</w:t>
      </w:r>
    </w:p>
    <w:p>
      <w:pPr>
        <w:pStyle w:val="ListParagraph"/>
        <w:numPr>
          <w:ilvl w:val="0"/>
          <w:numId w:val="1"/>
        </w:numPr>
        <w:spacing w:after="60"/>
      </w:pPr>
      <w:r>
        <w:t xml:space="preserve">Is FBNK.NOSTRO.ACC intentionally unused by this routine, or was a planned validation against actual Nostro account records never completed?</w:t>
      </w:r>
    </w:p>
    <w:p>
      <w:pPr>
        <w:pStyle w:val="ListParagraph"/>
        <w:numPr>
          <w:ilvl w:val="0"/>
          <w:numId w:val="1"/>
        </w:numPr>
        <w:spacing w:after="60"/>
      </w:pPr>
      <w:r>
        <w:t xml:space="preserve">Should the TPH/IRIS Nostro Transfer endpoint support FX auto-derivation (matching the customer-transfer services) or preserve the current two-sided explicit-amount model?</w:t>
      </w:r>
    </w:p>
    <w:p>
      <w:pPr>
        <w:pStyle w:val="ListParagraph"/>
        <w:numPr>
          <w:ilvl w:val="0"/>
          <w:numId w:val="1"/>
        </w:numPr>
        <w:spacing w:after="60"/>
      </w:pPr>
      <w:r>
        <w:t xml:space="preserve">Is COMMISSION.CODE genuinely never auto-defaulted for Nostro transfers today, or is there a downstream/config-driven default this routine doesn't show?</w:t>
      </w:r>
    </w:p>
    <w:p>
      <w:pPr>
        <w:pStyle w:val="ListParagraph"/>
        <w:numPr>
          <w:ilvl w:val="0"/>
          <w:numId w:val="1"/>
        </w:numPr>
        <w:spacing w:after="60"/>
      </w:pPr>
      <w:r>
        <w:t xml:space="preserve">The real sample (§13) revealed a T24-core duplicate-contract detection layer, separate from this routine's own CIB.API.FT idempotency cache — how does that core-level matching work, and should the TPH/IRIS design rely on it, replicate it, or treat this routine's own MSG.ID cache as sufficient on its own?</w:t>
      </w:r>
    </w:p>
    <w:p>
      <w:pPr>
        <w:pStyle w:val="Heading1"/>
        <w:pBdr>
          <w:bottom w:val="single" w:color="2E5395" w:sz="6" w:space="4"/>
        </w:pBdr>
        <w:spacing w:after="150" w:before="300"/>
      </w:pPr>
      <w:r>
        <w:t xml:space="preserve">13. Real Sample Message Walkthrough (BPM Channel)</w:t>
      </w:r>
    </w:p>
    <w:p>
      <w:pPr>
        <w:spacing w:after="120"/>
      </w:pPr>
      <w:r>
        <w:rPr>
          <w:i/>
          <w:iCs/>
          <w:color w:val="555555"/>
        </w:rPr>
        <w:t xml:space="preserve">A captured request/response pair for NA02 (channel BPM), used to validate the code-based analysis above against live behavior.</w:t>
      </w:r>
    </w:p>
    <w:p>
      <w:pPr>
        <w:pStyle w:val="Heading2"/>
        <w:spacing w:after="120" w:before="260"/>
      </w:pPr>
      <w:r>
        <w:t xml:space="preserve">13.1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9"/>
        <w:gridCol w:w="2233"/>
        <w:gridCol w:w="5238"/>
      </w:tblGrid>
      <w:tr>
        <w:trPr>
          <w:tblHeader/>
        </w:trPr>
        <w:tc>
          <w:tcPr>
            <w:tcW w:type="dxa" w:w="1889"/>
            <w:shd w:fill="2E5395" w:val="clear"/>
            <w:tcMar>
              <w:top w:type="dxa" w:w="80"/>
              <w:left w:type="dxa" w:w="100"/>
              <w:bottom w:type="dxa" w:w="80"/>
              <w:right w:type="dxa" w:w="100"/>
            </w:tcMar>
          </w:tcPr>
          <w:p>
            <w:r>
              <w:rPr>
                <w:b/>
                <w:bCs/>
                <w:color w:val="FFFFFF"/>
              </w:rPr>
              <w:t xml:space="preserve">Request Field</w:t>
            </w:r>
          </w:p>
        </w:tc>
        <w:tc>
          <w:tcPr>
            <w:tcW w:type="dxa" w:w="2233"/>
            <w:shd w:fill="2E5395" w:val="clear"/>
            <w:tcMar>
              <w:top w:type="dxa" w:w="80"/>
              <w:left w:type="dxa" w:w="100"/>
              <w:bottom w:type="dxa" w:w="80"/>
              <w:right w:type="dxa" w:w="100"/>
            </w:tcMar>
          </w:tcPr>
          <w:p>
            <w:r>
              <w:rPr>
                <w:b/>
                <w:bCs/>
                <w:color w:val="FFFFFF"/>
              </w:rPr>
              <w:t xml:space="preserve">Sample Value</w:t>
            </w:r>
          </w:p>
        </w:tc>
        <w:tc>
          <w:tcPr>
            <w:tcW w:type="dxa" w:w="5238"/>
            <w:shd w:fill="2E5395" w:val="clear"/>
            <w:tcMar>
              <w:top w:type="dxa" w:w="80"/>
              <w:left w:type="dxa" w:w="100"/>
              <w:bottom w:type="dxa" w:w="80"/>
              <w:right w:type="dxa" w:w="100"/>
            </w:tcMar>
          </w:tcPr>
          <w:p>
            <w:r>
              <w:rPr>
                <w:b/>
                <w:bCs/>
                <w:color w:val="FFFFFF"/>
              </w:rPr>
              <w:t xml:space="preserve">What It Confirms / Reveals</w:t>
            </w:r>
          </w:p>
        </w:tc>
      </w:tr>
      <w:tr>
        <w:tc>
          <w:tcPr>
            <w:tcW w:type="dxa" w:w="1889"/>
            <w:tcMar>
              <w:top w:type="dxa" w:w="60"/>
              <w:left w:type="dxa" w:w="100"/>
              <w:bottom w:type="dxa" w:w="60"/>
              <w:right w:type="dxa" w:w="100"/>
            </w:tcMar>
          </w:tcPr>
          <w:p>
            <w:r>
              <w:rPr>
                <w:b w:val="false"/>
                <w:bCs w:val="false"/>
              </w:rPr>
              <w:t xml:space="preserve">SRVC_ID / CHNL_CODE / MSG_ID</w:t>
            </w:r>
          </w:p>
        </w:tc>
        <w:tc>
          <w:tcPr>
            <w:tcW w:type="dxa" w:w="2233"/>
            <w:tcMar>
              <w:top w:type="dxa" w:w="60"/>
              <w:left w:type="dxa" w:w="100"/>
              <w:bottom w:type="dxa" w:w="60"/>
              <w:right w:type="dxa" w:w="100"/>
            </w:tcMar>
          </w:tcPr>
          <w:p>
            <w:r>
              <w:rPr>
                <w:b w:val="false"/>
                <w:bCs w:val="false"/>
              </w:rPr>
              <w:t xml:space="preserve">NA02 / BPM / 89561</w:t>
            </w:r>
          </w:p>
        </w:tc>
        <w:tc>
          <w:tcPr>
            <w:tcW w:type="dxa" w:w="5238"/>
            <w:tcMar>
              <w:top w:type="dxa" w:w="60"/>
              <w:left w:type="dxa" w:w="100"/>
              <w:bottom w:type="dxa" w:w="60"/>
              <w:right w:type="dxa" w:w="100"/>
            </w:tcMar>
          </w:tcPr>
          <w:p>
            <w:r>
              <w:rPr>
                <w:b w:val="false"/>
                <w:bCs w:val="false"/>
              </w:rPr>
              <w:t xml:space="preserve">Confirms Service NA02, channel BPM</w:t>
            </w:r>
          </w:p>
        </w:tc>
      </w:tr>
      <w:tr>
        <w:tc>
          <w:tcPr>
            <w:tcW w:type="dxa" w:w="1889"/>
            <w:tcMar>
              <w:top w:type="dxa" w:w="60"/>
              <w:left w:type="dxa" w:w="100"/>
              <w:bottom w:type="dxa" w:w="60"/>
              <w:right w:type="dxa" w:w="100"/>
            </w:tcMar>
          </w:tcPr>
          <w:p>
            <w:r>
              <w:rPr>
                <w:b w:val="false"/>
                <w:bCs w:val="false"/>
              </w:rPr>
              <w:t xml:space="preserve">FUNCTION_ID</w:t>
            </w:r>
          </w:p>
        </w:tc>
        <w:tc>
          <w:tcPr>
            <w:tcW w:type="dxa" w:w="2233"/>
            <w:tcMar>
              <w:top w:type="dxa" w:w="60"/>
              <w:left w:type="dxa" w:w="100"/>
              <w:bottom w:type="dxa" w:w="60"/>
              <w:right w:type="dxa" w:w="100"/>
            </w:tcMar>
          </w:tcPr>
          <w:p>
            <w:r>
              <w:rPr>
                <w:b w:val="false"/>
                <w:bCs w:val="false"/>
              </w:rPr>
              <w:t xml:space="preserve">(blank)</w:t>
            </w:r>
          </w:p>
        </w:tc>
        <w:tc>
          <w:tcPr>
            <w:tcW w:type="dxa" w:w="5238"/>
            <w:tcMar>
              <w:top w:type="dxa" w:w="60"/>
              <w:left w:type="dxa" w:w="100"/>
              <w:bottom w:type="dxa" w:w="60"/>
              <w:right w:type="dxa" w:w="100"/>
            </w:tcMar>
          </w:tcPr>
          <w:p>
            <w:r>
              <w:rPr>
                <w:b w:val="false"/>
                <w:bCs w:val="false"/>
              </w:rPr>
              <w:t xml:space="preserve">The channel did not request VALIDATE mode here — this call does not exercise Critical Finding #1's dangerous path (a requested 'V' being ignored), since 'V' was never actually requested. This sample neither confirms nor clears that finding — a separate test with FUNCTION_ID='V' explicitly set is still needed.</w:t>
            </w:r>
          </w:p>
        </w:tc>
      </w:tr>
      <w:tr>
        <w:tc>
          <w:tcPr>
            <w:tcW w:type="dxa" w:w="1889"/>
            <w:tcMar>
              <w:top w:type="dxa" w:w="60"/>
              <w:left w:type="dxa" w:w="100"/>
              <w:bottom w:type="dxa" w:w="60"/>
              <w:right w:type="dxa" w:w="100"/>
            </w:tcMar>
          </w:tcPr>
          <w:p>
            <w:r>
              <w:rPr>
                <w:b w:val="false"/>
                <w:bCs w:val="false"/>
              </w:rPr>
              <w:t xml:space="preserve">DEBIT_CURRENCY / DEBIT_AMOUNT</w:t>
            </w:r>
          </w:p>
        </w:tc>
        <w:tc>
          <w:tcPr>
            <w:tcW w:type="dxa" w:w="2233"/>
            <w:tcMar>
              <w:top w:type="dxa" w:w="60"/>
              <w:left w:type="dxa" w:w="100"/>
              <w:bottom w:type="dxa" w:w="60"/>
              <w:right w:type="dxa" w:w="100"/>
            </w:tcMar>
          </w:tcPr>
          <w:p>
            <w:r>
              <w:rPr>
                <w:b w:val="false"/>
                <w:bCs w:val="false"/>
              </w:rPr>
              <w:t xml:space="preserve">(both blank)</w:t>
            </w:r>
          </w:p>
        </w:tc>
        <w:tc>
          <w:tcPr>
            <w:tcW w:type="dxa" w:w="5238"/>
            <w:tcMar>
              <w:top w:type="dxa" w:w="60"/>
              <w:left w:type="dxa" w:w="100"/>
              <w:bottom w:type="dxa" w:w="60"/>
              <w:right w:type="dxa" w:w="100"/>
            </w:tcMar>
          </w:tcPr>
          <w:p>
            <w:r>
              <w:rPr>
                <w:b w:val="false"/>
                <w:bCs w:val="false"/>
              </w:rPr>
              <w:t xml:space="preserve">See the refined §4.1 — T24 auto-derived both from the credit side (EUR / mirrored amount) since no FX conversion was needed. Refines the original assumption that both transfer legs must always be supplied explicitly.</w:t>
            </w:r>
          </w:p>
        </w:tc>
      </w:tr>
      <w:tr>
        <w:tc>
          <w:tcPr>
            <w:tcW w:type="dxa" w:w="1889"/>
            <w:tcMar>
              <w:top w:type="dxa" w:w="60"/>
              <w:left w:type="dxa" w:w="100"/>
              <w:bottom w:type="dxa" w:w="60"/>
              <w:right w:type="dxa" w:w="100"/>
            </w:tcMar>
          </w:tcPr>
          <w:p>
            <w:r>
              <w:rPr>
                <w:b w:val="false"/>
                <w:bCs w:val="false"/>
              </w:rPr>
              <w:t xml:space="preserve">CREDIT_ACCT_NO / CREDIT_CURRENCY / CREDIT_AMOUNT</w:t>
            </w:r>
          </w:p>
        </w:tc>
        <w:tc>
          <w:tcPr>
            <w:tcW w:type="dxa" w:w="2233"/>
            <w:tcMar>
              <w:top w:type="dxa" w:w="60"/>
              <w:left w:type="dxa" w:w="100"/>
              <w:bottom w:type="dxa" w:w="60"/>
              <w:right w:type="dxa" w:w="100"/>
            </w:tcMar>
          </w:tcPr>
          <w:p>
            <w:r>
              <w:rPr>
                <w:b w:val="false"/>
                <w:bCs w:val="false"/>
              </w:rPr>
              <w:t xml:space="preserve">100015289524 / EUR / 100</w:t>
            </w:r>
          </w:p>
        </w:tc>
        <w:tc>
          <w:tcPr>
            <w:tcW w:type="dxa" w:w="5238"/>
            <w:tcMar>
              <w:top w:type="dxa" w:w="60"/>
              <w:left w:type="dxa" w:w="100"/>
              <w:bottom w:type="dxa" w:w="60"/>
              <w:right w:type="dxa" w:w="100"/>
            </w:tcMar>
          </w:tcPr>
          <w:p>
            <w:r>
              <w:rPr>
                <w:b w:val="false"/>
                <w:bCs w:val="false"/>
              </w:rPr>
              <w:t xml:space="preserve">The credit (target) leg, fully specified</w:t>
            </w:r>
          </w:p>
        </w:tc>
      </w:tr>
      <w:tr>
        <w:tc>
          <w:tcPr>
            <w:tcW w:type="dxa" w:w="1889"/>
            <w:tcMar>
              <w:top w:type="dxa" w:w="60"/>
              <w:left w:type="dxa" w:w="100"/>
              <w:bottom w:type="dxa" w:w="60"/>
              <w:right w:type="dxa" w:w="100"/>
            </w:tcMar>
          </w:tcPr>
          <w:p>
            <w:r>
              <w:rPr>
                <w:b w:val="false"/>
                <w:bCs w:val="false"/>
              </w:rPr>
              <w:t xml:space="preserve">OD_FLAG</w:t>
            </w:r>
          </w:p>
        </w:tc>
        <w:tc>
          <w:tcPr>
            <w:tcW w:type="dxa" w:w="2233"/>
            <w:tcMar>
              <w:top w:type="dxa" w:w="60"/>
              <w:left w:type="dxa" w:w="100"/>
              <w:bottom w:type="dxa" w:w="60"/>
              <w:right w:type="dxa" w:w="100"/>
            </w:tcMar>
          </w:tcPr>
          <w:p>
            <w:r>
              <w:rPr>
                <w:b w:val="false"/>
                <w:bCs w:val="false"/>
              </w:rPr>
              <w:t xml:space="preserve">Y</w:t>
            </w:r>
          </w:p>
        </w:tc>
        <w:tc>
          <w:tcPr>
            <w:tcW w:type="dxa" w:w="5238"/>
            <w:tcMar>
              <w:top w:type="dxa" w:w="60"/>
              <w:left w:type="dxa" w:w="100"/>
              <w:bottom w:type="dxa" w:w="60"/>
              <w:right w:type="dxa" w:w="100"/>
            </w:tcMar>
          </w:tcPr>
          <w:p>
            <w:r>
              <w:rPr>
                <w:b w:val="false"/>
                <w:bCs w:val="false"/>
              </w:rPr>
              <w:t xml:space="preserve">Confirms the wire/XML tag name is OD_FLAG, not OD_TYPE — OD_TYPE is this routine's own internal variable name; the upstream adapter maps OD_FLAG (wire) to OD_TYPE (internal), the same tag-renaming pattern seen in other services' samples</w:t>
            </w:r>
          </w:p>
        </w:tc>
      </w:tr>
      <w:tr>
        <w:tc>
          <w:tcPr>
            <w:tcW w:type="dxa" w:w="1889"/>
            <w:tcMar>
              <w:top w:type="dxa" w:w="60"/>
              <w:left w:type="dxa" w:w="100"/>
              <w:bottom w:type="dxa" w:w="60"/>
              <w:right w:type="dxa" w:w="100"/>
            </w:tcMar>
          </w:tcPr>
          <w:p>
            <w:r>
              <w:rPr>
                <w:b w:val="false"/>
                <w:bCs w:val="false"/>
              </w:rPr>
              <w:t xml:space="preserve">LOC_CLRG_REF</w:t>
            </w:r>
          </w:p>
        </w:tc>
        <w:tc>
          <w:tcPr>
            <w:tcW w:type="dxa" w:w="2233"/>
            <w:tcMar>
              <w:top w:type="dxa" w:w="60"/>
              <w:left w:type="dxa" w:w="100"/>
              <w:bottom w:type="dxa" w:w="60"/>
              <w:right w:type="dxa" w:w="100"/>
            </w:tcMar>
          </w:tcPr>
          <w:p>
            <w:r>
              <w:rPr>
                <w:b w:val="false"/>
                <w:bCs w:val="false"/>
              </w:rPr>
              <w:t xml:space="preserve">687237514327</w:t>
            </w:r>
          </w:p>
        </w:tc>
        <w:tc>
          <w:tcPr>
            <w:tcW w:type="dxa" w:w="5238"/>
            <w:tcMar>
              <w:top w:type="dxa" w:w="60"/>
              <w:left w:type="dxa" w:w="100"/>
              <w:bottom w:type="dxa" w:w="60"/>
              <w:right w:type="dxa" w:w="100"/>
            </w:tcMar>
          </w:tcPr>
          <w:p>
            <w:r>
              <w:rPr>
                <w:b w:val="false"/>
                <w:bCs w:val="false"/>
              </w:rPr>
              <w:t xml:space="preserve">Confirmed direct mapping to LOC.CLRG.REF in the OFS output — matches the documented SEND.CORR-internal-variable → LOC.CLRG.REF-output-field chain exactly</w:t>
            </w:r>
          </w:p>
        </w:tc>
      </w:tr>
      <w:tr>
        <w:tc>
          <w:tcPr>
            <w:tcW w:type="dxa" w:w="1889"/>
            <w:tcMar>
              <w:top w:type="dxa" w:w="60"/>
              <w:left w:type="dxa" w:w="100"/>
              <w:bottom w:type="dxa" w:w="60"/>
              <w:right w:type="dxa" w:w="100"/>
            </w:tcMar>
          </w:tcPr>
          <w:p>
            <w:r>
              <w:rPr>
                <w:b w:val="false"/>
                <w:bCs w:val="false"/>
              </w:rPr>
              <w:t xml:space="preserve">INTERMED_BANK / ACCT_WITH_BANK / BEN_BANK</w:t>
            </w:r>
          </w:p>
        </w:tc>
        <w:tc>
          <w:tcPr>
            <w:tcW w:type="dxa" w:w="2233"/>
            <w:tcMar>
              <w:top w:type="dxa" w:w="60"/>
              <w:left w:type="dxa" w:w="100"/>
              <w:bottom w:type="dxa" w:w="60"/>
              <w:right w:type="dxa" w:w="100"/>
            </w:tcMar>
          </w:tcPr>
          <w:p>
            <w:r>
              <w:rPr>
                <w:b w:val="false"/>
                <w:bCs w:val="false"/>
              </w:rPr>
              <w:t xml:space="preserve">SW-MGTCBEBEECL / SW-CEDELULLXXX / SW-CIBEEGCXXXX</w:t>
            </w:r>
          </w:p>
        </w:tc>
        <w:tc>
          <w:tcPr>
            <w:tcW w:type="dxa" w:w="5238"/>
            <w:tcMar>
              <w:top w:type="dxa" w:w="60"/>
              <w:left w:type="dxa" w:w="100"/>
              <w:bottom w:type="dxa" w:w="60"/>
              <w:right w:type="dxa" w:w="100"/>
            </w:tcMar>
          </w:tcPr>
          <w:p>
            <w:r>
              <w:rPr>
                <w:b w:val="false"/>
                <w:bCs w:val="false"/>
              </w:rPr>
              <w:t xml:space="preserve">SWIFT-style correspondent bank codes, confirmed posted as raw passthrough values</w:t>
            </w:r>
          </w:p>
        </w:tc>
      </w:tr>
      <w:tr>
        <w:tc>
          <w:tcPr>
            <w:tcW w:type="dxa" w:w="1889"/>
            <w:tcMar>
              <w:top w:type="dxa" w:w="60"/>
              <w:left w:type="dxa" w:w="100"/>
              <w:bottom w:type="dxa" w:w="60"/>
              <w:right w:type="dxa" w:w="100"/>
            </w:tcMar>
          </w:tcPr>
          <w:p>
            <w:r>
              <w:rPr>
                <w:b w:val="false"/>
                <w:bCs w:val="false"/>
              </w:rPr>
              <w:t xml:space="preserve">BEN_ACCT_NO</w:t>
            </w:r>
          </w:p>
        </w:tc>
        <w:tc>
          <w:tcPr>
            <w:tcW w:type="dxa" w:w="2233"/>
            <w:tcMar>
              <w:top w:type="dxa" w:w="60"/>
              <w:left w:type="dxa" w:w="100"/>
              <w:bottom w:type="dxa" w:w="60"/>
              <w:right w:type="dxa" w:w="100"/>
            </w:tcMar>
          </w:tcPr>
          <w:p>
            <w:r>
              <w:rPr>
                <w:b w:val="false"/>
                <w:bCs w:val="false"/>
              </w:rPr>
              <w:t xml:space="preserve">17280-EUR (with a trailing space in the raw value)</w:t>
            </w:r>
          </w:p>
        </w:tc>
        <w:tc>
          <w:tcPr>
            <w:tcW w:type="dxa" w:w="5238"/>
            <w:tcMar>
              <w:top w:type="dxa" w:w="60"/>
              <w:left w:type="dxa" w:w="100"/>
              <w:bottom w:type="dxa" w:w="60"/>
              <w:right w:type="dxa" w:w="100"/>
            </w:tcMar>
          </w:tcPr>
          <w:p>
            <w:r>
              <w:rPr>
                <w:b w:val="false"/>
                <w:bCs w:val="false"/>
              </w:rPr>
              <w:t xml:space="preserve">Confirmed posted as a raw literal with no IBAN validation — the value isn't IBAN-shaped at all, reinforcing that this service uses a different beneficiary-identification convention than retail IBAN</w:t>
            </w:r>
          </w:p>
        </w:tc>
      </w:tr>
      <w:tr>
        <w:tc>
          <w:tcPr>
            <w:tcW w:type="dxa" w:w="1889"/>
            <w:tcMar>
              <w:top w:type="dxa" w:w="60"/>
              <w:left w:type="dxa" w:w="100"/>
              <w:bottom w:type="dxa" w:w="60"/>
              <w:right w:type="dxa" w:w="100"/>
            </w:tcMar>
          </w:tcPr>
          <w:p>
            <w:r>
              <w:rPr>
                <w:b w:val="false"/>
                <w:bCs w:val="false"/>
              </w:rPr>
              <w:t xml:space="preserve">PEG_FLAG</w:t>
            </w:r>
          </w:p>
        </w:tc>
        <w:tc>
          <w:tcPr>
            <w:tcW w:type="dxa" w:w="2233"/>
            <w:tcMar>
              <w:top w:type="dxa" w:w="60"/>
              <w:left w:type="dxa" w:w="100"/>
              <w:bottom w:type="dxa" w:w="60"/>
              <w:right w:type="dxa" w:w="100"/>
            </w:tcMar>
          </w:tcPr>
          <w:p>
            <w:r>
              <w:rPr>
                <w:b w:val="false"/>
                <w:bCs w:val="false"/>
              </w:rPr>
              <w:t xml:space="preserve">(blank)</w:t>
            </w:r>
          </w:p>
        </w:tc>
        <w:tc>
          <w:tcPr>
            <w:tcW w:type="dxa" w:w="5238"/>
            <w:tcMar>
              <w:top w:type="dxa" w:w="60"/>
              <w:left w:type="dxa" w:w="100"/>
              <w:bottom w:type="dxa" w:w="60"/>
              <w:right w:type="dxa" w:w="100"/>
            </w:tcMar>
          </w:tcPr>
          <w:p>
            <w:r>
              <w:rPr>
                <w:b w:val="false"/>
                <w:bCs w:val="false"/>
              </w:rPr>
              <w:t xml:space="preserve">Since PEG_FLAG is not '1', the DE.CUST.NO derivation rule (§4.2) correctly does not fire — no DE.CUST.NO field appears anywhere in the response's OFS_RETURN, confirming the conditional logic live</w:t>
            </w:r>
          </w:p>
        </w:tc>
      </w:tr>
      <w:tr>
        <w:tc>
          <w:tcPr>
            <w:tcW w:type="dxa" w:w="1889"/>
            <w:tcMar>
              <w:top w:type="dxa" w:w="60"/>
              <w:left w:type="dxa" w:w="100"/>
              <w:bottom w:type="dxa" w:w="60"/>
              <w:right w:type="dxa" w:w="100"/>
            </w:tcMar>
          </w:tcPr>
          <w:p>
            <w:r>
              <w:rPr>
                <w:b w:val="false"/>
                <w:bCs w:val="false"/>
              </w:rPr>
              <w:t xml:space="preserve">CHARGES_ACCT_NO / COMMISSION_CODE</w:t>
            </w:r>
          </w:p>
        </w:tc>
        <w:tc>
          <w:tcPr>
            <w:tcW w:type="dxa" w:w="2233"/>
            <w:tcMar>
              <w:top w:type="dxa" w:w="60"/>
              <w:left w:type="dxa" w:w="100"/>
              <w:bottom w:type="dxa" w:w="60"/>
              <w:right w:type="dxa" w:w="100"/>
            </w:tcMar>
          </w:tcPr>
          <w:p>
            <w:r>
              <w:rPr>
                <w:b w:val="false"/>
                <w:bCs w:val="false"/>
              </w:rPr>
              <w:t xml:space="preserve">(both blank)</w:t>
            </w:r>
          </w:p>
        </w:tc>
        <w:tc>
          <w:tcPr>
            <w:tcW w:type="dxa" w:w="5238"/>
            <w:tcMar>
              <w:top w:type="dxa" w:w="60"/>
              <w:left w:type="dxa" w:w="100"/>
              <w:bottom w:type="dxa" w:w="60"/>
              <w:right w:type="dxa" w:w="100"/>
            </w:tcMar>
          </w:tcPr>
          <w:p>
            <w:r>
              <w:rPr>
                <w:b w:val="false"/>
                <w:bCs w:val="false"/>
              </w:rPr>
              <w:t xml:space="preserve">See §13.2 — both come back populated in the response despite being blank in the request, confirming T24/version-level defaulting outside this routine's own code</w:t>
            </w:r>
          </w:p>
        </w:tc>
      </w:tr>
    </w:tbl>
    <w:p>
      <w:pPr>
        <w:pStyle w:val="Heading2"/>
        <w:spacing w:after="120" w:before="260"/>
      </w:pPr>
      <w:r>
        <w:t xml:space="preserve">13.2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9"/>
        <w:gridCol w:w="2233"/>
        <w:gridCol w:w="5238"/>
      </w:tblGrid>
      <w:tr>
        <w:trPr>
          <w:tblHeader/>
        </w:trPr>
        <w:tc>
          <w:tcPr>
            <w:tcW w:type="dxa" w:w="1889"/>
            <w:shd w:fill="2E5395" w:val="clear"/>
            <w:tcMar>
              <w:top w:type="dxa" w:w="80"/>
              <w:left w:type="dxa" w:w="100"/>
              <w:bottom w:type="dxa" w:w="80"/>
              <w:right w:type="dxa" w:w="100"/>
            </w:tcMar>
          </w:tcPr>
          <w:p>
            <w:r>
              <w:rPr>
                <w:b/>
                <w:bCs/>
                <w:color w:val="FFFFFF"/>
              </w:rPr>
              <w:t xml:space="preserve">Response Field</w:t>
            </w:r>
          </w:p>
        </w:tc>
        <w:tc>
          <w:tcPr>
            <w:tcW w:type="dxa" w:w="2233"/>
            <w:shd w:fill="2E5395" w:val="clear"/>
            <w:tcMar>
              <w:top w:type="dxa" w:w="80"/>
              <w:left w:type="dxa" w:w="100"/>
              <w:bottom w:type="dxa" w:w="80"/>
              <w:right w:type="dxa" w:w="100"/>
            </w:tcMar>
          </w:tcPr>
          <w:p>
            <w:r>
              <w:rPr>
                <w:b/>
                <w:bCs/>
                <w:color w:val="FFFFFF"/>
              </w:rPr>
              <w:t xml:space="preserve">Sample Value</w:t>
            </w:r>
          </w:p>
        </w:tc>
        <w:tc>
          <w:tcPr>
            <w:tcW w:type="dxa" w:w="5238"/>
            <w:shd w:fill="2E5395" w:val="clear"/>
            <w:tcMar>
              <w:top w:type="dxa" w:w="80"/>
              <w:left w:type="dxa" w:w="100"/>
              <w:bottom w:type="dxa" w:w="80"/>
              <w:right w:type="dxa" w:w="100"/>
            </w:tcMar>
          </w:tcPr>
          <w:p>
            <w:r>
              <w:rPr>
                <w:b/>
                <w:bCs/>
                <w:color w:val="FFFFFF"/>
              </w:rPr>
              <w:t xml:space="preserve">What It Confirms / Reveals</w:t>
            </w:r>
          </w:p>
        </w:tc>
      </w:tr>
      <w:tr>
        <w:tc>
          <w:tcPr>
            <w:tcW w:type="dxa" w:w="1889"/>
            <w:tcMar>
              <w:top w:type="dxa" w:w="60"/>
              <w:left w:type="dxa" w:w="100"/>
              <w:bottom w:type="dxa" w:w="60"/>
              <w:right w:type="dxa" w:w="100"/>
            </w:tcMar>
          </w:tcPr>
          <w:p>
            <w:r>
              <w:rPr>
                <w:b w:val="false"/>
                <w:bCs w:val="false"/>
              </w:rPr>
              <w:t xml:space="preserve">RETURN_CODE</w:t>
            </w:r>
          </w:p>
        </w:tc>
        <w:tc>
          <w:tcPr>
            <w:tcW w:type="dxa" w:w="2233"/>
            <w:tcMar>
              <w:top w:type="dxa" w:w="60"/>
              <w:left w:type="dxa" w:w="100"/>
              <w:bottom w:type="dxa" w:w="60"/>
              <w:right w:type="dxa" w:w="100"/>
            </w:tcMar>
          </w:tcPr>
          <w:p>
            <w:r>
              <w:rPr>
                <w:b w:val="false"/>
                <w:bCs w:val="false"/>
              </w:rPr>
              <w:t xml:space="preserve">1001</w:t>
            </w:r>
          </w:p>
        </w:tc>
        <w:tc>
          <w:tcPr>
            <w:tcW w:type="dxa" w:w="5238"/>
            <w:tcMar>
              <w:top w:type="dxa" w:w="60"/>
              <w:left w:type="dxa" w:w="100"/>
              <w:bottom w:type="dxa" w:w="60"/>
              <w:right w:type="dxa" w:w="100"/>
            </w:tcMar>
          </w:tcPr>
          <w:p>
            <w:r>
              <w:rPr>
                <w:b w:val="false"/>
                <w:bCs w:val="false"/>
              </w:rPr>
              <w:t xml:space="preserve">Duplicate-message replay — this exact MSG_ID (89561) had already been processed successfully before this call. Confirms the 1001 cached-replay convention live, but also means this specific call never reached the FUNCTION.ID-dependent processing logic — it was intercepted by the idempotency cache before Critical Finding #1's code path could run</w:t>
            </w:r>
          </w:p>
        </w:tc>
      </w:tr>
      <w:tr>
        <w:tc>
          <w:tcPr>
            <w:tcW w:type="dxa" w:w="1889"/>
            <w:tcMar>
              <w:top w:type="dxa" w:w="60"/>
              <w:left w:type="dxa" w:w="100"/>
              <w:bottom w:type="dxa" w:w="60"/>
              <w:right w:type="dxa" w:w="100"/>
            </w:tcMar>
          </w:tcPr>
          <w:p>
            <w:r>
              <w:rPr>
                <w:b w:val="false"/>
                <w:bCs w:val="false"/>
              </w:rPr>
              <w:t xml:space="preserve">CONTRACT_ID</w:t>
            </w:r>
          </w:p>
        </w:tc>
        <w:tc>
          <w:tcPr>
            <w:tcW w:type="dxa" w:w="2233"/>
            <w:tcMar>
              <w:top w:type="dxa" w:w="60"/>
              <w:left w:type="dxa" w:w="100"/>
              <w:bottom w:type="dxa" w:w="60"/>
              <w:right w:type="dxa" w:w="100"/>
            </w:tcMar>
          </w:tcPr>
          <w:p>
            <w:r>
              <w:rPr>
                <w:b w:val="false"/>
                <w:bCs w:val="false"/>
              </w:rPr>
              <w:t xml:space="preserve">FT26130G2PY0</w:t>
            </w:r>
          </w:p>
        </w:tc>
        <w:tc>
          <w:tcPr>
            <w:tcW w:type="dxa" w:w="5238"/>
            <w:tcMar>
              <w:top w:type="dxa" w:w="60"/>
              <w:left w:type="dxa" w:w="100"/>
              <w:bottom w:type="dxa" w:w="60"/>
              <w:right w:type="dxa" w:w="100"/>
            </w:tcMar>
          </w:tcPr>
          <w:p>
            <w:r>
              <w:rPr>
                <w:b w:val="false"/>
                <w:bCs w:val="false"/>
              </w:rPr>
              <w:t xml:space="preserve">The T24 FT ID assigned on the original (cached) successful call</w:t>
            </w:r>
          </w:p>
        </w:tc>
      </w:tr>
      <w:tr>
        <w:tc>
          <w:tcPr>
            <w:tcW w:type="dxa" w:w="1889"/>
            <w:tcMar>
              <w:top w:type="dxa" w:w="60"/>
              <w:left w:type="dxa" w:w="100"/>
              <w:bottom w:type="dxa" w:w="60"/>
              <w:right w:type="dxa" w:w="100"/>
            </w:tcMar>
          </w:tcPr>
          <w:p>
            <w:r>
              <w:rPr>
                <w:b w:val="false"/>
                <w:bCs w:val="false"/>
              </w:rPr>
              <w:t xml:space="preserve">TRANSACTION.TYPE</w:t>
            </w:r>
          </w:p>
        </w:tc>
        <w:tc>
          <w:tcPr>
            <w:tcW w:type="dxa" w:w="2233"/>
            <w:tcMar>
              <w:top w:type="dxa" w:w="60"/>
              <w:left w:type="dxa" w:w="100"/>
              <w:bottom w:type="dxa" w:w="60"/>
              <w:right w:type="dxa" w:w="100"/>
            </w:tcMar>
          </w:tcPr>
          <w:p>
            <w:r>
              <w:rPr>
                <w:b w:val="false"/>
                <w:bCs w:val="false"/>
              </w:rPr>
              <w:t xml:space="preserve">OT22</w:t>
            </w:r>
          </w:p>
        </w:tc>
        <w:tc>
          <w:tcPr>
            <w:tcW w:type="dxa" w:w="5238"/>
            <w:tcMar>
              <w:top w:type="dxa" w:w="60"/>
              <w:left w:type="dxa" w:w="100"/>
              <w:bottom w:type="dxa" w:w="60"/>
              <w:right w:type="dxa" w:w="100"/>
            </w:tcMar>
          </w:tcPr>
          <w:p>
            <w:r>
              <w:rPr>
                <w:b w:val="false"/>
                <w:bCs w:val="false"/>
              </w:rPr>
              <w:t xml:space="preserve">Confirms live, matching the hardcoded value this routine writes and the value Authorise FT (Document 04) specifically checks for</w:t>
            </w:r>
          </w:p>
        </w:tc>
      </w:tr>
      <w:tr>
        <w:tc>
          <w:tcPr>
            <w:tcW w:type="dxa" w:w="1889"/>
            <w:tcMar>
              <w:top w:type="dxa" w:w="60"/>
              <w:left w:type="dxa" w:w="100"/>
              <w:bottom w:type="dxa" w:w="60"/>
              <w:right w:type="dxa" w:w="100"/>
            </w:tcMar>
          </w:tcPr>
          <w:p>
            <w:r>
              <w:rPr>
                <w:b w:val="false"/>
                <w:bCs w:val="false"/>
              </w:rPr>
              <w:t xml:space="preserve">RECORD.STATUS</w:t>
            </w:r>
          </w:p>
        </w:tc>
        <w:tc>
          <w:tcPr>
            <w:tcW w:type="dxa" w:w="2233"/>
            <w:tcMar>
              <w:top w:type="dxa" w:w="60"/>
              <w:left w:type="dxa" w:w="100"/>
              <w:bottom w:type="dxa" w:w="60"/>
              <w:right w:type="dxa" w:w="100"/>
            </w:tcMar>
          </w:tcPr>
          <w:p>
            <w:r>
              <w:rPr>
                <w:b w:val="false"/>
                <w:bCs w:val="false"/>
              </w:rPr>
              <w:t xml:space="preserve">INAU</w:t>
            </w:r>
          </w:p>
        </w:tc>
        <w:tc>
          <w:tcPr>
            <w:tcW w:type="dxa" w:w="5238"/>
            <w:tcMar>
              <w:top w:type="dxa" w:w="60"/>
              <w:left w:type="dxa" w:w="100"/>
              <w:bottom w:type="dxa" w:w="60"/>
              <w:right w:type="dxa" w:w="100"/>
            </w:tcMar>
          </w:tcPr>
          <w:p>
            <w:r>
              <w:rPr>
                <w:b w:val="false"/>
                <w:bCs w:val="false"/>
              </w:rPr>
              <w:t xml:space="preserve">Confirms the record is sitting 'in authorization' — pending, exactly as expected for a transfer awaiting the Authorise FT (SC02) step</w:t>
            </w:r>
          </w:p>
        </w:tc>
      </w:tr>
      <w:tr>
        <w:tc>
          <w:tcPr>
            <w:tcW w:type="dxa" w:w="1889"/>
            <w:tcMar>
              <w:top w:type="dxa" w:w="60"/>
              <w:left w:type="dxa" w:w="100"/>
              <w:bottom w:type="dxa" w:w="60"/>
              <w:right w:type="dxa" w:w="100"/>
            </w:tcMar>
          </w:tcPr>
          <w:p>
            <w:r>
              <w:rPr>
                <w:b w:val="false"/>
                <w:bCs w:val="false"/>
              </w:rPr>
              <w:t xml:space="preserve">CHARGES.ACCT.NO</w:t>
            </w:r>
          </w:p>
        </w:tc>
        <w:tc>
          <w:tcPr>
            <w:tcW w:type="dxa" w:w="2233"/>
            <w:tcMar>
              <w:top w:type="dxa" w:w="60"/>
              <w:left w:type="dxa" w:w="100"/>
              <w:bottom w:type="dxa" w:w="60"/>
              <w:right w:type="dxa" w:w="100"/>
            </w:tcMar>
          </w:tcPr>
          <w:p>
            <w:r>
              <w:rPr>
                <w:b w:val="false"/>
                <w:bCs w:val="false"/>
              </w:rPr>
              <w:t xml:space="preserve">EGP1406500010085</w:t>
            </w:r>
          </w:p>
        </w:tc>
        <w:tc>
          <w:tcPr>
            <w:tcW w:type="dxa" w:w="5238"/>
            <w:tcMar>
              <w:top w:type="dxa" w:w="60"/>
              <w:left w:type="dxa" w:w="100"/>
              <w:bottom w:type="dxa" w:w="60"/>
              <w:right w:type="dxa" w:w="100"/>
            </w:tcMar>
          </w:tcPr>
          <w:p>
            <w:r>
              <w:rPr>
                <w:b w:val="false"/>
                <w:bCs w:val="false"/>
              </w:rPr>
              <w:t xml:space="preserve">Populated despite the request's CHARGES_ACCT_NO being blank — a T24/version-level default this routine's own code does not set, confirming §13's flag that some blank input fields get filled in by T24 itself, not by CIB.NOSTRO.OT.FT</w:t>
            </w:r>
          </w:p>
        </w:tc>
      </w:tr>
      <w:tr>
        <w:tc>
          <w:tcPr>
            <w:tcW w:type="dxa" w:w="1889"/>
            <w:tcMar>
              <w:top w:type="dxa" w:w="60"/>
              <w:left w:type="dxa" w:w="100"/>
              <w:bottom w:type="dxa" w:w="60"/>
              <w:right w:type="dxa" w:w="100"/>
            </w:tcMar>
          </w:tcPr>
          <w:p>
            <w:r>
              <w:rPr>
                <w:b w:val="false"/>
                <w:bCs w:val="false"/>
              </w:rPr>
              <w:t xml:space="preserve">COMMISSION.CODE / CHARGE.CODE</w:t>
            </w:r>
          </w:p>
        </w:tc>
        <w:tc>
          <w:tcPr>
            <w:tcW w:type="dxa" w:w="2233"/>
            <w:tcMar>
              <w:top w:type="dxa" w:w="60"/>
              <w:left w:type="dxa" w:w="100"/>
              <w:bottom w:type="dxa" w:w="60"/>
              <w:right w:type="dxa" w:w="100"/>
            </w:tcMar>
          </w:tcPr>
          <w:p>
            <w:r>
              <w:rPr>
                <w:b w:val="false"/>
                <w:bCs w:val="false"/>
              </w:rPr>
              <w:t xml:space="preserve">WAIVE</w:t>
            </w:r>
          </w:p>
        </w:tc>
        <w:tc>
          <w:tcPr>
            <w:tcW w:type="dxa" w:w="5238"/>
            <w:tcMar>
              <w:top w:type="dxa" w:w="60"/>
              <w:left w:type="dxa" w:w="100"/>
              <w:bottom w:type="dxa" w:w="60"/>
              <w:right w:type="dxa" w:w="100"/>
            </w:tcMar>
          </w:tcPr>
          <w:p>
            <w:r>
              <w:rPr>
                <w:b w:val="false"/>
                <w:bCs w:val="false"/>
              </w:rPr>
              <w:t xml:space="preserve">Resolved to WAIVE despite COMMISSION_CODE being blank in the request — again, T24/version-level default behavior, consistent with §4.3's finding that this routine applies no OUR/BEN/SHA-style default itself</w:t>
            </w:r>
          </w:p>
        </w:tc>
      </w:tr>
      <w:tr>
        <w:tc>
          <w:tcPr>
            <w:tcW w:type="dxa" w:w="1889"/>
            <w:tcMar>
              <w:top w:type="dxa" w:w="60"/>
              <w:left w:type="dxa" w:w="100"/>
              <w:bottom w:type="dxa" w:w="60"/>
              <w:right w:type="dxa" w:w="100"/>
            </w:tcMar>
          </w:tcPr>
          <w:p>
            <w:r>
              <w:rPr>
                <w:b w:val="false"/>
                <w:bCs w:val="false"/>
              </w:rPr>
              <w:t xml:space="preserve">OVERRIDE (×2)</w:t>
            </w:r>
          </w:p>
        </w:tc>
        <w:tc>
          <w:tcPr>
            <w:tcW w:type="dxa" w:w="2233"/>
            <w:tcMar>
              <w:top w:type="dxa" w:w="60"/>
              <w:left w:type="dxa" w:w="100"/>
              <w:bottom w:type="dxa" w:w="60"/>
              <w:right w:type="dxa" w:w="100"/>
            </w:tcMar>
          </w:tcPr>
          <w:p>
            <w:r>
              <w:rPr>
                <w:b w:val="false"/>
                <w:bCs w:val="false"/>
              </w:rPr>
              <w:t xml:space="preserve">CR.BACKDATED (credit value backdated); DUP.CONTRACT (possible duplicate of contract FT26130G2PY0)</w:t>
            </w:r>
          </w:p>
        </w:tc>
        <w:tc>
          <w:tcPr>
            <w:tcW w:type="dxa" w:w="5238"/>
            <w:tcMar>
              <w:top w:type="dxa" w:w="60"/>
              <w:left w:type="dxa" w:w="100"/>
              <w:bottom w:type="dxa" w:w="60"/>
              <w:right w:type="dxa" w:w="100"/>
            </w:tcMar>
          </w:tcPr>
          <w:p>
            <w:r>
              <w:rPr>
                <w:b w:val="false"/>
                <w:bCs w:val="false"/>
              </w:rPr>
              <w:t xml:space="preserve">Reveals a SEPARATE duplicate-detection layer inside T24 core itself — distinct from this routine's own CIB.API.FT/MSG.ID-based idempotency cache. T24 flagged the original transfer as a possible duplicate of another contract by its own matching logic (likely amount/date/reference), yet still let it proceed to INAU status as an override rather than a hard reject</w:t>
            </w:r>
          </w:p>
        </w:tc>
      </w:tr>
      <w:tr>
        <w:tc>
          <w:tcPr>
            <w:tcW w:type="dxa" w:w="1889"/>
            <w:tcMar>
              <w:top w:type="dxa" w:w="60"/>
              <w:left w:type="dxa" w:w="100"/>
              <w:bottom w:type="dxa" w:w="60"/>
              <w:right w:type="dxa" w:w="100"/>
            </w:tcMar>
          </w:tcPr>
          <w:p>
            <w:r>
              <w:rPr>
                <w:b w:val="false"/>
                <w:bCs w:val="false"/>
              </w:rPr>
              <w:t xml:space="preserve">INPUTTER</w:t>
            </w:r>
          </w:p>
        </w:tc>
        <w:tc>
          <w:tcPr>
            <w:tcW w:type="dxa" w:w="2233"/>
            <w:tcMar>
              <w:top w:type="dxa" w:w="60"/>
              <w:left w:type="dxa" w:w="100"/>
              <w:bottom w:type="dxa" w:w="60"/>
              <w:right w:type="dxa" w:w="100"/>
            </w:tcMar>
          </w:tcPr>
          <w:p>
            <w:r>
              <w:rPr>
                <w:b w:val="false"/>
                <w:bCs w:val="false"/>
              </w:rPr>
              <w:t xml:space="preserve">87646_OFS.SERVICE_ID__OFS_CIB.STP</w:t>
            </w:r>
          </w:p>
        </w:tc>
        <w:tc>
          <w:tcPr>
            <w:tcW w:type="dxa" w:w="5238"/>
            <w:tcMar>
              <w:top w:type="dxa" w:w="60"/>
              <w:left w:type="dxa" w:w="100"/>
              <w:bottom w:type="dxa" w:w="60"/>
              <w:right w:type="dxa" w:w="100"/>
            </w:tcMar>
          </w:tcPr>
          <w:p>
            <w:r>
              <w:rPr>
                <w:b w:val="false"/>
                <w:bCs w:val="false"/>
              </w:rPr>
              <w:t xml:space="preserve">Contains the 'OFS.SERVICE.ID' marker that Authorise FT (Document 04) specifically checks for in its channel='1' ownership guard — confirms the inputter-field format that routine expects is indeed what this service produces</w:t>
            </w:r>
          </w:p>
        </w:tc>
      </w:tr>
      <w:tr>
        <w:tc>
          <w:tcPr>
            <w:tcW w:type="dxa" w:w="1889"/>
            <w:tcMar>
              <w:top w:type="dxa" w:w="60"/>
              <w:left w:type="dxa" w:w="100"/>
              <w:bottom w:type="dxa" w:w="60"/>
              <w:right w:type="dxa" w:w="100"/>
            </w:tcMar>
          </w:tcPr>
          <w:p>
            <w:r>
              <w:rPr>
                <w:b w:val="false"/>
                <w:bCs w:val="false"/>
              </w:rPr>
              <w:t xml:space="preserve">MSG.TYPE (×3)</w:t>
            </w:r>
          </w:p>
        </w:tc>
        <w:tc>
          <w:tcPr>
            <w:tcW w:type="dxa" w:w="2233"/>
            <w:tcMar>
              <w:top w:type="dxa" w:w="60"/>
              <w:left w:type="dxa" w:w="100"/>
              <w:bottom w:type="dxa" w:w="60"/>
              <w:right w:type="dxa" w:w="100"/>
            </w:tcMar>
          </w:tcPr>
          <w:p>
            <w:r>
              <w:rPr>
                <w:b w:val="false"/>
                <w:bCs w:val="false"/>
              </w:rPr>
              <w:t xml:space="preserve">900 (Debit Advice), 202 (Cable to Bank), 210 (Advice Receive)</w:t>
            </w:r>
          </w:p>
        </w:tc>
        <w:tc>
          <w:tcPr>
            <w:tcW w:type="dxa" w:w="5238"/>
            <w:tcMar>
              <w:top w:type="dxa" w:w="60"/>
              <w:left w:type="dxa" w:w="100"/>
              <w:bottom w:type="dxa" w:w="60"/>
              <w:right w:type="dxa" w:w="100"/>
            </w:tcMar>
          </w:tcPr>
          <w:p>
            <w:r>
              <w:rPr>
                <w:b w:val="false"/>
                <w:bCs w:val="false"/>
              </w:rPr>
              <w:t xml:space="preserve">T24-generated SWIFT/advice message-type indicators tied to this Nostro transfer — generated by T24 core, not controlled by this routine</w:t>
            </w:r>
          </w:p>
        </w:tc>
      </w:tr>
    </w:tbl>
    <w:p>
      <w:pPr>
        <w:pStyle w:val="Heading2"/>
        <w:spacing w:after="120" w:before="260"/>
      </w:pPr>
      <w:r>
        <w:t xml:space="preserve">13.3 What This Sample Does NOT Tell Us</w:t>
      </w:r>
    </w:p>
    <w:p>
      <w:pPr>
        <w:spacing w:after="120"/>
      </w:pPr>
      <w:r>
        <w:rPr>
          <w:color w:val="C00000"/>
        </w:rPr>
        <w:t xml:space="preserve">Because this specific call was intercepted by the idempotency cache (RETURN_CODE 1001) before reaching FT.PROCESS/FT.AMEND.PROCESS, it does not exercise — and therefore cannot confirm or clear — Critical Finding #1 (the FUNCTION_ID/FUNCTION.ID mismatch). A useful follow-up test would be a FRESH MSG_ID (never used before) with FUNCTION_ID explicitly set to 'V', to observe directly whether the call actually avoids posting a live transaction.</w:t>
      </w:r>
    </w:p>
    <w:p>
      <w:pPr>
        <w:pStyle w:val="Heading1"/>
        <w:pBdr>
          <w:bottom w:val="single" w:color="2E5395" w:sz="6" w:space="4"/>
        </w:pBdr>
        <w:spacing w:after="150" w:before="300"/>
      </w:pPr>
      <w:r>
        <w:t xml:space="preserve">14. Review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8"/>
        <w:gridCol w:w="2123"/>
        <w:gridCol w:w="1737"/>
        <w:gridCol w:w="2412"/>
      </w:tblGrid>
      <w:tr>
        <w:trPr>
          <w:tblHeader/>
        </w:trPr>
        <w:tc>
          <w:tcPr>
            <w:tcW w:type="dxa" w:w="3088"/>
            <w:shd w:fill="2E5395" w:val="clear"/>
            <w:tcMar>
              <w:top w:type="dxa" w:w="80"/>
              <w:left w:type="dxa" w:w="100"/>
              <w:bottom w:type="dxa" w:w="80"/>
              <w:right w:type="dxa" w:w="100"/>
            </w:tcMar>
          </w:tcPr>
          <w:p>
            <w:r>
              <w:rPr>
                <w:b/>
                <w:bCs/>
                <w:color w:val="FFFFFF"/>
              </w:rPr>
              <w:t xml:space="preserve">Role</w:t>
            </w:r>
          </w:p>
        </w:tc>
        <w:tc>
          <w:tcPr>
            <w:tcW w:type="dxa" w:w="2123"/>
            <w:shd w:fill="2E5395" w:val="clear"/>
            <w:tcMar>
              <w:top w:type="dxa" w:w="80"/>
              <w:left w:type="dxa" w:w="100"/>
              <w:bottom w:type="dxa" w:w="80"/>
              <w:right w:type="dxa" w:w="100"/>
            </w:tcMar>
          </w:tcPr>
          <w:p>
            <w:r>
              <w:rPr>
                <w:b/>
                <w:bCs/>
                <w:color w:val="FFFFFF"/>
              </w:rPr>
              <w:t xml:space="preserve">Name</w:t>
            </w:r>
          </w:p>
        </w:tc>
        <w:tc>
          <w:tcPr>
            <w:tcW w:type="dxa" w:w="1737"/>
            <w:shd w:fill="2E5395" w:val="clear"/>
            <w:tcMar>
              <w:top w:type="dxa" w:w="80"/>
              <w:left w:type="dxa" w:w="100"/>
              <w:bottom w:type="dxa" w:w="80"/>
              <w:right w:type="dxa" w:w="100"/>
            </w:tcMar>
          </w:tcPr>
          <w:p>
            <w:r>
              <w:rPr>
                <w:b/>
                <w:bCs/>
                <w:color w:val="FFFFFF"/>
              </w:rPr>
              <w:t xml:space="preserve">Date</w:t>
            </w:r>
          </w:p>
        </w:tc>
        <w:tc>
          <w:tcPr>
            <w:tcW w:type="dxa" w:w="2412"/>
            <w:shd w:fill="2E5395" w:val="clear"/>
            <w:tcMar>
              <w:top w:type="dxa" w:w="80"/>
              <w:left w:type="dxa" w:w="100"/>
              <w:bottom w:type="dxa" w:w="80"/>
              <w:right w:type="dxa" w:w="100"/>
            </w:tcMar>
          </w:tcPr>
          <w:p>
            <w:r>
              <w:rPr>
                <w:b/>
                <w:bCs/>
                <w:color w:val="FFFFFF"/>
              </w:rPr>
              <w:t xml:space="preserve">Comments</w:t>
            </w:r>
          </w:p>
        </w:tc>
      </w:tr>
      <w:tr>
        <w:tc>
          <w:tcPr>
            <w:tcW w:type="dxa" w:w="3088"/>
            <w:tcMar>
              <w:top w:type="dxa" w:w="60"/>
              <w:left w:type="dxa" w:w="100"/>
              <w:bottom w:type="dxa" w:w="60"/>
              <w:right w:type="dxa" w:w="100"/>
            </w:tcMar>
          </w:tcPr>
          <w:p>
            <w:r>
              <w:rPr>
                <w:b w:val="false"/>
                <w:bCs w:val="false"/>
              </w:rPr>
              <w:t xml:space="preserve">Prepared by</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T24 Technical Reviewer (must confirm Findings #1, #2, #3)</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TPH/IRIS Solution Architect</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Business/Product Owner (Treasury/Correspondent Banking)</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Compliance/Controls</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888888"/>
        <w:sz w:val="16"/>
        <w:szCs w:val="16"/>
      </w:rPr>
      <w:t xml:space="preserve">Service Analysis — Create Nostro Transfer (NA02)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2026-09-02T05:39:40.337Z</dcterms:created>
  <dcterms:modified xsi:type="dcterms:W3CDTF">2026-09-02T05:39:40.346Z</dcterms:modified>
</cp:coreProperties>
</file>

<file path=docProps/custom.xml><?xml version="1.0" encoding="utf-8"?>
<Properties xmlns="http://schemas.openxmlformats.org/officeDocument/2006/custom-properties" xmlns:vt="http://schemas.openxmlformats.org/officeDocument/2006/docPropsVTypes"/>
</file>