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rPr>
          <w:b/>
          <w:bCs/>
          <w:color w:val="1F3864"/>
          <w:sz w:val="34"/>
          <w:szCs w:val="34"/>
        </w:rPr>
        <w:t xml:space="preserve">Deep Dive: The VASCO Fraud-Logging Chain</w:t>
      </w:r>
    </w:p>
    <w:p>
      <w:pPr>
        <w:spacing w:after="300"/>
      </w:pPr>
      <w:r>
        <w:rPr>
          <w:i/>
          <w:iCs/>
          <w:color w:val="555555"/>
          <w:sz w:val="22"/>
          <w:szCs w:val="22"/>
        </w:rPr>
        <w:t xml:space="preserve">CIB.CHECK.SMS.RUN → CIB.XML.COMPOSE.RUN — Correcting and Extending Document 01</w:t>
      </w:r>
    </w:p>
    <w:p>
      <w:pPr>
        <w:spacing w:after="60"/>
      </w:pPr>
      <w:r>
        <w:rPr>
          <w:b/>
          <w:bCs/>
        </w:rPr>
        <w:t xml:space="preserve">Source Routines: </w:t>
      </w:r>
      <w:r>
        <w:t xml:space="preserve">CIB.CHECK.SMS.RUN (dispatcher), CIB.XML.COMPOSE.RUN (VASCO report composer)</w:t>
      </w:r>
    </w:p>
    <w:p>
      <w:pPr>
        <w:spacing w:after="60"/>
      </w:pPr>
      <w:r>
        <w:rPr>
          <w:b/>
          <w:bCs/>
        </w:rPr>
        <w:t xml:space="preserve">Triggering Call: </w:t>
      </w:r>
      <w:r>
        <w:t xml:space="preserve">CIB.OT.FT (Document 01) → UPDATE.FTS.ONLINE → CIB.CHECK.SMS.RUN</w:t>
      </w:r>
    </w:p>
    <w:p>
      <w:pPr>
        <w:spacing w:after="60"/>
      </w:pPr>
      <w:r>
        <w:rPr>
          <w:b/>
          <w:bCs/>
        </w:rPr>
        <w:t xml:space="preserve">Corrects: </w:t>
      </w:r>
      <w:r>
        <w:t xml:space="preserve">Document 01, §3.10 — previously described as "SMS / Online FT Journal Update"</w:t>
      </w:r>
    </w:p>
    <w:p>
      <w:pPr>
        <w:spacing w:after="60"/>
      </w:pPr>
      <w:r>
        <w:rPr>
          <w:b/>
          <w:bCs/>
        </w:rPr>
        <w:t xml:space="preserve">Evidence Basis: </w:t>
      </w:r>
      <w:r>
        <w:t xml:space="preserve">Both routines' full source, T24 screen captures of CIB.ONLINE.FTS / CIB.SMS.REPORT / CIB.SMS.FORMAT / CIB.SMS.REP.CONCAT / CIB.SMS.MOBILE, and a filesystem capture of the actual directory structure and sample file contents</w:t>
      </w:r>
    </w:p>
    <w:p>
      <w:pPr>
        <w:pStyle w:val="Heading1"/>
        <w:pBdr>
          <w:bottom w:val="single" w:color="2E5395" w:sz="6" w:space="4"/>
        </w:pBdr>
        <w:spacing w:after="150" w:before="300"/>
      </w:pPr>
      <w:r>
        <w:t xml:space="preserve">Correction to Document 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2"/>
              <w:left w:val="single" w:color="C00000" w:sz="4"/>
              <w:bottom w:val="single" w:color="C00000" w:sz="4"/>
              <w:right w:val="single" w:color="C00000" w:sz="4"/>
            </w:tcBorders>
            <w:shd w:fill="FDEAEA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C00000"/>
                <w:sz w:val="24"/>
                <w:szCs w:val="24"/>
              </w:rPr>
              <w:t xml:space="preserve">CORRECTION — This Is a Fraud-Monitoring Export, Not (Primarily) a Notification Step</w:t>
            </w:r>
          </w:p>
          <w:p>
            <w:pPr>
              <w:spacing w:after="80"/>
            </w:pPr>
            <w:r>
              <w:rPr>
                <w:color w:val="444444"/>
              </w:rPr>
              <w:t xml:space="preserve">Document 01 (Create Outward Transfer) described UPDATE.FTS.ONLINE and its call to CIB.CHECK.SMS.RUN as an "SMS / Online FT Journal Update" step. That description is inaccurate for the part of this chain that actually matters most operationally.</w:t>
            </w:r>
          </w:p>
          <w:p>
            <w:pPr>
              <w:spacing w:after="80"/>
            </w:pPr>
            <w:r>
              <w:rPr>
                <w:color w:val="444444"/>
              </w:rPr>
              <w:t xml:space="preserve">CIB.CHECK.SMS.RUN is a dispatcher with TWO separate downstream paths, both misleadingly named after "SMS":</w:t>
            </w:r>
          </w:p>
          <w:p>
            <w:pPr>
              <w:spacing w:after="80"/>
            </w:pPr>
            <w:r>
              <w:rPr>
                <w:color w:val="444444"/>
              </w:rPr>
              <w:t xml:space="preserve">Path A — genuine, consent-gated customer messaging, via a sibling routine CIB.SMS.COMPOSE.RUN (not reviewed here — its name suggests real SMS/alert composition, and the evidence — the CIB.SMS.REPORT, CIB.SMS.REP.CONCAT, and CIB.SMS.MOBILE records captured in the screenshots — supports this being the genuine customer-notification path, gated on the customer's own SMS-alert/e-channel/OTP consent flags).</w:t>
            </w:r>
          </w:p>
          <w:p>
            <w:pPr>
              <w:spacing w:after="80"/>
            </w:pPr>
            <w:r>
              <w:rPr>
                <w:color w:val="444444"/>
              </w:rPr>
              <w:t xml:space="preserve">Path B — SEND.XML → CIB.XML.COMPOSE.RUN. This is NOT a notification mechanism at all. CIB.XML.COMPOSE.RUN's own audit header states its purpose in plain text: "TO CREATE VASCO REPORTS." VASCO is a third-party fraud-detection/authentication platform; this path writes a structured XML file per transaction into a filesystem location that platform reads from. This is confirmed directly by the routine's own documentation and by the captured directory evidence (§4).</w:t>
            </w:r>
          </w:p>
          <w:p>
            <w:pPr>
              <w:spacing w:after="80"/>
            </w:pPr>
            <w:r>
              <w:rPr>
                <w:color w:val="444444"/>
              </w:rPr>
              <w:t xml:space="preserve">Document 01's characterization should be corrected to: "UPDATE.FTS.ONLINE triggers a dual-purpose downstream dispatcher (CIB.CHECK.SMS.RUN) that can produce a genuine customer SMS/alert (consent-gated) and/or a VASCO fraud-monitoring XML export (not consent-gated) — see the dedicated deep-dive analysis for the full mechanism, including a significant gap finding (§3)."</w:t>
            </w:r>
          </w:p>
        </w:tc>
      </w:tr>
    </w:tbl>
    <w:p>
      <w:pPr>
        <w:pStyle w:val="Heading1"/>
        <w:pBdr>
          <w:bottom w:val="single" w:color="2E5395" w:sz="6" w:space="4"/>
        </w:pBdr>
        <w:spacing w:after="150" w:before="300"/>
      </w:pPr>
      <w:r>
        <w:t xml:space="preserve">1. What VASCO Is, and Why This Integration Exists (Business View)</w:t>
      </w:r>
    </w:p>
    <w:p>
      <w:pPr>
        <w:spacing w:after="120"/>
      </w:pPr>
      <w:r>
        <w:t xml:space="preserve">VASCO is fraud-detection/transaction-monitoring software used alongside T24 to watch for suspicious payment activity. It doesn't sit inside T24 — it's an external system that needs a feed of structured transaction data to analyze. This integration is that feed: for qualifying transactions, T24 writes a small, per-transaction XML file (essentially a transaction fingerprint — type, amount, currency, counterparty, dates, channel, company/branch context) into a shared filesystem folder that VASCO monitors and ingests.</w:t>
      </w:r>
    </w:p>
    <w:p>
      <w:pPr>
        <w:spacing w:after="120"/>
      </w:pPr>
      <w:r>
        <w:rPr>
          <w:i/>
          <w:iCs/>
        </w:rPr>
        <w:t xml:space="preserve">Separately, and largely coincidentally sharing the same entry point and the word "SMS" in its naming, T24 also has a genuine customer-notification path (real SMS/alert messages, gated on whether the customer has actually opted into e-channel/SMS alerts). The two paths were evidently built into the same dispatcher routine at different points, which is why the whole mechanism reads as confusingly SMS-centric even though its most consequential output today is the fraud-monitoring XML feed.</w:t>
      </w:r>
    </w:p>
    <w:p>
      <w:pPr>
        <w:pStyle w:val="Heading1"/>
        <w:pBdr>
          <w:bottom w:val="single" w:color="2E5395" w:sz="6" w:space="4"/>
        </w:pBdr>
        <w:spacing w:after="150" w:before="300"/>
      </w:pPr>
      <w:r>
        <w:t xml:space="preserve">2. Call Chain Overview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CIB.OT.FT (Document 01) finishes a successful FT post, then calls its own UPDATE.FTS.ONLINE subroutine with IN.SMS.PARAM = FT.ID:"|NO".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CIB.CHECK.SMS.RUN receives this as (PROCESS.ID=FT.ID, SEND.FLAG="NO"), looks up the FT record (first in $NAU/pending, then live), and — if found — runs PROCESS.CNT.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PROCESS.CNT determines the transaction type and source channel, then (see §3) either registers a deferred marker or, on a later call with SEND.FLAG="YES", actually fires the two downstream composers: CIB.SMS.COMPOSE.RUN (genuine SMS, only for different-customer transfers with consent) and/or CIB.XML.COMPOSE.RUN (VASCO XML, unconditional whenever SEND.FLAG="YES" reaches this point, regardless of consent or same-customer status).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CIB.XML.COMPOSE.RUN reads a per-transaction-type/channel template and configuration record (CIB.SMS.FORMAT), resolves each configured field from the FT record (and, where configured, linked ACCOUNT/CUSTOMER/charge records), substitutes them into the template, and writes the result as a standalone XML file into the VASCO output folder — plus a separate diagnostic CSV trace log of the whole resolution process.</w:t>
      </w:r>
    </w:p>
    <w:p>
      <w:pPr>
        <w:pStyle w:val="Heading1"/>
        <w:pBdr>
          <w:bottom w:val="single" w:color="2E5395" w:sz="6" w:space="4"/>
        </w:pBdr>
        <w:spacing w:after="150" w:before="300"/>
      </w:pPr>
      <w:r>
        <w:t xml:space="preserve">3. Critical Finding — A Two-Phase, Deferred Logging Mechanism With a Likely Gap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2"/>
              <w:left w:val="single" w:color="C00000" w:sz="4"/>
              <w:bottom w:val="single" w:color="C00000" w:sz="4"/>
              <w:right w:val="single" w:color="C00000" w:sz="4"/>
            </w:tcBorders>
            <w:shd w:fill="FDEAEA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C00000"/>
                <w:sz w:val="24"/>
                <w:szCs w:val="24"/>
              </w:rPr>
              <w:t xml:space="preserve">CRITICAL FINDING — Same-Customer Transfers Likely Never Reach the VASCO Log via This Chain</w:t>
            </w:r>
          </w:p>
          <w:p>
            <w:pPr>
              <w:spacing w:after="80"/>
            </w:pPr>
            <w:r>
              <w:rPr>
                <w:color w:val="444444"/>
              </w:rPr>
              <w:t xml:space="preserve">SEND.XML (the VASCO-log trigger) only fires inside PROCESS.CNT when SEND.FLAG = "YES". But CIB.OT.FT's very first call passes SEND.FLAG = "NO" — meaning the VASCO log is deliberately NOT written at the moment a transfer is first created. This makes business sense: you don't want to feed a fraud system a transaction that might still be rejected during authorization.</w:t>
            </w:r>
          </w:p>
          <w:p>
            <w:pPr>
              <w:spacing w:after="80"/>
            </w:pPr>
            <w:r>
              <w:rPr>
                <w:color w:val="444444"/>
              </w:rPr>
              <w:t xml:space="preserve">Instead, the first call's outcome (returned as CIB.CHECK.SMS.RUN's output parameter, which happens to reuse the name "SEND.FLAG" in Document 01 despite being a different value than the one passed in) determines what happens next. If it comes back "YES" — which happens specifically when the transfer is a DIFFERENT-customer transfer whose message-format lookup succeeds — Document 01 writes a marker record into CIB.ONLINE.FTS and stops there for now. If it comes back anything else (its default is "NO"), Document 01 instead re-reads the LIVE (already-authorized) FUNDS.TRANSFER record; only if that live record already exists does it make a second, explicit call to CIB.CHECK.SMS.RUN with SEND.FLAG="YES" directly.</w:t>
            </w:r>
          </w:p>
          <w:p>
            <w:pPr>
              <w:spacing w:after="80"/>
            </w:pPr>
            <w:r>
              <w:rPr>
                <w:color w:val="444444"/>
              </w:rPr>
              <w:t xml:space="preserve">That second call, however, only does anything if a CIB.ONLINE.FTS marker already exists for this FT.ID — CIB.CHECK.SMS.RUN's own PROCESS() logic checks for that marker before proceeding to PROCESS.FILE when called with SEND.FLAG="YES". Since no marker was written in the "came back NO" scenario, this second call finds nothing and does nothing.</w:t>
            </w:r>
          </w:p>
          <w:p>
            <w:pPr>
              <w:spacing w:after="80"/>
            </w:pPr>
            <w:r>
              <w:rPr>
                <w:color w:val="444444"/>
              </w:rPr>
              <w:t xml:space="preserve">CHECK.CUSTOMER explicitly sets CUSTOMER.SAME="TRUE" for a transfer between the same customer's own accounts, and the ENTIRE message-format-lookup block (the part that can return "YES" from the first call) is gated on CUSTOMER.SAME="FALSE". This means: for a same-customer internal transfer, the first call's output reliably stays "NO", no CIB.ONLINE.FTS marker is ever written, and — unless the transfer happens to already be fully live at the exact moment UPDATE.FTS.ONLINE runs (an edge case, since authorization normally happens later) — the deferred second call either never fires or fires against a marker that was never created.</w:t>
            </w:r>
          </w:p>
          <w:p>
            <w:pPr>
              <w:spacing w:after="80"/>
            </w:pPr>
            <w:r>
              <w:rPr>
                <w:color w:val="444444"/>
              </w:rPr>
              <w:t xml:space="preserve">Net effect: outward transfers between a customer's own accounts, created via Document 01, appear likely to NEVER generate a VASCO fraud-monitoring log through this specific call chain — only different-customer transfers reliably do. This is exactly the kind of transaction (money moving between a customer's own accounts) that could still be relevant to fraud monitoring (e.g. account takeover moving funds before a further outward transfer), so this is worth flagging as a potential monitoring gap, not just a code curiosity.</w:t>
            </w:r>
          </w:p>
          <w:p>
            <w:pPr>
              <w:spacing w:after="80"/>
            </w:pPr>
            <w:r>
              <w:rPr>
                <w:color w:val="444444"/>
              </w:rPr>
              <w:t xml:space="preserve">Important caveat: this conclusion is based on the code available for this specific call chain. It's entirely possible a separate, later mechanism — a batch job, the authorization routine itself, or another call path not reviewed here — independently triggers CIB.CHECK.SMS.RUN(FT.ID, "YES") once a transfer is actually authorized, which would close this gap. This must be confirmed with the team before concluding VASCO monitoring is genuinely incomplete for same-customer transfers.</w:t>
            </w:r>
          </w:p>
        </w:tc>
      </w:tr>
    </w:tbl>
    <w:p>
      <w:pPr>
        <w:pStyle w:val="Heading1"/>
        <w:pBdr>
          <w:bottom w:val="single" w:color="2E5395" w:sz="6" w:space="4"/>
        </w:pBdr>
        <w:spacing w:after="150" w:before="300"/>
      </w:pPr>
      <w:r>
        <w:t xml:space="preserve">4. CIB.XML.COMPOSE.RUN — A Generic, Config-Driven Templating Engine</w:t>
      </w:r>
    </w:p>
    <w:p>
      <w:pPr>
        <w:spacing w:after="120"/>
      </w:pPr>
      <w:r>
        <w:rPr>
          <w:i/>
          <w:iCs/>
        </w:rPr>
        <w:t xml:space="preserve">This routine is not hardcoded to any one transaction type or field set — it's a small templating engine driven entirely by CIB.SMS.FORMAT configuration records, one per SMS.FORMAT.ID (a composite key built from transaction type and channel, e.g. the captured example FT-ACS2-CR2-XML — confirming a dedicated VASCO template exists specifically for ACS2 card-settlement transactions arriving via the CR2 channel, directly tying this mechanism to the DXP/CR2 payment family in Document 07).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Each CIB.SMS.FORMAT record specifies: which template file to use and where it lives (Body File Name / Body Loc), and an ordered list of placeholder tags (Body Name.1, Body Name.2, ...), each mapped to a source field via an App Name / App Field Name / App Type / App Read Id combination — meaning a tag can pull its value either directly from the funds-transfer record itself (App Name = MAIN) or by following a link to another application entirely (e.g. App Name = ACCOUNT to fetch CUSTOMER, then a further hop to the CUSTOMER record) — a genuine multi-hop field-resolution chain.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routine reads the template file line by line, and for each line, scans for '@@&lt;tagname&gt;' placeholders matching the configured Body Names, resolves the real value for each (via Standard Selection field-number lookups or local-reference position lookups, with optional date/time reformatting), and substitutes it directly into that line before writing it to the output file.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confirms the routine can also draw on FT.CHARGE.TYPE and AC.CHARGE.REQUEST (both explicitly opened, per the include files and OPEN.FILES) as additional linked data sources for a template that configures a tag pointing at them — meaning charge/commission-request detail can appear in a VASCO export, even though the specific captured sample doesn't demonstrate that particular linkage.</w:t>
      </w:r>
    </w:p>
    <w:p>
      <w:pPr>
        <w:pStyle w:val="Heading1"/>
        <w:pBdr>
          <w:bottom w:val="single" w:color="2E5395" w:sz="6" w:space="4"/>
        </w:pBdr>
        <w:spacing w:after="150" w:before="300"/>
      </w:pPr>
      <w:r>
        <w:t xml:space="preserve">5. Confirmed Directory &amp; File Structure</w:t>
      </w:r>
    </w:p>
    <w:p>
      <w:pPr>
        <w:spacing w:after="120"/>
      </w:pPr>
      <w:r>
        <w:rPr>
          <w:i/>
          <w:iCs/>
          <w:color w:val="555555"/>
        </w:rPr>
        <w:t xml:space="preserve">The following was independently confirmed by matching the code's own path-construction logic against the captured filesystem screenshots — every element below is a direct evidence match, not an inference from code alone.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3"/>
        <w:gridCol w:w="2292"/>
        <w:gridCol w:w="4584"/>
      </w:tblGrid>
      <w:tr>
        <w:trPr>
          <w:tblHeader/>
        </w:trPr>
        <w:tc>
          <w:tcPr>
            <w:tcW w:type="dxa" w:w="2483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W w:type="dxa" w:w="2292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4584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Evidence</w:t>
            </w:r>
          </w:p>
        </w:tc>
      </w:tr>
      <w:tr>
        <w:tc>
          <w:tcPr>
            <w:tcW w:type="dxa" w:w="24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/gpfs/t24r20Shared/INTERFACES/CIB.FORMAT.XML/</w:t>
            </w:r>
          </w:p>
        </w:tc>
        <w:tc>
          <w:tcPr>
            <w:tcW w:type="dxa" w:w="22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Main template directory (CIBSF.BODY.LOC)</w:t>
            </w:r>
          </w:p>
        </w:tc>
        <w:tc>
          <w:tcPr>
            <w:tcW w:type="dxa" w:w="45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Contains four template files: CIB.VASCO.XML, CIB.VASCO.OT.XML, CIB.VASCO.MCP.XML, CIB.VASCO.MCP.OT.XML — matching the code's MY.FILE = CIBSF.BODY.FILE.NAME read in READ.FILE.SAMPLE</w:t>
            </w:r>
          </w:p>
        </w:tc>
      </w:tr>
      <w:tr>
        <w:tc>
          <w:tcPr>
            <w:tcW w:type="dxa" w:w="24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/gpfs/t24r20Shared/INTERFACES/CIB.FORMAT.XML/LOG/</w:t>
            </w:r>
          </w:p>
        </w:tc>
        <w:tc>
          <w:tcPr>
            <w:tcW w:type="dxa" w:w="22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Diagnostic trace log (one CSV per calendar day)</w:t>
            </w:r>
          </w:p>
        </w:tc>
        <w:tc>
          <w:tcPr>
            <w:tcW w:type="dxa" w:w="45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File naming 'XML LOG FILE on &lt;TODAY&gt;.csv' matches CREATE.TEXT.FILE exactly. Captured sample content is field-resolution trace lines (e.g. 'DEBIT ACCT NO FIELD NO = 3') — this is a debug/diagnostic trail of the composition process, NOT the VASCO payload itself</w:t>
            </w:r>
          </w:p>
        </w:tc>
      </w:tr>
      <w:tr>
        <w:tc>
          <w:tcPr>
            <w:tcW w:type="dxa" w:w="24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/gpfs/t24r20Shared/INTERFACES/CIB.FORMAT.XML/OUTPUT/CIB.VASCO/</w:t>
            </w:r>
          </w:p>
        </w:tc>
        <w:tc>
          <w:tcPr>
            <w:tcW w:type="dxa" w:w="22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actual VASCO output folder</w:t>
            </w:r>
          </w:p>
        </w:tc>
        <w:tc>
          <w:tcPr>
            <w:tcW w:type="dxa" w:w="45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File naming '&lt;FT.ID&gt;_on_&lt;date&gt;.XML' matches TEXT.FILE = FILE.ID:'_on_':TODAY:'.XML' exactly, where FILE.ID is the FT.ID. All four template variants share this same physical subfolder (their filenames share the same first two dot-separated segments, 'CIB.VASCO', which is what the code uses to derive the folder name) — differentiated only by which CIB.SMS.FORMAT record (and therefore which template content) produced each file, not by folder</w:t>
            </w:r>
          </w:p>
        </w:tc>
      </w:tr>
      <w:tr>
        <w:tc>
          <w:tcPr>
            <w:tcW w:type="dxa" w:w="24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Captured sample XML content</w:t>
            </w:r>
          </w:p>
        </w:tc>
        <w:tc>
          <w:tcPr>
            <w:tcW w:type="dxa" w:w="22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 genuine, real transaction export</w:t>
            </w:r>
          </w:p>
        </w:tc>
        <w:tc>
          <w:tcPr>
            <w:tcW w:type="dxa" w:w="458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Contains transaction type code, T24 company ID, the literal OFS service ID (OFS_CIB.STP — the same OFS source used across the whole service family reviewed in this programme), application date, counterparty name/country, currency, and amount — exactly the transaction-fingerprint data a fraud-monitoring system would need</w:t>
            </w:r>
          </w:p>
        </w:tc>
      </w:tr>
    </w:tbl>
    <w:p>
      <w:pPr>
        <w:pStyle w:val="Heading1"/>
        <w:pBdr>
          <w:bottom w:val="single" w:color="2E5395" w:sz="6" w:space="4"/>
        </w:pBdr>
        <w:spacing w:after="150" w:before="300"/>
      </w:pPr>
      <w:r>
        <w:t xml:space="preserve">6. Config &amp; Audit Tables Confirmed via Screen Captures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Table</w:t>
            </w:r>
          </w:p>
        </w:tc>
        <w:tc>
          <w:tcPr>
            <w:tcW w:type="dxa" w:w="7301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CIB.ONLINE.FTS</w:t>
            </w:r>
          </w:p>
        </w:tc>
        <w:tc>
          <w:tcPr>
            <w:tcW w:type="dxa" w:w="73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deferred-marker table (§3) — record ID = FT.ID, fields include Msg Id, Date Added, App Name. Captured example: FT15342K1SR2, App Name = FBNK.FUNDS.TRANSFER — confirms this is genuinely keyed by FT.ID and scoped to Funds Transfer records specifically.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CIB.SMS.FORMAT</w:t>
            </w:r>
          </w:p>
        </w:tc>
        <w:tc>
          <w:tcPr>
            <w:tcW w:type="dxa" w:w="73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template/config record driving CIB.XML.COMPOSE.RUN (§4). Captured example FT-ACS2-CR2-XML shows the full tag-to-field mapping structure (Body Name / App Field Name / App Name / App Type / App Read Id / App Id) in practice.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CIB.SMS.REPORT</w:t>
            </w:r>
          </w:p>
        </w:tc>
        <w:tc>
          <w:tcPr>
            <w:tcW w:type="dxa" w:w="73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Appears to be the OUTPUT record of the genuine SMS-composition path (CIB.SMS.COMPOSE.RUN, not directly reviewed) — captured example is keyed by an FT-ID-plus-date-plus-transaction-type composite (...OT03 suffix), with resolved Bodyname/Bodyvalue pairs (CUST.NAME, ACCTID, AMT, VALUEDATE, DEBIT.REF, TXN.NARR, PAY.DETAILS) showing an actual composed outward-transfer SWIFT narrative — real evidence of the customer-facing message path, distinct from the VASCO XML path.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CIB.SMS.REP.CONCAT</w:t>
            </w:r>
          </w:p>
        </w:tc>
        <w:tc>
          <w:tcPr>
            <w:tcW w:type="dxa" w:w="73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 secondary index/concatenation table, apparently grouping multiple Rep IDs under a Customer ID (captured example shows multiple FT-prefixed reference strings grouped under Cus Id values) — likely used to avoid sending duplicate/redundant notifications to the same customer within a batch window; exact mechanism not covered by the code reviewed here.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CIB.SMS.MOBILE</w:t>
            </w:r>
          </w:p>
        </w:tc>
        <w:tc>
          <w:tcPr>
            <w:tcW w:type="dxa" w:w="73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Customer-level mobile/app registration and consent record, keyed by Customer-ID.SMS-Format-ID — captured example shows email addresses, company/branch, and a 'Charges Sts: Waived' field, plus Inputter/Authoriser audit trail — this is the record GET.MOBILE.APP reads to help decide channel eligibility for the genuine SMS path.</w:t>
            </w:r>
          </w:p>
        </w:tc>
      </w:tr>
    </w:tbl>
    <w:p>
      <w:pPr>
        <w:pStyle w:val="Heading1"/>
        <w:pBdr>
          <w:bottom w:val="single" w:color="2E5395" w:sz="6" w:space="4"/>
        </w:pBdr>
        <w:spacing w:after="150" w:before="300"/>
      </w:pPr>
      <w:r>
        <w:t xml:space="preserve">7. Recommended TPH/IRIS Migration Checklist</w:t>
      </w:r>
    </w:p>
    <w:p>
      <w:pPr>
        <w:spacing w:after="80"/>
      </w:pPr>
      <w:r>
        <w:t xml:space="preserve">☐  Correct Document 01's characterization of this call chain (see the correction callout above) before that document is finalized.</w:t>
      </w:r>
    </w:p>
    <w:p>
      <w:pPr>
        <w:spacing w:after="80"/>
      </w:pPr>
      <w:r>
        <w:t xml:space="preserve">☐  Confirm with the T24/fraud-monitoring team whether the same-customer-transfer VASCO logging gap (§3) is real, or closed by a separate mechanism not covered in this review — this has genuine fraud-control implications and should not be left unresolved.</w:t>
      </w:r>
    </w:p>
    <w:p>
      <w:pPr>
        <w:spacing w:after="80"/>
      </w:pPr>
      <w:r>
        <w:t xml:space="preserve">☐  Treat the VASCO XML export as its own integration requirement in the TPH/IRIS design — it is an external-system dependency (VASCO reads this filesystem feed), not an internal T24 concern, and needs its own migration plan independent of the SMS/notification requirement.</w:t>
      </w:r>
    </w:p>
    <w:p>
      <w:pPr>
        <w:spacing w:after="80"/>
      </w:pPr>
      <w:r>
        <w:t xml:space="preserve">☐  Decide whether the new design should preserve the config-driven templating approach (CIB.SMS.FORMAT-style field mapping) or replace it with a structured, typed event/webhook feed to VASCO — the current filesystem-drop mechanism is unlikely to be the right pattern for a modern integration.</w:t>
      </w:r>
    </w:p>
    <w:p>
      <w:pPr>
        <w:spacing w:after="80"/>
      </w:pPr>
      <w:r>
        <w:t xml:space="preserve">☐  Separately migrate the genuine customer-notification path (CIB.SMS.COMPOSE.RUN, CIB.SMS.REPORT, CIB.SMS.REP.CONCAT, CIB.SMS.MOBILE) as its own requirement — obtain and review CIB.SMS.COMPOSE.RUN's source, which was not part of this review, to fully understand the real SMS/alert mechanism.</w:t>
      </w:r>
    </w:p>
    <w:p>
      <w:pPr>
        <w:spacing w:after="80"/>
      </w:pPr>
      <w:r>
        <w:t xml:space="preserve">☐  Confirm whether all four VASCO template variants (VASCO.XML, VASCO.OT.XML, VASCO.MCP.XML, VASCO.MCP.OT.XML) are still actively used, and whether any are obsolete given the newer DXP/CR2 channel (Document 07) that didn't exist when this mechanism was first built.</w:t>
      </w:r>
    </w:p>
    <w:p>
      <w:pPr>
        <w:spacing w:after="80"/>
      </w:pPr>
      <w:r>
        <w:t xml:space="preserve">☐  Confirm the diagnostic LOG-folder CSV trace (§5) is genuinely just a debug aid with no downstream consumer, before deciding whether it needs any equivalent in the new design.</w:t>
      </w:r>
    </w:p>
    <w:p>
      <w:pPr>
        <w:pStyle w:val="Heading1"/>
        <w:pBdr>
          <w:bottom w:val="single" w:color="2E5395" w:sz="6" w:space="4"/>
        </w:pBdr>
        <w:spacing w:after="150" w:before="300"/>
      </w:pPr>
      <w:r>
        <w:t xml:space="preserve">8. Open Questions / Assumptions for the Team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 there a separate, later mechanism (batch job, authorization-step trigger, or otherwise) that generates the VASCO log for same-customer transfers, closing the gap identified in §3?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 does VASCO actually do with these per-transaction XML files once ingested — is the file deleted/archived after processing, and is there any acknowledgment or failure-handling path if VASCO fails to pick up a file?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 the genuine SMS/notification path (CIB.SMS.COMPOSE.RUN) still active and relied upon today, or has it been superseded by newer notification channels (push notifications via the DXP app, for instance)?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 is CIB.SMS.REP.CONCAT's exact purpose and dedup/grouping logic?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Are all four VASCO template variants actively used by all seven services reviewed in this programme, or only a subset?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the VASCO integration have any documented SLA or latency requirement (e.g. must the XML file appear within N seconds of authorization) that the TPH/IRIS design needs to preserve?</w:t>
      </w:r>
    </w:p>
    <w:p>
      <w:pPr>
        <w:pStyle w:val="Heading1"/>
        <w:pBdr>
          <w:bottom w:val="single" w:color="2E5395" w:sz="6" w:space="4"/>
        </w:pBdr>
        <w:spacing w:after="150" w:before="300"/>
      </w:pPr>
      <w:r>
        <w:t xml:space="preserve">9. Review &amp;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8"/>
        <w:gridCol w:w="2123"/>
        <w:gridCol w:w="1737"/>
        <w:gridCol w:w="2412"/>
      </w:tblGrid>
      <w:tr>
        <w:trPr>
          <w:tblHeader/>
        </w:trPr>
        <w:tc>
          <w:tcPr>
            <w:tcW w:type="dxa" w:w="3088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2123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1737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2412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Comments</w:t>
            </w:r>
          </w:p>
        </w:tc>
      </w:tr>
      <w:tr>
        <w:tc>
          <w:tcPr>
            <w:tcW w:type="dxa" w:w="30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Prepared by</w:t>
            </w:r>
          </w:p>
        </w:tc>
        <w:tc>
          <w:tcPr>
            <w:tcW w:type="dxa" w:w="2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T24 Technical Reviewer (must confirm §3 gap finding)</w:t>
            </w:r>
          </w:p>
        </w:tc>
        <w:tc>
          <w:tcPr>
            <w:tcW w:type="dxa" w:w="2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Fraud/VASCO Integration SME</w:t>
            </w:r>
          </w:p>
        </w:tc>
        <w:tc>
          <w:tcPr>
            <w:tcW w:type="dxa" w:w="2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TPH/IRIS Solution Architect</w:t>
            </w:r>
          </w:p>
        </w:tc>
        <w:tc>
          <w:tcPr>
            <w:tcW w:type="dxa" w:w="2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Compliance/Fraud Controls</w:t>
            </w:r>
          </w:p>
        </w:tc>
        <w:tc>
          <w:tcPr>
            <w:tcW w:type="dxa" w:w="2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jc w:val="right"/>
    </w:pPr>
    <w:r>
      <w:rPr>
        <w:color w:val="888888"/>
        <w:sz w:val="16"/>
        <w:szCs w:val="16"/>
      </w:rPr>
      <w:t xml:space="preserve">Deep Dive — VASCO Fraud-Logging Chain (corrects Document 01)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2026-09-15T04:31:16.897Z</dcterms:created>
  <dcterms:modified xsi:type="dcterms:W3CDTF">2026-09-15T04:31:16.906Z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