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color w:val="1F3864"/>
          <w:sz w:val="34"/>
          <w:szCs w:val="34"/>
        </w:rPr>
        <w:t xml:space="preserve">Service Analysis: Authorise FT (SC02)</w:t>
      </w:r>
    </w:p>
    <w:p>
      <w:pPr>
        <w:spacing w:after="300"/>
      </w:pPr>
      <w:r>
        <w:rPr>
          <w:i/>
          <w:iCs/>
          <w:color w:val="555555"/>
          <w:sz w:val="22"/>
          <w:szCs w:val="22"/>
        </w:rPr>
        <w:t xml:space="preserve">T24 R20/FT → TPH R25/IRIS API Migration Audit</w:t>
      </w:r>
    </w:p>
    <w:p>
      <w:pPr>
        <w:spacing w:after="60"/>
      </w:pPr>
      <w:r>
        <w:rPr>
          <w:b/>
          <w:bCs/>
        </w:rPr>
        <w:t xml:space="preserve">Source Routine: </w:t>
      </w:r>
      <w:r>
        <w:t xml:space="preserve">CIB.MSG.AUTHORIZE.SC</w:t>
      </w:r>
    </w:p>
    <w:p>
      <w:pPr>
        <w:spacing w:after="60"/>
      </w:pPr>
      <w:r>
        <w:rPr>
          <w:b/>
          <w:bCs/>
        </w:rPr>
        <w:t xml:space="preserve">Type: </w:t>
      </w:r>
      <w:r>
        <w:t xml:space="preserve">OFS Wrapper Routine (Custom Call Routine)</w:t>
      </w:r>
    </w:p>
    <w:p>
      <w:pPr>
        <w:spacing w:after="60"/>
      </w:pPr>
      <w:r>
        <w:rPr>
          <w:b/>
          <w:bCs/>
        </w:rPr>
        <w:t xml:space="preserve">Current Version: </w:t>
      </w:r>
      <w:r>
        <w:t xml:space="preserve">T24 R20 / FT (OFS)</w:t>
      </w:r>
    </w:p>
    <w:p>
      <w:pPr>
        <w:spacing w:after="60"/>
      </w:pPr>
      <w:r>
        <w:rPr>
          <w:b/>
          <w:bCs/>
        </w:rPr>
        <w:t xml:space="preserve">Target: </w:t>
      </w:r>
      <w:r>
        <w:t xml:space="preserve">TPH R25 / IRIS API</w:t>
      </w:r>
    </w:p>
    <w:p>
      <w:pPr>
        <w:spacing w:after="60"/>
      </w:pPr>
      <w:r>
        <w:rPr>
          <w:b/>
          <w:bCs/>
        </w:rPr>
        <w:t xml:space="preserve">Service ID (SRVC.ID): </w:t>
      </w:r>
      <w:r>
        <w:t xml:space="preserve">SC02</w:t>
      </w:r>
    </w:p>
    <w:p>
      <w:pPr>
        <w:spacing w:after="60"/>
      </w:pPr>
      <w:r>
        <w:rPr>
          <w:b/>
          <w:bCs/>
        </w:rPr>
        <w:t xml:space="preserve">Used By: </w:t>
      </w:r>
      <w:r>
        <w:t xml:space="preserve">Channels authorizing a previously created/amended outward transfer; also called internally by Create Outward Transfer (Document 01) for its auto-authorization step</w:t>
      </w:r>
    </w:p>
    <w:p>
      <w:pPr>
        <w:spacing w:after="60"/>
      </w:pPr>
      <w:r>
        <w:rPr>
          <w:b/>
          <w:bCs/>
        </w:rPr>
        <w:t xml:space="preserve">Sibling Documents: </w:t>
      </w:r>
      <w:r>
        <w:t xml:space="preserve">01 — Create Outward Transfer (CIB.OT.FT); 02 — Simulate Fees &amp; Calculate Commission (FT08); 03 — Amend Outward Transfer (1012)</w:t>
      </w:r>
    </w:p>
    <w:p>
      <w:pPr>
        <w:spacing w:after="120"/>
      </w:pPr>
      <w:r>
        <w:rPr>
          <w:i/>
          <w:iCs/>
          <w:color w:val="555555"/>
        </w:rPr>
        <w:t xml:space="preserve">Note: no sample request/response was available for this service at the time of this review — all findings below are from static code analysis only. A real sample would materially strengthen §3's findings, especially the CUSTODY-channel and delimiter-bug items.</w:t>
      </w:r>
    </w:p>
    <w:p>
      <w:pPr>
        <w:pStyle w:val="Heading1"/>
        <w:pBdr>
          <w:bottom w:val="single" w:color="2E5395" w:sz="6" w:space="4"/>
        </w:pBdr>
        <w:spacing w:after="150" w:before="30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95"/>
        <w:gridCol w:w="6465"/>
      </w:tblGrid>
      <w:tr>
        <w:trPr>
          <w:tblHeader/>
        </w:trPr>
        <w:tc>
          <w:tcPr>
            <w:tcW w:type="dxa" w:w="2895"/>
            <w:shd w:fill="2E5395" w:val="clear"/>
            <w:tcMar>
              <w:top w:type="dxa" w:w="80"/>
              <w:left w:type="dxa" w:w="100"/>
              <w:bottom w:type="dxa" w:w="80"/>
              <w:right w:type="dxa" w:w="100"/>
            </w:tcMar>
          </w:tcPr>
          <w:p>
            <w:r>
              <w:rPr>
                <w:b/>
                <w:bCs/>
                <w:color w:val="FFFFFF"/>
              </w:rPr>
              <w:t xml:space="preserve">Field</w:t>
            </w:r>
          </w:p>
        </w:tc>
        <w:tc>
          <w:tcPr>
            <w:tcW w:type="dxa" w:w="6465"/>
            <w:shd w:fill="2E5395" w:val="clear"/>
            <w:tcMar>
              <w:top w:type="dxa" w:w="80"/>
              <w:left w:type="dxa" w:w="100"/>
              <w:bottom w:type="dxa" w:w="80"/>
              <w:right w:type="dxa" w:w="100"/>
            </w:tcMar>
          </w:tcPr>
          <w:p>
            <w:r>
              <w:rPr>
                <w:b/>
                <w:bCs/>
                <w:color w:val="FFFFFF"/>
              </w:rPr>
              <w:t xml:space="preserve">Value</w:t>
            </w:r>
          </w:p>
        </w:tc>
      </w:tr>
      <w:tr>
        <w:tc>
          <w:tcPr>
            <w:tcW w:type="dxa" w:w="2895"/>
            <w:tcMar>
              <w:top w:type="dxa" w:w="60"/>
              <w:left w:type="dxa" w:w="100"/>
              <w:bottom w:type="dxa" w:w="60"/>
              <w:right w:type="dxa" w:w="100"/>
            </w:tcMar>
          </w:tcPr>
          <w:p>
            <w:r>
              <w:rPr>
                <w:b w:val="false"/>
                <w:bCs w:val="false"/>
              </w:rPr>
              <w:t xml:space="preserve">Document Title</w:t>
            </w:r>
          </w:p>
        </w:tc>
        <w:tc>
          <w:tcPr>
            <w:tcW w:type="dxa" w:w="6465"/>
            <w:tcMar>
              <w:top w:type="dxa" w:w="60"/>
              <w:left w:type="dxa" w:w="100"/>
              <w:bottom w:type="dxa" w:w="60"/>
              <w:right w:type="dxa" w:w="100"/>
            </w:tcMar>
          </w:tcPr>
          <w:p>
            <w:r>
              <w:rPr>
                <w:b w:val="false"/>
                <w:bCs w:val="false"/>
              </w:rPr>
              <w:t xml:space="preserve">Service Analysis — Authorise FT (CIB.MSG.AUTHORIZE.SC / SC02)</w:t>
            </w:r>
          </w:p>
        </w:tc>
      </w:tr>
      <w:tr>
        <w:tc>
          <w:tcPr>
            <w:tcW w:type="dxa" w:w="2895"/>
            <w:tcMar>
              <w:top w:type="dxa" w:w="60"/>
              <w:left w:type="dxa" w:w="100"/>
              <w:bottom w:type="dxa" w:w="60"/>
              <w:right w:type="dxa" w:w="100"/>
            </w:tcMar>
          </w:tcPr>
          <w:p>
            <w:r>
              <w:rPr>
                <w:b w:val="false"/>
                <w:bCs w:val="false"/>
              </w:rPr>
              <w:t xml:space="preserve">Version</w:t>
            </w:r>
          </w:p>
        </w:tc>
        <w:tc>
          <w:tcPr>
            <w:tcW w:type="dxa" w:w="6465"/>
            <w:tcMar>
              <w:top w:type="dxa" w:w="60"/>
              <w:left w:type="dxa" w:w="100"/>
              <w:bottom w:type="dxa" w:w="60"/>
              <w:right w:type="dxa" w:w="100"/>
            </w:tcMar>
          </w:tcPr>
          <w:p>
            <w:r>
              <w:rPr>
                <w:b w:val="false"/>
                <w:bCs w:val="false"/>
              </w:rPr>
              <w:t xml:space="preserve">1.0 — Draft, pending peer review</w:t>
            </w:r>
          </w:p>
        </w:tc>
      </w:tr>
      <w:tr>
        <w:tc>
          <w:tcPr>
            <w:tcW w:type="dxa" w:w="2895"/>
            <w:tcMar>
              <w:top w:type="dxa" w:w="60"/>
              <w:left w:type="dxa" w:w="100"/>
              <w:bottom w:type="dxa" w:w="60"/>
              <w:right w:type="dxa" w:w="100"/>
            </w:tcMar>
          </w:tcPr>
          <w:p>
            <w:r>
              <w:rPr>
                <w:b w:val="false"/>
                <w:bCs w:val="false"/>
              </w:rPr>
              <w:t xml:space="preserve">Prepared For</w:t>
            </w:r>
          </w:p>
        </w:tc>
        <w:tc>
          <w:tcPr>
            <w:tcW w:type="dxa" w:w="6465"/>
            <w:tcMar>
              <w:top w:type="dxa" w:w="60"/>
              <w:left w:type="dxa" w:w="100"/>
              <w:bottom w:type="dxa" w:w="60"/>
              <w:right w:type="dxa" w:w="100"/>
            </w:tcMar>
          </w:tcPr>
          <w:p>
            <w:r>
              <w:rPr>
                <w:b w:val="false"/>
                <w:bCs w:val="false"/>
              </w:rPr>
              <w:t xml:space="preserve">T24 R20→R25 / FT→TPH Migration Programme</w:t>
            </w:r>
          </w:p>
        </w:tc>
      </w:tr>
      <w:tr>
        <w:tc>
          <w:tcPr>
            <w:tcW w:type="dxa" w:w="2895"/>
            <w:tcMar>
              <w:top w:type="dxa" w:w="60"/>
              <w:left w:type="dxa" w:w="100"/>
              <w:bottom w:type="dxa" w:w="60"/>
              <w:right w:type="dxa" w:w="100"/>
            </w:tcMar>
          </w:tcPr>
          <w:p>
            <w:r>
              <w:rPr>
                <w:b w:val="false"/>
                <w:bCs w:val="false"/>
              </w:rPr>
              <w:t xml:space="preserve">Prepared Basis</w:t>
            </w:r>
          </w:p>
        </w:tc>
        <w:tc>
          <w:tcPr>
            <w:tcW w:type="dxa" w:w="6465"/>
            <w:tcMar>
              <w:top w:type="dxa" w:w="60"/>
              <w:left w:type="dxa" w:w="100"/>
              <w:bottom w:type="dxa" w:w="60"/>
              <w:right w:type="dxa" w:w="100"/>
            </w:tcMar>
          </w:tcPr>
          <w:p>
            <w:r>
              <w:rPr>
                <w:b w:val="false"/>
                <w:bCs w:val="false"/>
              </w:rPr>
              <w:t xml:space="preserve">Static code review of CIB.MSG.AUTHORIZE.SC (as supplied) — no sample request/response available</w:t>
            </w:r>
          </w:p>
        </w:tc>
      </w:tr>
      <w:tr>
        <w:tc>
          <w:tcPr>
            <w:tcW w:type="dxa" w:w="2895"/>
            <w:tcMar>
              <w:top w:type="dxa" w:w="60"/>
              <w:left w:type="dxa" w:w="100"/>
              <w:bottom w:type="dxa" w:w="60"/>
              <w:right w:type="dxa" w:w="100"/>
            </w:tcMar>
          </w:tcPr>
          <w:p>
            <w:r>
              <w:rPr>
                <w:b w:val="false"/>
                <w:bCs w:val="false"/>
              </w:rPr>
              <w:t xml:space="preserve">Last Updated</w:t>
            </w:r>
          </w:p>
        </w:tc>
        <w:tc>
          <w:tcPr>
            <w:tcW w:type="dxa" w:w="6465"/>
            <w:tcMar>
              <w:top w:type="dxa" w:w="60"/>
              <w:left w:type="dxa" w:w="100"/>
              <w:bottom w:type="dxa" w:w="60"/>
              <w:right w:type="dxa" w:w="100"/>
            </w:tcMar>
          </w:tcPr>
          <w:p>
            <w:r>
              <w:rPr>
                <w:b w:val="false"/>
                <w:bCs w:val="false"/>
              </w:rPr>
              <w:t xml:space="preserve">25-Aug-2026</w:t>
            </w:r>
          </w:p>
        </w:tc>
      </w:tr>
      <w:tr>
        <w:tc>
          <w:tcPr>
            <w:tcW w:type="dxa" w:w="2895"/>
            <w:tcMar>
              <w:top w:type="dxa" w:w="60"/>
              <w:left w:type="dxa" w:w="100"/>
              <w:bottom w:type="dxa" w:w="60"/>
              <w:right w:type="dxa" w:w="100"/>
            </w:tcMar>
          </w:tcPr>
          <w:p>
            <w:r>
              <w:rPr>
                <w:b w:val="false"/>
                <w:bCs w:val="false"/>
              </w:rPr>
              <w:t xml:space="preserve">Related Documents</w:t>
            </w:r>
          </w:p>
        </w:tc>
        <w:tc>
          <w:tcPr>
            <w:tcW w:type="dxa" w:w="6465"/>
            <w:tcMar>
              <w:top w:type="dxa" w:w="60"/>
              <w:left w:type="dxa" w:w="100"/>
              <w:bottom w:type="dxa" w:w="60"/>
              <w:right w:type="dxa" w:w="100"/>
            </w:tcMar>
          </w:tcPr>
          <w:p>
            <w:r>
              <w:rPr>
                <w:b w:val="false"/>
                <w:bCs w:val="false"/>
              </w:rPr>
              <w:t xml:space="preserve">01 — Create Outward Transfer (CIB.OT.FT); 02 — Simulate Fees &amp; Calculate Commission (FT08); 03 — Amend Outward Transfer (1012)</w:t>
            </w:r>
          </w:p>
        </w:tc>
      </w:tr>
    </w:tbl>
    <w:p>
      <w:pPr>
        <w:pStyle w:val="Heading1"/>
        <w:pBdr>
          <w:bottom w:val="single" w:color="2E5395" w:sz="6" w:space="4"/>
        </w:pBdr>
        <w:spacing w:after="150" w:before="300"/>
      </w:pPr>
      <w:r>
        <w:t xml:space="preserve">Executive Summary</w:t>
      </w:r>
    </w:p>
    <w:p>
      <w:pPr>
        <w:spacing w:after="120"/>
      </w:pPr>
      <w:r>
        <w:t xml:space="preserve">CIB.MSG.AUTHORIZE.SC is the maker-checker completion step for an outward transfer previously created or amended by the other CIB services — it is also the exact routine Create Outward Transfer (Document 01) calls internally for its own auto-authorization feature. Despite being the shortest of the four routines reviewed, it carries three findings that matter more than its size suggests: a likely delimiter bug that silently disables channel-specific logic, a status-code scheme that breaks from every other CIB service's 4-digit convention, and a session-level side effect (unrestored global variables) triggered for a specific transaction type. None of these are visible from the routine's name or its short length alone — all three came out of a careful line-by-line trace.</w:t>
      </w:r>
    </w:p>
    <w:p>
      <w:pPr>
        <w:pStyle w:val="Heading2"/>
        <w:spacing w:after="120" w:before="260"/>
      </w:pPr>
      <w:r>
        <w:t xml:space="preserve">Risk &amp; Priority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9"/>
        <w:gridCol w:w="1544"/>
        <w:gridCol w:w="5307"/>
      </w:tblGrid>
      <w:tr>
        <w:trPr>
          <w:tblHeader/>
        </w:trPr>
        <w:tc>
          <w:tcPr>
            <w:tcW w:type="dxa" w:w="2509"/>
            <w:shd w:fill="2E5395" w:val="clear"/>
            <w:tcMar>
              <w:top w:type="dxa" w:w="80"/>
              <w:left w:type="dxa" w:w="100"/>
              <w:bottom w:type="dxa" w:w="80"/>
              <w:right w:type="dxa" w:w="100"/>
            </w:tcMar>
          </w:tcPr>
          <w:p>
            <w:r>
              <w:rPr>
                <w:b/>
                <w:bCs/>
                <w:color w:val="FFFFFF"/>
              </w:rPr>
              <w:t xml:space="preserve">Dimension</w:t>
            </w:r>
          </w:p>
        </w:tc>
        <w:tc>
          <w:tcPr>
            <w:tcW w:type="dxa" w:w="1544"/>
            <w:shd w:fill="2E5395" w:val="clear"/>
            <w:tcMar>
              <w:top w:type="dxa" w:w="80"/>
              <w:left w:type="dxa" w:w="100"/>
              <w:bottom w:type="dxa" w:w="80"/>
              <w:right w:type="dxa" w:w="100"/>
            </w:tcMar>
          </w:tcPr>
          <w:p>
            <w:r>
              <w:rPr>
                <w:b/>
                <w:bCs/>
                <w:color w:val="FFFFFF"/>
              </w:rPr>
              <w:t xml:space="preserve">Rating</w:t>
            </w:r>
          </w:p>
        </w:tc>
        <w:tc>
          <w:tcPr>
            <w:tcW w:type="dxa" w:w="5307"/>
            <w:shd w:fill="2E5395" w:val="clear"/>
            <w:tcMar>
              <w:top w:type="dxa" w:w="80"/>
              <w:left w:type="dxa" w:w="100"/>
              <w:bottom w:type="dxa" w:w="80"/>
              <w:right w:type="dxa" w:w="100"/>
            </w:tcMar>
          </w:tcPr>
          <w:p>
            <w:r>
              <w:rPr>
                <w:b/>
                <w:bCs/>
                <w:color w:val="FFFFFF"/>
              </w:rPr>
              <w:t xml:space="preserve">Rationale</w:t>
            </w:r>
          </w:p>
        </w:tc>
      </w:tr>
      <w:tr>
        <w:tc>
          <w:tcPr>
            <w:tcW w:type="dxa" w:w="2509"/>
            <w:tcMar>
              <w:top w:type="dxa" w:w="60"/>
              <w:left w:type="dxa" w:w="100"/>
              <w:bottom w:type="dxa" w:w="60"/>
              <w:right w:type="dxa" w:w="100"/>
            </w:tcMar>
          </w:tcPr>
          <w:p>
            <w:r>
              <w:rPr>
                <w:b w:val="false"/>
                <w:bCs w:val="false"/>
              </w:rPr>
              <w:t xml:space="preserve">Business Criticality</w:t>
            </w:r>
          </w:p>
        </w:tc>
        <w:tc>
          <w:tcPr>
            <w:tcW w:type="dxa" w:w="1544"/>
            <w:tcMar>
              <w:top w:type="dxa" w:w="60"/>
              <w:left w:type="dxa" w:w="100"/>
              <w:bottom w:type="dxa" w:w="60"/>
              <w:right w:type="dxa" w:w="100"/>
            </w:tcMar>
          </w:tcPr>
          <w:p>
            <w:r>
              <w:rPr>
                <w:b w:val="false"/>
                <w:bCs w:val="false"/>
              </w:rPr>
              <w:t xml:space="preserve">High</w:t>
            </w:r>
          </w:p>
        </w:tc>
        <w:tc>
          <w:tcPr>
            <w:tcW w:type="dxa" w:w="5307"/>
            <w:tcMar>
              <w:top w:type="dxa" w:w="60"/>
              <w:left w:type="dxa" w:w="100"/>
              <w:bottom w:type="dxa" w:w="60"/>
              <w:right w:type="dxa" w:w="100"/>
            </w:tcMar>
          </w:tcPr>
          <w:p>
            <w:r>
              <w:rPr>
                <w:b w:val="false"/>
                <w:bCs w:val="false"/>
              </w:rPr>
              <w:t xml:space="preserve">This is the final step that actually commits a pending outward transfer — a failure here leaves money movement permanently stuck in an unauthorized state</w:t>
            </w:r>
          </w:p>
        </w:tc>
      </w:tr>
      <w:tr>
        <w:tc>
          <w:tcPr>
            <w:tcW w:type="dxa" w:w="2509"/>
            <w:tcMar>
              <w:top w:type="dxa" w:w="60"/>
              <w:left w:type="dxa" w:w="100"/>
              <w:bottom w:type="dxa" w:w="60"/>
              <w:right w:type="dxa" w:w="100"/>
            </w:tcMar>
          </w:tcPr>
          <w:p>
            <w:r>
              <w:rPr>
                <w:b w:val="false"/>
                <w:bCs w:val="false"/>
              </w:rPr>
              <w:t xml:space="preserve">Migration Complexity</w:t>
            </w:r>
          </w:p>
        </w:tc>
        <w:tc>
          <w:tcPr>
            <w:tcW w:type="dxa" w:w="1544"/>
            <w:tcMar>
              <w:top w:type="dxa" w:w="60"/>
              <w:left w:type="dxa" w:w="100"/>
              <w:bottom w:type="dxa" w:w="60"/>
              <w:right w:type="dxa" w:w="100"/>
            </w:tcMar>
          </w:tcPr>
          <w:p>
            <w:r>
              <w:rPr>
                <w:b w:val="false"/>
                <w:bCs w:val="false"/>
              </w:rPr>
              <w:t xml:space="preserve">Medium</w:t>
            </w:r>
          </w:p>
        </w:tc>
        <w:tc>
          <w:tcPr>
            <w:tcW w:type="dxa" w:w="5307"/>
            <w:tcMar>
              <w:top w:type="dxa" w:w="60"/>
              <w:left w:type="dxa" w:w="100"/>
              <w:bottom w:type="dxa" w:w="60"/>
              <w:right w:type="dxa" w:w="100"/>
            </w:tcMar>
          </w:tcPr>
          <w:p>
            <w:r>
              <w:rPr>
                <w:b w:val="false"/>
                <w:bCs w:val="false"/>
              </w:rPr>
              <w:t xml:space="preserve">Small field surface, but the status-code inconsistency (§3.3) and the dual-purpose FUNCTION.ID (§3.2) both require careful, explicit handling rather than being inferred from the routine's name</w:t>
            </w:r>
          </w:p>
        </w:tc>
      </w:tr>
      <w:tr>
        <w:tc>
          <w:tcPr>
            <w:tcW w:type="dxa" w:w="2509"/>
            <w:tcMar>
              <w:top w:type="dxa" w:w="60"/>
              <w:left w:type="dxa" w:w="100"/>
              <w:bottom w:type="dxa" w:w="60"/>
              <w:right w:type="dxa" w:w="100"/>
            </w:tcMar>
          </w:tcPr>
          <w:p>
            <w:r>
              <w:rPr>
                <w:b w:val="false"/>
                <w:bCs w:val="false"/>
              </w:rPr>
              <w:t xml:space="preserve">Code Integrity Risk</w:t>
            </w:r>
          </w:p>
        </w:tc>
        <w:tc>
          <w:tcPr>
            <w:tcW w:type="dxa" w:w="1544"/>
            <w:tcMar>
              <w:top w:type="dxa" w:w="60"/>
              <w:left w:type="dxa" w:w="100"/>
              <w:bottom w:type="dxa" w:w="60"/>
              <w:right w:type="dxa" w:w="100"/>
            </w:tcMar>
          </w:tcPr>
          <w:p>
            <w:r>
              <w:rPr>
                <w:b w:val="false"/>
                <w:bCs w:val="false"/>
              </w:rPr>
              <w:t xml:space="preserve">High</w:t>
            </w:r>
          </w:p>
        </w:tc>
        <w:tc>
          <w:tcPr>
            <w:tcW w:type="dxa" w:w="5307"/>
            <w:tcMar>
              <w:top w:type="dxa" w:w="60"/>
              <w:left w:type="dxa" w:w="100"/>
              <w:bottom w:type="dxa" w:w="60"/>
              <w:right w:type="dxa" w:w="100"/>
            </w:tcMar>
          </w:tcPr>
          <w:p>
            <w:r>
              <w:rPr>
                <w:b w:val="false"/>
                <w:bCs w:val="false"/>
              </w:rPr>
              <w:t xml:space="preserve">Two probable defects found (§3.1, §3.4) — both need confirmation against the live system before being treated as intended behavior</w:t>
            </w:r>
          </w:p>
        </w:tc>
      </w:tr>
      <w:tr>
        <w:tc>
          <w:tcPr>
            <w:tcW w:type="dxa" w:w="2509"/>
            <w:tcMar>
              <w:top w:type="dxa" w:w="60"/>
              <w:left w:type="dxa" w:w="100"/>
              <w:bottom w:type="dxa" w:w="60"/>
              <w:right w:type="dxa" w:w="100"/>
            </w:tcMar>
          </w:tcPr>
          <w:p>
            <w:r>
              <w:rPr>
                <w:b w:val="false"/>
                <w:bCs w:val="false"/>
              </w:rPr>
              <w:t xml:space="preserve">Testing Priority</w:t>
            </w:r>
          </w:p>
        </w:tc>
        <w:tc>
          <w:tcPr>
            <w:tcW w:type="dxa" w:w="1544"/>
            <w:tcMar>
              <w:top w:type="dxa" w:w="60"/>
              <w:left w:type="dxa" w:w="100"/>
              <w:bottom w:type="dxa" w:w="60"/>
              <w:right w:type="dxa" w:w="100"/>
            </w:tcMar>
          </w:tcPr>
          <w:p>
            <w:r>
              <w:rPr>
                <w:b w:val="false"/>
                <w:bCs w:val="false"/>
              </w:rPr>
              <w:t xml:space="preserve">P1 — test alongside Create Outward Transfer, since it's invoked internally by it</w:t>
            </w:r>
          </w:p>
        </w:tc>
        <w:tc>
          <w:tcPr>
            <w:tcW w:type="dxa" w:w="5307"/>
            <w:tcMar>
              <w:top w:type="dxa" w:w="60"/>
              <w:left w:type="dxa" w:w="100"/>
              <w:bottom w:type="dxa" w:w="60"/>
              <w:right w:type="dxa" w:w="100"/>
            </w:tcMar>
          </w:tcPr>
          <w:p>
            <w:r>
              <w:rPr>
                <w:b w:val="false"/>
                <w:bCs w:val="false"/>
              </w:rPr>
              <w:t xml:space="preserve">Any change to this routine's behavior also changes Create Outward Transfer's auto-authorization path</w:t>
            </w:r>
          </w:p>
        </w:tc>
      </w:tr>
    </w:tbl>
    <w:p>
      <w:pPr>
        <w:pStyle w:val="Heading1"/>
        <w:pBdr>
          <w:bottom w:val="single" w:color="2E5395" w:sz="6" w:space="4"/>
        </w:pBdr>
        <w:spacing w:after="150" w:before="300"/>
      </w:pPr>
      <w:r>
        <w:t xml:space="preserve">Service Description (Business View)</w:t>
      </w:r>
    </w:p>
    <w:p>
      <w:pPr>
        <w:spacing w:after="120"/>
      </w:pPr>
      <w:r>
        <w:t xml:space="preserve">This service completes the second half of the maker-checker process for an outward transfer: after a transfer has been created (Document 01) or amended (Document 03) and is sitting in a pending, not-yet-authorized state, this service tells T24 to authorize it — the step that actually commits the transaction. It can be called directly by a channel with T24's own transfer ID, or with the original message ID the channel used when it first created the transfer (the service looks up the real transfer ID automatically). Under the same mechanism, it can also be told to perform other maker-checker actions — input, delete, or reverse — on the target record, though authorization is its primary named purpose. For one specific transfer type, it also regenerates an advice/delivery preview immediately after authorization succeeds, so the confirmation the customer sees is up to date.</w:t>
      </w:r>
    </w:p>
    <w:p>
      <w:pPr>
        <w:spacing w:after="120"/>
      </w:pPr>
      <w:r>
        <w:rPr>
          <w:i/>
          <w:iCs/>
        </w:rPr>
        <w:t xml:space="preserve">Who uses it: any channel completing the authorization of a previously submitted outward transfer; also invoked automatically, behind the scenes, by the Create Outward Transfer service itself when a channel is configured for auto-authorization.</w:t>
      </w:r>
    </w:p>
    <w:p>
      <w:pPr>
        <w:pStyle w:val="Heading1"/>
        <w:pBdr>
          <w:bottom w:val="single" w:color="2E5395" w:sz="6" w:space="4"/>
        </w:pBdr>
        <w:spacing w:after="150" w:before="300"/>
      </w:pPr>
      <w:r>
        <w:t xml:space="preserve">1. Purpose</w:t>
      </w:r>
    </w:p>
    <w:p>
      <w:pPr>
        <w:spacing w:after="120"/>
      </w:pPr>
      <w:r>
        <w:t xml:space="preserve">CIB.MSG.AUTHORIZE.SC takes a short, 5-field pipe-delimited input, resolves the target FT record (directly or via a message-ID lookup), determines which OFS version template and branch/company code to use based on the record itself, then posts an OFS call in the requested action mode (Authorize by default, but also Input/Delete/Reverse). For one specific transaction type it additionally regenerates a delivery preview. It returns a compact 4-segment response.</w:t>
      </w:r>
    </w:p>
    <w:p>
      <w:pPr>
        <w:pStyle w:val="Heading1"/>
        <w:pBdr>
          <w:bottom w:val="single" w:color="2E5395" w:sz="6" w:space="4"/>
        </w:pBdr>
        <w:spacing w:after="150" w:before="300"/>
      </w:pPr>
      <w:r>
        <w:t xml:space="preserve">2. Input Contract (5 Pipe-Delimited Fields)</w:t>
      </w:r>
    </w:p>
    <w:p>
      <w:pPr>
        <w:spacing w:after="120"/>
      </w:pPr>
      <w:r>
        <w:rPr>
          <w:i/>
          <w:iCs/>
          <w:color w:val="555555"/>
        </w:rPr>
        <w:t xml:space="preserve">This routine has by far the smallest input surface of the four services reviewed — no beneficiary, amount, or commission fields at all, since it operates purely on a record that already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7"/>
        <w:gridCol w:w="2062"/>
        <w:gridCol w:w="1904"/>
        <w:gridCol w:w="4997"/>
      </w:tblGrid>
      <w:tr>
        <w:trPr>
          <w:tblHeader/>
        </w:trPr>
        <w:tc>
          <w:tcPr>
            <w:tcW w:type="dxa" w:w="397"/>
            <w:shd w:fill="2E5395" w:val="clear"/>
            <w:tcMar>
              <w:top w:type="dxa" w:w="80"/>
              <w:left w:type="dxa" w:w="100"/>
              <w:bottom w:type="dxa" w:w="80"/>
              <w:right w:type="dxa" w:w="100"/>
            </w:tcMar>
          </w:tcPr>
          <w:p>
            <w:r>
              <w:rPr>
                <w:b/>
                <w:bCs/>
                <w:color w:val="FFFFFF"/>
              </w:rPr>
              <w:t xml:space="preserve">#</w:t>
            </w:r>
          </w:p>
        </w:tc>
        <w:tc>
          <w:tcPr>
            <w:tcW w:type="dxa" w:w="2062"/>
            <w:shd w:fill="2E5395" w:val="clear"/>
            <w:tcMar>
              <w:top w:type="dxa" w:w="80"/>
              <w:left w:type="dxa" w:w="100"/>
              <w:bottom w:type="dxa" w:w="80"/>
              <w:right w:type="dxa" w:w="100"/>
            </w:tcMar>
          </w:tcPr>
          <w:p>
            <w:r>
              <w:rPr>
                <w:b/>
                <w:bCs/>
                <w:color w:val="FFFFFF"/>
              </w:rPr>
              <w:t xml:space="preserve">Field</w:t>
            </w:r>
          </w:p>
        </w:tc>
        <w:tc>
          <w:tcPr>
            <w:tcW w:type="dxa" w:w="1904"/>
            <w:shd w:fill="2E5395" w:val="clear"/>
            <w:tcMar>
              <w:top w:type="dxa" w:w="80"/>
              <w:left w:type="dxa" w:w="100"/>
              <w:bottom w:type="dxa" w:w="80"/>
              <w:right w:type="dxa" w:w="100"/>
            </w:tcMar>
          </w:tcPr>
          <w:p>
            <w:r>
              <w:rPr>
                <w:b/>
                <w:bCs/>
                <w:color w:val="FFFFFF"/>
              </w:rPr>
              <w:t xml:space="preserve">Category</w:t>
            </w:r>
          </w:p>
        </w:tc>
        <w:tc>
          <w:tcPr>
            <w:tcW w:type="dxa" w:w="4997"/>
            <w:shd w:fill="2E5395" w:val="clear"/>
            <w:tcMar>
              <w:top w:type="dxa" w:w="80"/>
              <w:left w:type="dxa" w:w="100"/>
              <w:bottom w:type="dxa" w:w="80"/>
              <w:right w:type="dxa" w:w="100"/>
            </w:tcMar>
          </w:tcPr>
          <w:p>
            <w:r>
              <w:rPr>
                <w:b/>
                <w:bCs/>
                <w:color w:val="FFFFFF"/>
              </w:rPr>
              <w:t xml:space="preserve">Posted to OFS? / Treatment</w:t>
            </w:r>
          </w:p>
        </w:tc>
      </w:tr>
      <w:tr>
        <w:tc>
          <w:tcPr>
            <w:tcW w:type="dxa" w:w="397"/>
            <w:tcMar>
              <w:top w:type="dxa" w:w="60"/>
              <w:left w:type="dxa" w:w="100"/>
              <w:bottom w:type="dxa" w:w="60"/>
              <w:right w:type="dxa" w:w="100"/>
            </w:tcMar>
          </w:tcPr>
          <w:p>
            <w:r>
              <w:rPr>
                <w:b w:val="false"/>
                <w:bCs w:val="false"/>
              </w:rPr>
              <w:t xml:space="preserve">1</w:t>
            </w:r>
          </w:p>
        </w:tc>
        <w:tc>
          <w:tcPr>
            <w:tcW w:type="dxa" w:w="2062"/>
            <w:tcMar>
              <w:top w:type="dxa" w:w="60"/>
              <w:left w:type="dxa" w:w="100"/>
              <w:bottom w:type="dxa" w:w="60"/>
              <w:right w:type="dxa" w:w="100"/>
            </w:tcMar>
          </w:tcPr>
          <w:p>
            <w:r>
              <w:rPr>
                <w:b w:val="false"/>
                <w:bCs w:val="false"/>
              </w:rPr>
              <w:t xml:space="preserve">HEADER.ID (SRVC.ID/CHNL.CODE/MSG.ID/TOKEN.ID)</w:t>
            </w:r>
          </w:p>
        </w:tc>
        <w:tc>
          <w:tcPr>
            <w:tcW w:type="dxa" w:w="1904"/>
            <w:tcMar>
              <w:top w:type="dxa" w:w="60"/>
              <w:left w:type="dxa" w:w="100"/>
              <w:bottom w:type="dxa" w:w="60"/>
              <w:right w:type="dxa" w:w="100"/>
            </w:tcMar>
          </w:tcPr>
          <w:p>
            <w:r>
              <w:rPr>
                <w:b w:val="false"/>
                <w:bCs w:val="false"/>
              </w:rPr>
              <w:t xml:space="preserve">⚠ See Critical Finding #1</w:t>
            </w:r>
          </w:p>
        </w:tc>
        <w:tc>
          <w:tcPr>
            <w:tcW w:type="dxa" w:w="4997"/>
            <w:tcMar>
              <w:top w:type="dxa" w:w="60"/>
              <w:left w:type="dxa" w:w="100"/>
              <w:bottom w:type="dxa" w:w="60"/>
              <w:right w:type="dxa" w:w="100"/>
            </w:tcMar>
          </w:tcPr>
          <w:p>
            <w:r>
              <w:rPr>
                <w:b w:val="false"/>
                <w:bCs w:val="false"/>
              </w:rPr>
              <w:t xml:space="preserve">The raw HEADER.ID string is echoed back unchanged in the response, so this always works. But the routine's own attempt to split it into SRVC.ID/CHNL.CODE/MSG.ID/TOKEN.ID uses the wrong delimiter and likely fails silently — see below</w:t>
            </w:r>
          </w:p>
        </w:tc>
      </w:tr>
      <w:tr>
        <w:tc>
          <w:tcPr>
            <w:tcW w:type="dxa" w:w="397"/>
            <w:tcMar>
              <w:top w:type="dxa" w:w="60"/>
              <w:left w:type="dxa" w:w="100"/>
              <w:bottom w:type="dxa" w:w="60"/>
              <w:right w:type="dxa" w:w="100"/>
            </w:tcMar>
          </w:tcPr>
          <w:p>
            <w:r>
              <w:rPr>
                <w:b w:val="false"/>
                <w:bCs w:val="false"/>
              </w:rPr>
              <w:t xml:space="preserve">2</w:t>
            </w:r>
          </w:p>
        </w:tc>
        <w:tc>
          <w:tcPr>
            <w:tcW w:type="dxa" w:w="2062"/>
            <w:tcMar>
              <w:top w:type="dxa" w:w="60"/>
              <w:left w:type="dxa" w:w="100"/>
              <w:bottom w:type="dxa" w:w="60"/>
              <w:right w:type="dxa" w:w="100"/>
            </w:tcMar>
          </w:tcPr>
          <w:p>
            <w:r>
              <w:rPr>
                <w:b w:val="false"/>
                <w:bCs w:val="false"/>
              </w:rPr>
              <w:t xml:space="preserve">FT.ID</w:t>
            </w:r>
          </w:p>
        </w:tc>
        <w:tc>
          <w:tcPr>
            <w:tcW w:type="dxa" w:w="1904"/>
            <w:tcMar>
              <w:top w:type="dxa" w:w="60"/>
              <w:left w:type="dxa" w:w="100"/>
              <w:bottom w:type="dxa" w:w="60"/>
              <w:right w:type="dxa" w:w="100"/>
            </w:tcMar>
          </w:tcPr>
          <w:p>
            <w:r>
              <w:rPr>
                <w:b w:val="false"/>
                <w:bCs w:val="false"/>
              </w:rPr>
              <w:t xml:space="preserve">A — used as OFS record key, with a resolution step</w:t>
            </w:r>
          </w:p>
        </w:tc>
        <w:tc>
          <w:tcPr>
            <w:tcW w:type="dxa" w:w="4997"/>
            <w:tcMar>
              <w:top w:type="dxa" w:w="60"/>
              <w:left w:type="dxa" w:w="100"/>
              <w:bottom w:type="dxa" w:w="60"/>
              <w:right w:type="dxa" w:w="100"/>
            </w:tcMar>
          </w:tcPr>
          <w:p>
            <w:r>
              <w:rPr>
                <w:b w:val="false"/>
                <w:bCs w:val="false"/>
              </w:rPr>
              <w:t xml:space="preserve">If it doesn't start with the literal characters 'FT', it's treated as a MSG.ID and looked up in CIB.API.FT to resolve the real FT.ID — see §3.1</w:t>
            </w:r>
          </w:p>
        </w:tc>
      </w:tr>
      <w:tr>
        <w:tc>
          <w:tcPr>
            <w:tcW w:type="dxa" w:w="397"/>
            <w:tcMar>
              <w:top w:type="dxa" w:w="60"/>
              <w:left w:type="dxa" w:w="100"/>
              <w:bottom w:type="dxa" w:w="60"/>
              <w:right w:type="dxa" w:w="100"/>
            </w:tcMar>
          </w:tcPr>
          <w:p>
            <w:r>
              <w:rPr>
                <w:b w:val="false"/>
                <w:bCs w:val="false"/>
              </w:rPr>
              <w:t xml:space="preserve">3</w:t>
            </w:r>
          </w:p>
        </w:tc>
        <w:tc>
          <w:tcPr>
            <w:tcW w:type="dxa" w:w="2062"/>
            <w:tcMar>
              <w:top w:type="dxa" w:w="60"/>
              <w:left w:type="dxa" w:w="100"/>
              <w:bottom w:type="dxa" w:w="60"/>
              <w:right w:type="dxa" w:w="100"/>
            </w:tcMar>
          </w:tcPr>
          <w:p>
            <w:r>
              <w:rPr>
                <w:b w:val="false"/>
                <w:bCs w:val="false"/>
              </w:rPr>
              <w:t xml:space="preserve">GTS.CONTROL</w:t>
            </w:r>
          </w:p>
        </w:tc>
        <w:tc>
          <w:tcPr>
            <w:tcW w:type="dxa" w:w="1904"/>
            <w:tcMar>
              <w:top w:type="dxa" w:w="60"/>
              <w:left w:type="dxa" w:w="100"/>
              <w:bottom w:type="dxa" w:w="60"/>
              <w:right w:type="dxa" w:w="100"/>
            </w:tcMar>
          </w:tcPr>
          <w:p>
            <w:r>
              <w:rPr>
                <w:b w:val="false"/>
                <w:bCs w:val="false"/>
              </w:rPr>
              <w:t xml:space="preserve">B — header only</w:t>
            </w:r>
          </w:p>
        </w:tc>
        <w:tc>
          <w:tcPr>
            <w:tcW w:type="dxa" w:w="4997"/>
            <w:tcMar>
              <w:top w:type="dxa" w:w="60"/>
              <w:left w:type="dxa" w:w="100"/>
              <w:bottom w:type="dxa" w:w="60"/>
              <w:right w:type="dxa" w:w="100"/>
            </w:tcMar>
          </w:tcPr>
          <w:p>
            <w:r>
              <w:rPr>
                <w:b w:val="false"/>
                <w:bCs w:val="false"/>
              </w:rPr>
              <w:t xml:space="preserve">Defaults to '1' if blank; used in the OFS header segment</w:t>
            </w:r>
          </w:p>
        </w:tc>
      </w:tr>
      <w:tr>
        <w:tc>
          <w:tcPr>
            <w:tcW w:type="dxa" w:w="397"/>
            <w:tcMar>
              <w:top w:type="dxa" w:w="60"/>
              <w:left w:type="dxa" w:w="100"/>
              <w:bottom w:type="dxa" w:w="60"/>
              <w:right w:type="dxa" w:w="100"/>
            </w:tcMar>
          </w:tcPr>
          <w:p>
            <w:r>
              <w:rPr>
                <w:b w:val="false"/>
                <w:bCs w:val="false"/>
              </w:rPr>
              <w:t xml:space="preserve">4</w:t>
            </w:r>
          </w:p>
        </w:tc>
        <w:tc>
          <w:tcPr>
            <w:tcW w:type="dxa" w:w="2062"/>
            <w:tcMar>
              <w:top w:type="dxa" w:w="60"/>
              <w:left w:type="dxa" w:w="100"/>
              <w:bottom w:type="dxa" w:w="60"/>
              <w:right w:type="dxa" w:w="100"/>
            </w:tcMar>
          </w:tcPr>
          <w:p>
            <w:r>
              <w:rPr>
                <w:b w:val="false"/>
                <w:bCs w:val="false"/>
              </w:rPr>
              <w:t xml:space="preserve">AUTH.FLAG</w:t>
            </w:r>
          </w:p>
        </w:tc>
        <w:tc>
          <w:tcPr>
            <w:tcW w:type="dxa" w:w="1904"/>
            <w:tcMar>
              <w:top w:type="dxa" w:w="60"/>
              <w:left w:type="dxa" w:w="100"/>
              <w:bottom w:type="dxa" w:w="60"/>
              <w:right w:type="dxa" w:w="100"/>
            </w:tcMar>
          </w:tcPr>
          <w:p>
            <w:r>
              <w:rPr>
                <w:b w:val="false"/>
                <w:bCs w:val="false"/>
              </w:rPr>
              <w:t xml:space="preserve">B — header only</w:t>
            </w:r>
          </w:p>
        </w:tc>
        <w:tc>
          <w:tcPr>
            <w:tcW w:type="dxa" w:w="4997"/>
            <w:tcMar>
              <w:top w:type="dxa" w:w="60"/>
              <w:left w:type="dxa" w:w="100"/>
              <w:bottom w:type="dxa" w:w="60"/>
              <w:right w:type="dxa" w:w="100"/>
            </w:tcMar>
          </w:tcPr>
          <w:p>
            <w:r>
              <w:rPr>
                <w:b w:val="false"/>
                <w:bCs w:val="false"/>
              </w:rPr>
              <w:t xml:space="preserve">Defaults to '0' if blank; used in the OFS header segment</w:t>
            </w:r>
          </w:p>
        </w:tc>
      </w:tr>
      <w:tr>
        <w:tc>
          <w:tcPr>
            <w:tcW w:type="dxa" w:w="397"/>
            <w:tcMar>
              <w:top w:type="dxa" w:w="60"/>
              <w:left w:type="dxa" w:w="100"/>
              <w:bottom w:type="dxa" w:w="60"/>
              <w:right w:type="dxa" w:w="100"/>
            </w:tcMar>
          </w:tcPr>
          <w:p>
            <w:r>
              <w:rPr>
                <w:b w:val="false"/>
                <w:bCs w:val="false"/>
              </w:rPr>
              <w:t xml:space="preserve">5</w:t>
            </w:r>
          </w:p>
        </w:tc>
        <w:tc>
          <w:tcPr>
            <w:tcW w:type="dxa" w:w="2062"/>
            <w:tcMar>
              <w:top w:type="dxa" w:w="60"/>
              <w:left w:type="dxa" w:w="100"/>
              <w:bottom w:type="dxa" w:w="60"/>
              <w:right w:type="dxa" w:w="100"/>
            </w:tcMar>
          </w:tcPr>
          <w:p>
            <w:r>
              <w:rPr>
                <w:b w:val="false"/>
                <w:bCs w:val="false"/>
              </w:rPr>
              <w:t xml:space="preserve">FUNCTION.ID</w:t>
            </w:r>
          </w:p>
        </w:tc>
        <w:tc>
          <w:tcPr>
            <w:tcW w:type="dxa" w:w="1904"/>
            <w:tcMar>
              <w:top w:type="dxa" w:w="60"/>
              <w:left w:type="dxa" w:w="100"/>
              <w:bottom w:type="dxa" w:w="60"/>
              <w:right w:type="dxa" w:w="100"/>
            </w:tcMar>
          </w:tcPr>
          <w:p>
            <w:r>
              <w:rPr>
                <w:b w:val="false"/>
                <w:bCs w:val="false"/>
              </w:rPr>
              <w:t xml:space="preserve">B — header only, action-type</w:t>
            </w:r>
          </w:p>
        </w:tc>
        <w:tc>
          <w:tcPr>
            <w:tcW w:type="dxa" w:w="4997"/>
            <w:tcMar>
              <w:top w:type="dxa" w:w="60"/>
              <w:left w:type="dxa" w:w="100"/>
              <w:bottom w:type="dxa" w:w="60"/>
              <w:right w:type="dxa" w:w="100"/>
            </w:tcMar>
          </w:tcPr>
          <w:p>
            <w:r>
              <w:rPr>
                <w:b w:val="false"/>
                <w:bCs w:val="false"/>
              </w:rPr>
              <w:t xml:space="preserve">Mapped from words to single-letter T24 action codes: INPUT→I, DELETE→D, AUTH→A, REVERSE→R (any other value is simply truncated to its first character). Despite the routine's name, it is NOT hardcoded to 'Authorize' — the caller selects the 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4"/>
              <w:bottom w:val="single" w:color="C00000" w:sz="4"/>
              <w:right w:val="single" w:color="C00000" w:sz="4"/>
            </w:tcBorders>
            <w:shd w:fill="FDEAEA" w:val="clear"/>
            <w:tcMar>
              <w:top w:type="dxa" w:w="150"/>
              <w:left w:type="dxa" w:w="180"/>
              <w:bottom w:type="dxa" w:w="150"/>
              <w:right w:type="dxa" w:w="180"/>
            </w:tcMar>
          </w:tcPr>
          <w:p>
            <w:pPr>
              <w:spacing w:after="100"/>
            </w:pPr>
            <w:r>
              <w:rPr>
                <w:b/>
                <w:bCs/>
                <w:color w:val="C00000"/>
                <w:sz w:val="24"/>
                <w:szCs w:val="24"/>
              </w:rPr>
              <w:t xml:space="preserve">⚠ CRITICAL FINDING #1 — Likely Wrong Header Delimiter (Y.SPRT = '3' instead of '#')</w:t>
            </w:r>
          </w:p>
          <w:p>
            <w:pPr>
              <w:spacing w:after="80"/>
            </w:pPr>
            <w:r>
              <w:rPr>
                <w:color w:val="444444"/>
              </w:rPr>
              <w:t xml:space="preserve">The routine splits I.PARAM's first pipe-segment (HEADER.ID) into SRVC.ID, CHNL.CODE, MSG.ID, and TOKEN.ID using a variable Y.SPRT set to the literal character '3'. Every other CIB routine reviewed (Create, Amend, Simulate) splits this exact same header format using '#' as the delimiter — the standard convention throughout this codebase (SRVC.ID#CHNL.CODE#MSG.ID#TOKEN.ID).</w:t>
            </w:r>
          </w:p>
          <w:p>
            <w:pPr>
              <w:spacing w:after="80"/>
            </w:pPr>
            <w:r>
              <w:rPr>
                <w:color w:val="444444"/>
              </w:rPr>
              <w:t xml:space="preserve">If HEADER.ID genuinely contains no literal '3' character (the normal case), splitting on '3' finds no delimiter at all: SRVC.ID ends up holding the ENTIRE header string, and CHNL.CODE, MSG.ID, and TOKEN.ID all come out blank.</w:t>
            </w:r>
          </w:p>
          <w:p>
            <w:pPr>
              <w:spacing w:after="80"/>
            </w:pPr>
            <w:r>
              <w:rPr>
                <w:color w:val="444444"/>
              </w:rPr>
              <w:t xml:space="preserve">The practical damage is contained by one saving grace: HEADER.ID itself is echoed back unchanged in the response (O.MSG), so the response format isn't corrupted. But two pieces of logic inside this routine that specifically test CHNL.CODE — the CUSTODY-channel status-code handling (§3.3) and the 'channel = 1' NAU-inputter ownership check (§3.4 mentions it below) — would silently never fire, because CHNL.CODE would never equal 'CUSTODY' or '1' if it's actually blank.</w:t>
            </w:r>
          </w:p>
          <w:p>
            <w:pPr>
              <w:spacing w:after="80"/>
            </w:pPr>
            <w:r>
              <w:rPr>
                <w:color w:val="444444"/>
              </w:rPr>
              <w:t xml:space="preserve">This should be confirmed against the live system: either by checking whether CUSTODY-channel authorizations are currently getting 4-digit codes as intended (they may not be), or by checking whether Y.SPRT is in fact working correctly for a reason not visible in this excerpt (e.g. a possible dialect-specific meaning of '3' as a delimiter that isn't standard Pick/Universe BASIC).</w:t>
            </w:r>
          </w:p>
        </w:tc>
      </w:tr>
    </w:tbl>
    <w:p>
      <w:pPr>
        <w:pStyle w:val="Heading1"/>
        <w:pBdr>
          <w:bottom w:val="single" w:color="2E5395" w:sz="6" w:space="4"/>
        </w:pBdr>
        <w:spacing w:after="150" w:before="300"/>
      </w:pPr>
      <w:r>
        <w:t xml:space="preserve">3. Validations &amp; Business Rules</w:t>
      </w:r>
    </w:p>
    <w:p>
      <w:pPr>
        <w:pStyle w:val="Heading2"/>
        <w:spacing w:after="120" w:before="260"/>
      </w:pPr>
      <w:r>
        <w:t xml:space="preserve">3.1 FT.ID Resolution — Direct ID or Message-ID Lookup</w:t>
      </w:r>
    </w:p>
    <w:p>
      <w:pPr>
        <w:pStyle w:val="ListParagraph"/>
        <w:numPr>
          <w:ilvl w:val="0"/>
          <w:numId w:val="1"/>
        </w:numPr>
        <w:spacing w:after="60"/>
      </w:pPr>
      <w:r>
        <w:t xml:space="preserve">If the supplied FT.ID does not start with the literal characters 'FT', the routine treats it as a channel MSG.ID instead, and looks it up in the CIB.API.FT audit table (the same table Create Outward Transfer populates) to resolve the actual T24 FT record ID.</w:t>
      </w:r>
    </w:p>
    <w:p>
      <w:pPr>
        <w:spacing w:after="120"/>
      </w:pPr>
      <w:r>
        <w:rPr>
          <w:i/>
          <w:iCs/>
        </w:rPr>
        <w:t xml:space="preserve">This is the structural link between this service and Create Outward Transfer: a channel that only ever saw its own MSG.ID (never T24's internal FT ID) can still authorize the resulting transfer by quoting that same MSG.ID back. The TPH/IRIS Authorize endpoint needs to support this same dual-identifier lookup, not just a direct FT-ID path.</w:t>
      </w:r>
    </w:p>
    <w:p>
      <w:pPr>
        <w:pStyle w:val="Heading2"/>
        <w:spacing w:after="120" w:before="260"/>
      </w:pPr>
      <w:r>
        <w:t xml:space="preserve">3.2 FUNCTION.ID Is a General Action Selector, Not Just "Authorize"</w:t>
      </w:r>
    </w:p>
    <w:p>
      <w:pPr>
        <w:pStyle w:val="ListParagraph"/>
        <w:numPr>
          <w:ilvl w:val="0"/>
          <w:numId w:val="1"/>
        </w:numPr>
        <w:spacing w:after="60"/>
      </w:pPr>
      <w:r>
        <w:t xml:space="preserve">The word-to-code mapping (INPUT→I, DELETE→D, AUTH→A, REVERSE→R) means this routine is technically capable of performing Input, Delete, or Reverse actions on the target record via the exact same call shape — not only Authorize.</w:t>
      </w:r>
    </w:p>
    <w:p>
      <w:pPr>
        <w:spacing w:after="120"/>
      </w:pPr>
      <w:r>
        <w:rPr>
          <w:color w:val="C00000"/>
        </w:rPr>
        <w:t xml:space="preserve">Confirm with the team whether this service is exclusively invoked with AUTH in practice (matching its name and the SC02 'Authorise FT' service description), or whether other callers rely on its Delete/Reverse capability too — this materially affects whether the IRIS equivalent should be one generic 'FT action' endpoint or a narrower, purpose-built 'Authorize' endpoint.</w:t>
      </w:r>
    </w:p>
    <w:p>
      <w:pPr>
        <w:pStyle w:val="Heading2"/>
        <w:spacing w:after="120" w:before="260"/>
      </w:pPr>
      <w:r>
        <w:t xml:space="preserve">3.3 Status Code Scheme Breaks From the 4-Digit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rPr>
          <w:tblHeader/>
        </w:trPr>
        <w:tc>
          <w:tcPr>
            <w:tcW w:type="dxa" w:w="1685"/>
            <w:shd w:fill="2E5395" w:val="clear"/>
            <w:tcMar>
              <w:top w:type="dxa" w:w="80"/>
              <w:left w:type="dxa" w:w="100"/>
              <w:bottom w:type="dxa" w:w="80"/>
              <w:right w:type="dxa" w:w="100"/>
            </w:tcMar>
          </w:tcPr>
          <w:p>
            <w:r>
              <w:rPr>
                <w:b/>
                <w:bCs/>
                <w:color w:val="FFFFFF"/>
              </w:rPr>
              <w:t xml:space="preserve">Code</w:t>
            </w:r>
          </w:p>
        </w:tc>
        <w:tc>
          <w:tcPr>
            <w:tcW w:type="dxa" w:w="7675"/>
            <w:shd w:fill="2E5395" w:val="clear"/>
            <w:tcMar>
              <w:top w:type="dxa" w:w="80"/>
              <w:left w:type="dxa" w:w="100"/>
              <w:bottom w:type="dxa" w:w="80"/>
              <w:right w:type="dxa" w:w="100"/>
            </w:tcMar>
          </w:tcPr>
          <w:p>
            <w:r>
              <w:rPr>
                <w:b/>
                <w:bCs/>
                <w:color w:val="FFFFFF"/>
              </w:rPr>
              <w:t xml:space="preserve">Meaning</w:t>
            </w:r>
          </w:p>
        </w:tc>
      </w:tr>
      <w:tr>
        <w:tc>
          <w:tcPr>
            <w:tcW w:type="dxa" w:w="1685"/>
            <w:tcMar>
              <w:top w:type="dxa" w:w="60"/>
              <w:left w:type="dxa" w:w="100"/>
              <w:bottom w:type="dxa" w:w="60"/>
              <w:right w:type="dxa" w:w="100"/>
            </w:tcMar>
          </w:tcPr>
          <w:p>
            <w:r>
              <w:rPr>
                <w:b w:val="false"/>
                <w:bCs w:val="false"/>
              </w:rPr>
              <w:t xml:space="preserve">0000</w:t>
            </w:r>
          </w:p>
        </w:tc>
        <w:tc>
          <w:tcPr>
            <w:tcW w:type="dxa" w:w="7675"/>
            <w:tcMar>
              <w:top w:type="dxa" w:w="60"/>
              <w:left w:type="dxa" w:w="100"/>
              <w:bottom w:type="dxa" w:w="60"/>
              <w:right w:type="dxa" w:w="100"/>
            </w:tcMar>
          </w:tcPr>
          <w:p>
            <w:r>
              <w:rPr>
                <w:b w:val="false"/>
                <w:bCs w:val="false"/>
              </w:rPr>
              <w:t xml:space="preserve">Success — but ONLY for channel = CUSTODY. All other channels get '1' instead (see Critical Finding #3)</w:t>
            </w:r>
          </w:p>
        </w:tc>
      </w:tr>
      <w:tr>
        <w:tc>
          <w:tcPr>
            <w:tcW w:type="dxa" w:w="1685"/>
            <w:tcMar>
              <w:top w:type="dxa" w:w="60"/>
              <w:left w:type="dxa" w:w="100"/>
              <w:bottom w:type="dxa" w:w="60"/>
              <w:right w:type="dxa" w:w="100"/>
            </w:tcMar>
          </w:tcPr>
          <w:p>
            <w:r>
              <w:rPr>
                <w:b w:val="false"/>
                <w:bCs w:val="false"/>
              </w:rPr>
              <w:t xml:space="preserve">1</w:t>
            </w:r>
          </w:p>
        </w:tc>
        <w:tc>
          <w:tcPr>
            <w:tcW w:type="dxa" w:w="7675"/>
            <w:tcMar>
              <w:top w:type="dxa" w:w="60"/>
              <w:left w:type="dxa" w:w="100"/>
              <w:bottom w:type="dxa" w:w="60"/>
              <w:right w:type="dxa" w:w="100"/>
            </w:tcMar>
          </w:tcPr>
          <w:p>
            <w:r>
              <w:rPr>
                <w:b w:val="false"/>
                <w:bCs w:val="false"/>
              </w:rPr>
              <w:t xml:space="preserve">Success — for every channel EXCEPT CUSTODY. A single-digit code, not the 4-digit convention used by every other CIB service reviewed so far</w:t>
            </w:r>
          </w:p>
        </w:tc>
      </w:tr>
      <w:tr>
        <w:tc>
          <w:tcPr>
            <w:tcW w:type="dxa" w:w="1685"/>
            <w:tcMar>
              <w:top w:type="dxa" w:w="60"/>
              <w:left w:type="dxa" w:w="100"/>
              <w:bottom w:type="dxa" w:w="60"/>
              <w:right w:type="dxa" w:w="100"/>
            </w:tcMar>
          </w:tcPr>
          <w:p>
            <w:r>
              <w:rPr>
                <w:b w:val="false"/>
                <w:bCs w:val="false"/>
              </w:rPr>
              <w:t xml:space="preserve">-1</w:t>
            </w:r>
          </w:p>
        </w:tc>
        <w:tc>
          <w:tcPr>
            <w:tcW w:type="dxa" w:w="7675"/>
            <w:tcMar>
              <w:top w:type="dxa" w:w="60"/>
              <w:left w:type="dxa" w:w="100"/>
              <w:bottom w:type="dxa" w:w="60"/>
              <w:right w:type="dxa" w:w="100"/>
            </w:tcMar>
          </w:tcPr>
          <w:p>
            <w:r>
              <w:rPr>
                <w:b w:val="false"/>
                <w:bCs w:val="false"/>
              </w:rPr>
              <w:t xml:space="preserve">Generic failure — for every channel except CUSTODY (which gets 0008 as its failure default instead)</w:t>
            </w:r>
          </w:p>
        </w:tc>
      </w:tr>
      <w:tr>
        <w:tc>
          <w:tcPr>
            <w:tcW w:type="dxa" w:w="1685"/>
            <w:tcMar>
              <w:top w:type="dxa" w:w="60"/>
              <w:left w:type="dxa" w:w="100"/>
              <w:bottom w:type="dxa" w:w="60"/>
              <w:right w:type="dxa" w:w="100"/>
            </w:tcMar>
          </w:tcPr>
          <w:p>
            <w:r>
              <w:rPr>
                <w:b w:val="false"/>
                <w:bCs w:val="false"/>
              </w:rPr>
              <w:t xml:space="preserve">0008</w:t>
            </w:r>
          </w:p>
        </w:tc>
        <w:tc>
          <w:tcPr>
            <w:tcW w:type="dxa" w:w="7675"/>
            <w:tcMar>
              <w:top w:type="dxa" w:w="60"/>
              <w:left w:type="dxa" w:w="100"/>
              <w:bottom w:type="dxa" w:w="60"/>
              <w:right w:type="dxa" w:w="100"/>
            </w:tcMar>
          </w:tcPr>
          <w:p>
            <w:r>
              <w:rPr>
                <w:b w:val="false"/>
                <w:bCs w:val="false"/>
              </w:rPr>
              <w:t xml:space="preserve">Failure default specific to channel = CUSTODY — set before the OFS result is even checked, then left in place if the OFS call did not return success</w:t>
            </w:r>
          </w:p>
        </w:tc>
      </w:tr>
      <w:tr>
        <w:tc>
          <w:tcPr>
            <w:tcW w:type="dxa" w:w="1685"/>
            <w:tcMar>
              <w:top w:type="dxa" w:w="60"/>
              <w:left w:type="dxa" w:w="100"/>
              <w:bottom w:type="dxa" w:w="60"/>
              <w:right w:type="dxa" w:w="100"/>
            </w:tcMar>
          </w:tcPr>
          <w:p>
            <w:r>
              <w:rPr>
                <w:b w:val="false"/>
                <w:bCs w:val="false"/>
              </w:rPr>
              <w:t xml:space="preserve">0020</w:t>
            </w:r>
          </w:p>
        </w:tc>
        <w:tc>
          <w:tcPr>
            <w:tcW w:type="dxa" w:w="7675"/>
            <w:tcMar>
              <w:top w:type="dxa" w:w="60"/>
              <w:left w:type="dxa" w:w="100"/>
              <w:bottom w:type="dxa" w:w="60"/>
              <w:right w:type="dxa" w:w="100"/>
            </w:tcMar>
          </w:tcPr>
          <w:p>
            <w:r>
              <w:rPr>
                <w:b w:val="false"/>
                <w:bCs w:val="false"/>
              </w:rPr>
              <w:t xml:space="preserve">The target record's NAU inputter doesn't show 'OFS.SERVICE.ID' — an ownership/origin guard. Only evaluated when CHNL.CODE = '1', which — due to Critical Finding #1 — likely never actually happens in practice</w:t>
            </w:r>
          </w:p>
        </w:tc>
      </w:tr>
    </w:tbl>
    <w:p>
      <w:pPr>
        <w:spacing w:after="120"/>
      </w:pPr>
      <w:r>
        <w:rPr>
          <w:color w:val="C00000"/>
        </w:rPr>
        <w:t xml:space="preserve">Unlike Create Outward Transfer, Simulate Fees &amp; Calculate Commission, and Amend Outward Transfer — which all use a consistent 4-digit code convention (0000, 0006, 0011, 3003, 1001, 5000, 0020) — this routine's default success/failure codes for non-CUSTODY channels are the bare values '1' and '-1'. Only the CUSTODY channel gets a 4-digit code (0000 on success, 0008 as the failure default). Any unified error-code mapping table across all four services must treat this routine as a special case, not assume a shared code shape.</w:t>
      </w:r>
    </w:p>
    <w:p>
      <w:pPr>
        <w:pStyle w:val="Heading2"/>
        <w:spacing w:after="120" w:before="260"/>
      </w:pPr>
      <w:r>
        <w:t xml:space="preserve">3.4 NAU Inputter Ownership Check (Channel = '1' Only)</w:t>
      </w:r>
    </w:p>
    <w:p>
      <w:pPr>
        <w:pStyle w:val="ListParagraph"/>
        <w:numPr>
          <w:ilvl w:val="0"/>
          <w:numId w:val="1"/>
        </w:numPr>
        <w:spacing w:after="60"/>
      </w:pPr>
      <w:r>
        <w:t xml:space="preserve">If CHNL.CODE = '1', the target record's $NAU (pending) version is read, and its INPUTTER field is checked for the substring 'OFS.SERVICE.ID'. If not found, the call is rejected with status 0020.</w:t>
      </w:r>
    </w:p>
    <w:p>
      <w:pPr>
        <w:spacing w:after="120"/>
      </w:pPr>
      <w:r>
        <w:rPr>
          <w:i/>
          <w:iCs/>
        </w:rPr>
        <w:t xml:space="preserve">This looks like a guard against authorizing a record that wasn't originally entered through the API/OFS path (e.g. a record a human teller typed directly into the T24 UI). Its real-world effect depends on Critical Finding #1 above — if CHNL.CODE never actually equals '1' due to the delimiter bug, this guard may not be firing at all today.</w:t>
      </w:r>
    </w:p>
    <w:p>
      <w:pPr>
        <w:pStyle w:val="Heading2"/>
        <w:spacing w:after="120" w:before="260"/>
      </w:pPr>
      <w:r>
        <w:t xml:space="preserve">3.5 Version Name and Branch Are Derived From the Target Record, Not the Input</w:t>
      </w:r>
    </w:p>
    <w:p>
      <w:pPr>
        <w:pStyle w:val="ListParagraph"/>
        <w:numPr>
          <w:ilvl w:val="0"/>
          <w:numId w:val="1"/>
        </w:numPr>
        <w:spacing w:after="60"/>
      </w:pPr>
      <w:r>
        <w:t xml:space="preserve">Unlike the other three routines, this one does not take BRANCH.CODE or VERSION.NAME as explicit input fields at all.</w:t>
      </w:r>
    </w:p>
    <w:p>
      <w:pPr>
        <w:pStyle w:val="ListParagraph"/>
        <w:numPr>
          <w:ilvl w:val="0"/>
          <w:numId w:val="1"/>
        </w:numPr>
        <w:spacing w:after="60"/>
      </w:pPr>
      <w:r>
        <w:t xml:space="preserve">VERSION.NAME is read from the target FT record's own local-reference field on its $NAU version — whatever version it was created/amended under is reused for the authorize call; if that local field is blank, it falls back to the generic 'FUNDS.TRANSFER,OFS' version.</w:t>
      </w:r>
    </w:p>
    <w:p>
      <w:pPr>
        <w:pStyle w:val="ListParagraph"/>
        <w:numPr>
          <w:ilvl w:val="0"/>
          <w:numId w:val="1"/>
        </w:numPr>
        <w:spacing w:after="60"/>
      </w:pPr>
      <w:r>
        <w:t xml:space="preserve">BRANCH.CODE is read directly from the target record's own company code (FT.CO.CODE).</w:t>
      </w:r>
    </w:p>
    <w:p>
      <w:pPr>
        <w:spacing w:after="120"/>
      </w:pPr>
      <w:r>
        <w:rPr>
          <w:i/>
          <w:iCs/>
        </w:rPr>
        <w:t xml:space="preserve">This is a sensible design for an authorize step (the record already carries this context) but means the IRIS equivalent cannot simply reuse the Create/Amend request schema — this endpoint's real inputs are much narrower, and most of its context comes from server-side lookups against the existing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4"/>
              <w:bottom w:val="single" w:color="C00000" w:sz="4"/>
              <w:right w:val="single" w:color="C00000" w:sz="4"/>
            </w:tcBorders>
            <w:shd w:fill="FDEAEA" w:val="clear"/>
            <w:tcMar>
              <w:top w:type="dxa" w:w="150"/>
              <w:left w:type="dxa" w:w="180"/>
              <w:bottom w:type="dxa" w:w="150"/>
              <w:right w:type="dxa" w:w="180"/>
            </w:tcMar>
          </w:tcPr>
          <w:p>
            <w:pPr>
              <w:spacing w:after="100"/>
            </w:pPr>
            <w:r>
              <w:rPr>
                <w:b/>
                <w:bCs/>
                <w:color w:val="C00000"/>
                <w:sz w:val="24"/>
                <w:szCs w:val="24"/>
              </w:rPr>
              <w:t xml:space="preserve">⚠ CRITICAL FINDING #2 — Global Variables (MESSAGE, ID.NEW) Never Restored After OT22 Preview</w:t>
            </w:r>
          </w:p>
          <w:p>
            <w:pPr>
              <w:spacing w:after="80"/>
            </w:pPr>
            <w:r>
              <w:rPr>
                <w:color w:val="444444"/>
              </w:rPr>
              <w:t xml:space="preserve">UPDATE.DE.PREVIEW only runs after a successful authorization (VAL='1'), and only for records whose TRANSACTION.TYPE is exactly 'OT22'. For those, it reads the full record via F.MATREAD, then sets two T24 core global variables — MESSAGE = 'PREVIEW' and ID.NEW = FT.ID — before calling FT.DELIVERY to regenerate the transfer's delivery/advice preview.</w:t>
            </w:r>
          </w:p>
          <w:p>
            <w:pPr>
              <w:spacing w:after="80"/>
            </w:pPr>
            <w:r>
              <w:rPr>
                <w:color w:val="444444"/>
              </w:rPr>
              <w:t xml:space="preserve">The subroutine saves the ORIGINAL values of these two globals first (SAVE.MESSAGE, SAVE.ID.NEW) — but never restores them afterward. There is no 'MESSAGE = SAVE.MESSAGE' or 'ID.NEW = SAVE.ID.NEW' anywhere in this routine.</w:t>
            </w:r>
          </w:p>
          <w:p>
            <w:pPr>
              <w:spacing w:after="80"/>
            </w:pPr>
            <w:r>
              <w:rPr>
                <w:color w:val="444444"/>
              </w:rPr>
              <w:t xml:space="preserve">MESSAGE and ID.NEW are T24 core session/control-level variables used across many parts of the Multi-value application layer, not local to this routine. Leaving them permanently altered after this point could affect any subsequent processing that happens later in the same call chain or session — a session-level side effect that is easy to miss because it only manifests for OT22 transactions specifically, and only shows up as a symptom somewhere else, not in this routine's own output.</w:t>
            </w:r>
          </w:p>
          <w:p>
            <w:pPr>
              <w:spacing w:after="80"/>
            </w:pPr>
            <w:r>
              <w:rPr>
                <w:color w:val="444444"/>
              </w:rPr>
              <w:t xml:space="preserve">This should be confirmed with the T24 team: is this intentional (e.g. the call chain always ends immediately after this routine for OT22 authorizations, making the missing restore harmless in practice), or is it a genuine defect that should NOT be replicated in the TPH/IRIS design?</w:t>
            </w:r>
          </w:p>
        </w:tc>
      </w:tr>
    </w:tbl>
    <w:p>
      <w:pPr>
        <w:pStyle w:val="Heading1"/>
        <w:pBdr>
          <w:bottom w:val="single" w:color="2E5395" w:sz="6" w:space="4"/>
        </w:pBdr>
        <w:spacing w:after="150" w:before="300"/>
      </w:pPr>
      <w:r>
        <w:t xml:space="preserve">4. Response Contract</w:t>
      </w:r>
    </w:p>
    <w:p>
      <w:pPr>
        <w:spacing w:after="120"/>
      </w:pPr>
      <w:r>
        <w:t xml:space="preserve">Format: HEADER.ID|CUR.STATUS|FT.ID|OFSRECORD — only 4 segments, notably with no PAID.AMOUNT or OVERRIDE segment, unlike the other three routines reviewed.</w:t>
      </w:r>
    </w:p>
    <w:p>
      <w:pPr>
        <w:spacing w:after="120"/>
      </w:pPr>
      <w:r>
        <w:t xml:space="preserve">See §3.3 above for the full status code table — this routine's codes do not follow the 4-digit convention used elsewhere except for the CUSTODY-channel special case.</w:t>
      </w:r>
    </w:p>
    <w:p>
      <w:pPr>
        <w:pStyle w:val="Heading1"/>
        <w:pBdr>
          <w:bottom w:val="single" w:color="2E5395" w:sz="6" w:space="4"/>
        </w:pBdr>
        <w:spacing w:after="150" w:before="300"/>
      </w:pPr>
      <w:r>
        <w:t xml:space="preserve">5. Config Tables This Routine Depends On</w:t>
      </w:r>
    </w:p>
    <w:p>
      <w:pPr>
        <w:spacing w:after="120"/>
      </w:pPr>
      <w:r>
        <w:rPr>
          <w:i/>
          <w:iCs/>
        </w:rPr>
        <w:t xml:space="preserve">None. Like Amend Outward Transfer (Document 03), this routine reads no CIB-specific configuration tables — all behavior is hardcoded directly in the routine.</w:t>
      </w:r>
    </w:p>
    <w:p>
      <w:pPr>
        <w:pStyle w:val="Heading1"/>
        <w:pBdr>
          <w:bottom w:val="single" w:color="2E5395" w:sz="6" w:space="4"/>
        </w:pBdr>
        <w:spacing w:after="150" w:before="300"/>
      </w:pPr>
      <w:r>
        <w:t xml:space="preserve">6. Files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18"/>
        <w:gridCol w:w="1409"/>
        <w:gridCol w:w="5133"/>
      </w:tblGrid>
      <w:tr>
        <w:trPr>
          <w:tblHeader/>
        </w:trPr>
        <w:tc>
          <w:tcPr>
            <w:tcW w:type="dxa" w:w="2818"/>
            <w:shd w:fill="2E5395" w:val="clear"/>
            <w:tcMar>
              <w:top w:type="dxa" w:w="80"/>
              <w:left w:type="dxa" w:w="100"/>
              <w:bottom w:type="dxa" w:w="80"/>
              <w:right w:type="dxa" w:w="100"/>
            </w:tcMar>
          </w:tcPr>
          <w:p>
            <w:r>
              <w:rPr>
                <w:b/>
                <w:bCs/>
                <w:color w:val="FFFFFF"/>
              </w:rPr>
              <w:t xml:space="preserve">File / Table</w:t>
            </w:r>
          </w:p>
        </w:tc>
        <w:tc>
          <w:tcPr>
            <w:tcW w:type="dxa" w:w="1409"/>
            <w:shd w:fill="2E5395" w:val="clear"/>
            <w:tcMar>
              <w:top w:type="dxa" w:w="80"/>
              <w:left w:type="dxa" w:w="100"/>
              <w:bottom w:type="dxa" w:w="80"/>
              <w:right w:type="dxa" w:w="100"/>
            </w:tcMar>
          </w:tcPr>
          <w:p>
            <w:r>
              <w:rPr>
                <w:b/>
                <w:bCs/>
                <w:color w:val="FFFFFF"/>
              </w:rPr>
              <w:t xml:space="preserve">Access</w:t>
            </w:r>
          </w:p>
        </w:tc>
        <w:tc>
          <w:tcPr>
            <w:tcW w:type="dxa" w:w="5133"/>
            <w:shd w:fill="2E5395" w:val="clear"/>
            <w:tcMar>
              <w:top w:type="dxa" w:w="80"/>
              <w:left w:type="dxa" w:w="100"/>
              <w:bottom w:type="dxa" w:w="80"/>
              <w:right w:type="dxa" w:w="100"/>
            </w:tcMar>
          </w:tcPr>
          <w:p>
            <w:r>
              <w:rPr>
                <w:b/>
                <w:bCs/>
                <w:color w:val="FFFFFF"/>
              </w:rPr>
              <w:t xml:space="preserve">Purpose</w:t>
            </w:r>
          </w:p>
        </w:tc>
      </w:tr>
      <w:tr>
        <w:tc>
          <w:tcPr>
            <w:tcW w:type="dxa" w:w="2818"/>
            <w:tcMar>
              <w:top w:type="dxa" w:w="60"/>
              <w:left w:type="dxa" w:w="100"/>
              <w:bottom w:type="dxa" w:w="60"/>
              <w:right w:type="dxa" w:w="100"/>
            </w:tcMar>
          </w:tcPr>
          <w:p>
            <w:r>
              <w:rPr>
                <w:b w:val="false"/>
                <w:bCs w:val="false"/>
              </w:rPr>
              <w:t xml:space="preserve">FBNK.FUNDS.TRANSFER</w:t>
            </w:r>
          </w:p>
        </w:tc>
        <w:tc>
          <w:tcPr>
            <w:tcW w:type="dxa" w:w="1409"/>
            <w:tcMar>
              <w:top w:type="dxa" w:w="60"/>
              <w:left w:type="dxa" w:w="100"/>
              <w:bottom w:type="dxa" w:w="60"/>
              <w:right w:type="dxa" w:w="100"/>
            </w:tcMar>
          </w:tcPr>
          <w:p>
            <w:r>
              <w:rPr>
                <w:b w:val="false"/>
                <w:bCs w:val="false"/>
              </w:rPr>
              <w:t xml:space="preserve">Read</w:t>
            </w:r>
          </w:p>
        </w:tc>
        <w:tc>
          <w:tcPr>
            <w:tcW w:type="dxa" w:w="5133"/>
            <w:tcMar>
              <w:top w:type="dxa" w:w="60"/>
              <w:left w:type="dxa" w:w="100"/>
              <w:bottom w:type="dxa" w:w="60"/>
              <w:right w:type="dxa" w:w="100"/>
            </w:tcMar>
          </w:tcPr>
          <w:p>
            <w:r>
              <w:rPr>
                <w:b w:val="false"/>
                <w:bCs w:val="false"/>
              </w:rPr>
              <w:t xml:space="preserve">Only in UPDATE.DE.PREVIEW — reads the now-authorized live record to check its transaction type</w:t>
            </w:r>
          </w:p>
        </w:tc>
      </w:tr>
      <w:tr>
        <w:tc>
          <w:tcPr>
            <w:tcW w:type="dxa" w:w="2818"/>
            <w:tcMar>
              <w:top w:type="dxa" w:w="60"/>
              <w:left w:type="dxa" w:w="100"/>
              <w:bottom w:type="dxa" w:w="60"/>
              <w:right w:type="dxa" w:w="100"/>
            </w:tcMar>
          </w:tcPr>
          <w:p>
            <w:r>
              <w:rPr>
                <w:b w:val="false"/>
                <w:bCs w:val="false"/>
              </w:rPr>
              <w:t xml:space="preserve">FBNK.CIB.API.FT</w:t>
            </w:r>
          </w:p>
        </w:tc>
        <w:tc>
          <w:tcPr>
            <w:tcW w:type="dxa" w:w="1409"/>
            <w:tcMar>
              <w:top w:type="dxa" w:w="60"/>
              <w:left w:type="dxa" w:w="100"/>
              <w:bottom w:type="dxa" w:w="60"/>
              <w:right w:type="dxa" w:w="100"/>
            </w:tcMar>
          </w:tcPr>
          <w:p>
            <w:r>
              <w:rPr>
                <w:b w:val="false"/>
                <w:bCs w:val="false"/>
              </w:rPr>
              <w:t xml:space="preserve">Read</w:t>
            </w:r>
          </w:p>
        </w:tc>
        <w:tc>
          <w:tcPr>
            <w:tcW w:type="dxa" w:w="5133"/>
            <w:tcMar>
              <w:top w:type="dxa" w:w="60"/>
              <w:left w:type="dxa" w:w="100"/>
              <w:bottom w:type="dxa" w:w="60"/>
              <w:right w:type="dxa" w:w="100"/>
            </w:tcMar>
          </w:tcPr>
          <w:p>
            <w:r>
              <w:rPr>
                <w:b w:val="false"/>
                <w:bCs w:val="false"/>
              </w:rPr>
              <w:t xml:space="preserve">Resolves a supplied MSG.ID into the real FT.ID, when FT.ID doesn't start with 'FT' — the audit log populated by Create Outward Transfer (Document 01)</w:t>
            </w:r>
          </w:p>
        </w:tc>
      </w:tr>
      <w:tr>
        <w:tc>
          <w:tcPr>
            <w:tcW w:type="dxa" w:w="2818"/>
            <w:tcMar>
              <w:top w:type="dxa" w:w="60"/>
              <w:left w:type="dxa" w:w="100"/>
              <w:bottom w:type="dxa" w:w="60"/>
              <w:right w:type="dxa" w:w="100"/>
            </w:tcMar>
          </w:tcPr>
          <w:p>
            <w:r>
              <w:rPr>
                <w:b w:val="false"/>
                <w:bCs w:val="false"/>
              </w:rPr>
              <w:t xml:space="preserve">FBNK.FUNDS.TRANSFER$NAU</w:t>
            </w:r>
          </w:p>
        </w:tc>
        <w:tc>
          <w:tcPr>
            <w:tcW w:type="dxa" w:w="1409"/>
            <w:tcMar>
              <w:top w:type="dxa" w:w="60"/>
              <w:left w:type="dxa" w:w="100"/>
              <w:bottom w:type="dxa" w:w="60"/>
              <w:right w:type="dxa" w:w="100"/>
            </w:tcMar>
          </w:tcPr>
          <w:p>
            <w:r>
              <w:rPr>
                <w:b w:val="false"/>
                <w:bCs w:val="false"/>
              </w:rPr>
              <w:t xml:space="preserve">Read</w:t>
            </w:r>
          </w:p>
        </w:tc>
        <w:tc>
          <w:tcPr>
            <w:tcW w:type="dxa" w:w="5133"/>
            <w:tcMar>
              <w:top w:type="dxa" w:w="60"/>
              <w:left w:type="dxa" w:w="100"/>
              <w:bottom w:type="dxa" w:w="60"/>
              <w:right w:type="dxa" w:w="100"/>
            </w:tcMar>
          </w:tcPr>
          <w:p>
            <w:r>
              <w:rPr>
                <w:b w:val="false"/>
                <w:bCs w:val="false"/>
              </w:rPr>
              <w:t xml:space="preserve">Inputter/ownership check, VERSION.NAME lookup, and BRANCH.CODE (company code) lookup — all derived from the target record itself, not from the input</w:t>
            </w:r>
          </w:p>
        </w:tc>
      </w:tr>
    </w:tbl>
    <w:p>
      <w:pPr>
        <w:pStyle w:val="Heading1"/>
        <w:pBdr>
          <w:bottom w:val="single" w:color="2E5395" w:sz="6" w:space="4"/>
        </w:pBdr>
        <w:spacing w:after="150" w:before="300"/>
      </w:pPr>
      <w:r>
        <w:t xml:space="preserve">7. External Routines Called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tblHeader/>
        </w:trPr>
        <w:tc>
          <w:tcPr>
            <w:tcW w:type="dxa" w:w="3182"/>
            <w:shd w:fill="2E5395" w:val="clear"/>
            <w:tcMar>
              <w:top w:type="dxa" w:w="80"/>
              <w:left w:type="dxa" w:w="100"/>
              <w:bottom w:type="dxa" w:w="80"/>
              <w:right w:type="dxa" w:w="100"/>
            </w:tcMar>
          </w:tcPr>
          <w:p>
            <w:r>
              <w:rPr>
                <w:b/>
                <w:bCs/>
                <w:color w:val="FFFFFF"/>
              </w:rPr>
              <w:t xml:space="preserve">Routine</w:t>
            </w:r>
          </w:p>
        </w:tc>
        <w:tc>
          <w:tcPr>
            <w:tcW w:type="dxa" w:w="6178"/>
            <w:shd w:fill="2E5395" w:val="clear"/>
            <w:tcMar>
              <w:top w:type="dxa" w:w="80"/>
              <w:left w:type="dxa" w:w="100"/>
              <w:bottom w:type="dxa" w:w="80"/>
              <w:right w:type="dxa" w:w="100"/>
            </w:tcMar>
          </w:tcPr>
          <w:p>
            <w:r>
              <w:rPr>
                <w:b/>
                <w:bCs/>
                <w:color w:val="FFFFFF"/>
              </w:rPr>
              <w:t xml:space="preserve">Purpose</w:t>
            </w:r>
          </w:p>
        </w:tc>
      </w:tr>
      <w:tr>
        <w:tc>
          <w:tcPr>
            <w:tcW w:type="dxa" w:w="3182"/>
            <w:tcMar>
              <w:top w:type="dxa" w:w="60"/>
              <w:left w:type="dxa" w:w="100"/>
              <w:bottom w:type="dxa" w:w="60"/>
              <w:right w:type="dxa" w:w="100"/>
            </w:tcMar>
          </w:tcPr>
          <w:p>
            <w:r>
              <w:rPr>
                <w:b w:val="false"/>
                <w:bCs w:val="false"/>
              </w:rPr>
              <w:t xml:space="preserve">MULTI.GET.LOC.REF</w:t>
            </w:r>
          </w:p>
        </w:tc>
        <w:tc>
          <w:tcPr>
            <w:tcW w:type="dxa" w:w="6178"/>
            <w:tcMar>
              <w:top w:type="dxa" w:w="60"/>
              <w:left w:type="dxa" w:w="100"/>
              <w:bottom w:type="dxa" w:w="60"/>
              <w:right w:type="dxa" w:w="100"/>
            </w:tcMar>
          </w:tcPr>
          <w:p>
            <w:r>
              <w:rPr>
                <w:b w:val="false"/>
                <w:bCs w:val="false"/>
              </w:rPr>
              <w:t xml:space="preserve">T24 standard — resolves the local-reference field position for VERSION.NAME on FUNDS.TRANSFER</w:t>
            </w:r>
          </w:p>
        </w:tc>
      </w:tr>
      <w:tr>
        <w:tc>
          <w:tcPr>
            <w:tcW w:type="dxa" w:w="3182"/>
            <w:tcMar>
              <w:top w:type="dxa" w:w="60"/>
              <w:left w:type="dxa" w:w="100"/>
              <w:bottom w:type="dxa" w:w="60"/>
              <w:right w:type="dxa" w:w="100"/>
            </w:tcMar>
          </w:tcPr>
          <w:p>
            <w:r>
              <w:rPr>
                <w:b w:val="false"/>
                <w:bCs w:val="false"/>
              </w:rPr>
              <w:t xml:space="preserve">OFS.INITIALISE.SOURCE / OFS.BULK.MANAGER</w:t>
            </w:r>
          </w:p>
        </w:tc>
        <w:tc>
          <w:tcPr>
            <w:tcW w:type="dxa" w:w="6178"/>
            <w:tcMar>
              <w:top w:type="dxa" w:w="60"/>
              <w:left w:type="dxa" w:w="100"/>
              <w:bottom w:type="dxa" w:w="60"/>
              <w:right w:type="dxa" w:w="100"/>
            </w:tcMar>
          </w:tcPr>
          <w:p>
            <w:r>
              <w:rPr>
                <w:b w:val="false"/>
                <w:bCs w:val="false"/>
              </w:rPr>
              <w:t xml:space="preserve">T24 standard OFS posting mechanism — same pattern as the other three routines</w:t>
            </w:r>
          </w:p>
        </w:tc>
      </w:tr>
      <w:tr>
        <w:tc>
          <w:tcPr>
            <w:tcW w:type="dxa" w:w="3182"/>
            <w:tcMar>
              <w:top w:type="dxa" w:w="60"/>
              <w:left w:type="dxa" w:w="100"/>
              <w:bottom w:type="dxa" w:w="60"/>
              <w:right w:type="dxa" w:w="100"/>
            </w:tcMar>
          </w:tcPr>
          <w:p>
            <w:r>
              <w:rPr>
                <w:b w:val="false"/>
                <w:bCs w:val="false"/>
              </w:rPr>
              <w:t xml:space="preserve">F.MATREAD</w:t>
            </w:r>
          </w:p>
        </w:tc>
        <w:tc>
          <w:tcPr>
            <w:tcW w:type="dxa" w:w="6178"/>
            <w:tcMar>
              <w:top w:type="dxa" w:w="60"/>
              <w:left w:type="dxa" w:w="100"/>
              <w:bottom w:type="dxa" w:w="60"/>
              <w:right w:type="dxa" w:w="100"/>
            </w:tcMar>
          </w:tcPr>
          <w:p>
            <w:r>
              <w:rPr>
                <w:b w:val="false"/>
                <w:bCs w:val="false"/>
              </w:rPr>
              <w:t xml:space="preserve">T24 standard — reads the full multi-value record plus its audit-date-time array, used only for the OT22 preview step</w:t>
            </w:r>
          </w:p>
        </w:tc>
      </w:tr>
      <w:tr>
        <w:tc>
          <w:tcPr>
            <w:tcW w:type="dxa" w:w="3182"/>
            <w:tcMar>
              <w:top w:type="dxa" w:w="60"/>
              <w:left w:type="dxa" w:w="100"/>
              <w:bottom w:type="dxa" w:w="60"/>
              <w:right w:type="dxa" w:w="100"/>
            </w:tcMar>
          </w:tcPr>
          <w:p>
            <w:r>
              <w:rPr>
                <w:b w:val="false"/>
                <w:bCs w:val="false"/>
              </w:rPr>
              <w:t xml:space="preserve">FT.DELIVERY</w:t>
            </w:r>
          </w:p>
        </w:tc>
        <w:tc>
          <w:tcPr>
            <w:tcW w:type="dxa" w:w="6178"/>
            <w:tcMar>
              <w:top w:type="dxa" w:w="60"/>
              <w:left w:type="dxa" w:w="100"/>
              <w:bottom w:type="dxa" w:w="60"/>
              <w:right w:type="dxa" w:w="100"/>
            </w:tcMar>
          </w:tcPr>
          <w:p>
            <w:r>
              <w:rPr>
                <w:b w:val="false"/>
                <w:bCs w:val="false"/>
              </w:rPr>
              <w:t xml:space="preserve">T24 core — generates delivery/advice documentation; invoked here in 'PREVIEW' mode immediately after a successful OT22 authorization</w:t>
            </w:r>
          </w:p>
        </w:tc>
      </w:tr>
    </w:tbl>
    <w:p>
      <w:pPr>
        <w:pStyle w:val="Heading1"/>
        <w:pBdr>
          <w:bottom w:val="single" w:color="2E5395" w:sz="6" w:space="4"/>
        </w:pBdr>
        <w:spacing w:after="150" w:before="300"/>
      </w:pPr>
      <w:r>
        <w:t xml:space="preserve">8. Recommended TPH/IRIS Migration Checklist for This Service</w:t>
      </w:r>
    </w:p>
    <w:p>
      <w:pPr>
        <w:spacing w:after="80"/>
      </w:pPr>
      <w:r>
        <w:t xml:space="preserve">☐  Confirm with the live T24 team whether Critical Finding #1 (delimiter bug) is real — check whether CUSTODY-channel authorizations currently return 4-digit codes as the code intends, and whether the '1'-channel inputter check ever actually fires.</w:t>
      </w:r>
    </w:p>
    <w:p>
      <w:pPr>
        <w:spacing w:after="80"/>
      </w:pPr>
      <w:r>
        <w:t xml:space="preserve">☐  Confirm with the T24 team whether Critical Finding #2 (unrestored MESSAGE/ID.NEW globals) has any observed downstream impact, before deciding whether to replicate or fix it in the new design.</w:t>
      </w:r>
    </w:p>
    <w:p>
      <w:pPr>
        <w:spacing w:after="80"/>
      </w:pPr>
      <w:r>
        <w:t xml:space="preserve">☐  Design the IRIS Authorize endpoint to accept EITHER a T24 FT ID or the original channel MSG.ID, replicating the §3.1 dual-identifier resolution against the equivalent of the CIB.API.FT audit log.</w:t>
      </w:r>
    </w:p>
    <w:p>
      <w:pPr>
        <w:spacing w:after="80"/>
      </w:pPr>
      <w:r>
        <w:t xml:space="preserve">☐  Decide whether the IRIS endpoint should also expose Input/Delete/Reverse actions (§3.2) or be scoped narrowly to Authorize only, based on how FUNCTION.ID is actually used by callers today.</w:t>
      </w:r>
    </w:p>
    <w:p>
      <w:pPr>
        <w:spacing w:after="80"/>
      </w:pPr>
      <w:r>
        <w:t xml:space="preserve">☐  Build a status-code translation specific to this service — it cannot share a single mapping table with the other three services, since its code shape (bare '1'/'-1') differs even before considering specific values.</w:t>
      </w:r>
    </w:p>
    <w:p>
      <w:pPr>
        <w:spacing w:after="80"/>
      </w:pPr>
      <w:r>
        <w:t xml:space="preserve">☐  Reproduce the CUSTODY-channel special-casing (§3.3) explicitly and deliberately, once Finding #1 is resolved and it's clear whether this logic currently runs at all.</w:t>
      </w:r>
    </w:p>
    <w:p>
      <w:pPr>
        <w:spacing w:after="80"/>
      </w:pPr>
      <w:r>
        <w:t xml:space="preserve">☐  Reproduce the version-name and branch-code derivation from the target record itself (§3.5) rather than from request input — this endpoint's context comes from the server side, not the caller.</w:t>
      </w:r>
    </w:p>
    <w:p>
      <w:pPr>
        <w:spacing w:after="80"/>
      </w:pPr>
      <w:r>
        <w:t xml:space="preserve">☐  Reproduce the OT22-specific delivery preview regeneration (§ Finding #2's context) if still required, ideally without the unrestored-globals side effect.</w:t>
      </w:r>
    </w:p>
    <w:p>
      <w:pPr>
        <w:spacing w:after="80"/>
      </w:pPr>
      <w:r>
        <w:t xml:space="preserve">☐  Obtain a real sample request/response for this service (none was available for this review) to validate all of the above the way Documents 01–03 were validated against live samples.</w:t>
      </w:r>
    </w:p>
    <w:p>
      <w:pPr>
        <w:pStyle w:val="Heading1"/>
        <w:pBdr>
          <w:bottom w:val="single" w:color="2E5395" w:sz="6" w:space="4"/>
        </w:pBdr>
        <w:spacing w:after="150" w:before="300"/>
      </w:pPr>
      <w:r>
        <w:t xml:space="preserve">9. Open Questions / Assumptions for the Team</w:t>
      </w:r>
    </w:p>
    <w:p>
      <w:pPr>
        <w:pStyle w:val="ListParagraph"/>
        <w:numPr>
          <w:ilvl w:val="0"/>
          <w:numId w:val="1"/>
        </w:numPr>
        <w:spacing w:after="60"/>
      </w:pPr>
      <w:r>
        <w:t xml:space="preserve">Is the Y.SPRT='3' delimiter actually a bug, or is there a dialect-specific reason '3' behaves as a valid header-splitting delimiter in this environment that isn't visible from the code alone?</w:t>
      </w:r>
    </w:p>
    <w:p>
      <w:pPr>
        <w:pStyle w:val="ListParagraph"/>
        <w:numPr>
          <w:ilvl w:val="0"/>
          <w:numId w:val="1"/>
        </w:numPr>
        <w:spacing w:after="60"/>
      </w:pPr>
      <w:r>
        <w:t xml:space="preserve">Are there currently any CUSTODY-channel calls to this service in production, and if so, do they observe 4-digit status codes (0000/0008) as the code intends?</w:t>
      </w:r>
    </w:p>
    <w:p>
      <w:pPr>
        <w:pStyle w:val="ListParagraph"/>
        <w:numPr>
          <w:ilvl w:val="0"/>
          <w:numId w:val="1"/>
        </w:numPr>
        <w:spacing w:after="60"/>
      </w:pPr>
      <w:r>
        <w:t xml:space="preserve">Is this routine ever invoked with FUNCTION.ID = DELETE or REVERSE in practice, or is AUTH the only action ever used?</w:t>
      </w:r>
    </w:p>
    <w:p>
      <w:pPr>
        <w:pStyle w:val="ListParagraph"/>
        <w:numPr>
          <w:ilvl w:val="0"/>
          <w:numId w:val="1"/>
        </w:numPr>
        <w:spacing w:after="60"/>
      </w:pPr>
      <w:r>
        <w:t xml:space="preserve">What does transaction type OT22 represent, and is the immediate delivery-preview regeneration after its authorization still a required behavior?</w:t>
      </w:r>
    </w:p>
    <w:p>
      <w:pPr>
        <w:pStyle w:val="ListParagraph"/>
        <w:numPr>
          <w:ilvl w:val="0"/>
          <w:numId w:val="1"/>
        </w:numPr>
        <w:spacing w:after="60"/>
      </w:pPr>
      <w:r>
        <w:t xml:space="preserve">Has the missing MESSAGE/ID.NEW restoration (Finding #2) ever caused an observed issue elsewhere in the same call chain, e.g. incorrect delivery/advice output on an unrelated subsequent transaction in the same session?</w:t>
      </w:r>
    </w:p>
    <w:p>
      <w:pPr>
        <w:pStyle w:val="ListParagraph"/>
        <w:numPr>
          <w:ilvl w:val="0"/>
          <w:numId w:val="1"/>
        </w:numPr>
        <w:spacing w:after="60"/>
      </w:pPr>
      <w:r>
        <w:t xml:space="preserve">Is the distinction between 'OFS.SERVICE' (used by Create/Amend/Simulate) and 'OFS.SERVICE2' (used only by this Authorize routine) meaningful in T24's own company/service configuration, and does it need a corresponding distinction in the TPH/IRIS design?</w:t>
      </w:r>
    </w:p>
    <w:p>
      <w:pPr>
        <w:pStyle w:val="Heading1"/>
        <w:pBdr>
          <w:bottom w:val="single" w:color="2E5395" w:sz="6" w:space="4"/>
        </w:pBdr>
        <w:spacing w:after="150" w:before="300"/>
      </w:pPr>
      <w:r>
        <w:t xml:space="preserve">10. Review &amp;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8"/>
        <w:gridCol w:w="2123"/>
        <w:gridCol w:w="1737"/>
        <w:gridCol w:w="2412"/>
      </w:tblGrid>
      <w:tr>
        <w:trPr>
          <w:tblHeader/>
        </w:trPr>
        <w:tc>
          <w:tcPr>
            <w:tcW w:type="dxa" w:w="3088"/>
            <w:shd w:fill="2E5395" w:val="clear"/>
            <w:tcMar>
              <w:top w:type="dxa" w:w="80"/>
              <w:left w:type="dxa" w:w="100"/>
              <w:bottom w:type="dxa" w:w="80"/>
              <w:right w:type="dxa" w:w="100"/>
            </w:tcMar>
          </w:tcPr>
          <w:p>
            <w:r>
              <w:rPr>
                <w:b/>
                <w:bCs/>
                <w:color w:val="FFFFFF"/>
              </w:rPr>
              <w:t xml:space="preserve">Role</w:t>
            </w:r>
          </w:p>
        </w:tc>
        <w:tc>
          <w:tcPr>
            <w:tcW w:type="dxa" w:w="2123"/>
            <w:shd w:fill="2E5395" w:val="clear"/>
            <w:tcMar>
              <w:top w:type="dxa" w:w="80"/>
              <w:left w:type="dxa" w:w="100"/>
              <w:bottom w:type="dxa" w:w="80"/>
              <w:right w:type="dxa" w:w="100"/>
            </w:tcMar>
          </w:tcPr>
          <w:p>
            <w:r>
              <w:rPr>
                <w:b/>
                <w:bCs/>
                <w:color w:val="FFFFFF"/>
              </w:rPr>
              <w:t xml:space="preserve">Name</w:t>
            </w:r>
          </w:p>
        </w:tc>
        <w:tc>
          <w:tcPr>
            <w:tcW w:type="dxa" w:w="1737"/>
            <w:shd w:fill="2E5395" w:val="clear"/>
            <w:tcMar>
              <w:top w:type="dxa" w:w="80"/>
              <w:left w:type="dxa" w:w="100"/>
              <w:bottom w:type="dxa" w:w="80"/>
              <w:right w:type="dxa" w:w="100"/>
            </w:tcMar>
          </w:tcPr>
          <w:p>
            <w:r>
              <w:rPr>
                <w:b/>
                <w:bCs/>
                <w:color w:val="FFFFFF"/>
              </w:rPr>
              <w:t xml:space="preserve">Date</w:t>
            </w:r>
          </w:p>
        </w:tc>
        <w:tc>
          <w:tcPr>
            <w:tcW w:type="dxa" w:w="2412"/>
            <w:shd w:fill="2E5395" w:val="clear"/>
            <w:tcMar>
              <w:top w:type="dxa" w:w="80"/>
              <w:left w:type="dxa" w:w="100"/>
              <w:bottom w:type="dxa" w:w="80"/>
              <w:right w:type="dxa" w:w="100"/>
            </w:tcMar>
          </w:tcPr>
          <w:p>
            <w:r>
              <w:rPr>
                <w:b/>
                <w:bCs/>
                <w:color w:val="FFFFFF"/>
              </w:rPr>
              <w:t xml:space="preserve">Comments</w:t>
            </w:r>
          </w:p>
        </w:tc>
      </w:tr>
      <w:tr>
        <w:tc>
          <w:tcPr>
            <w:tcW w:type="dxa" w:w="3088"/>
            <w:tcMar>
              <w:top w:type="dxa" w:w="60"/>
              <w:left w:type="dxa" w:w="100"/>
              <w:bottom w:type="dxa" w:w="60"/>
              <w:right w:type="dxa" w:w="100"/>
            </w:tcMar>
          </w:tcPr>
          <w:p>
            <w:r>
              <w:rPr>
                <w:b w:val="false"/>
                <w:bCs w:val="false"/>
              </w:rPr>
              <w:t xml:space="preserve">Prepared by</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T24 Technical Reviewer (must confirm Findings #1 and #2)</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TPH/IRIS Solution Architect</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Business/Product Owner (Payments)</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Compliance/Controls (for §3.4 ownership-check behavior)</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888888"/>
        <w:sz w:val="16"/>
        <w:szCs w:val="16"/>
      </w:rPr>
      <w:t xml:space="preserve">Service Analysis — Authorise FT (SC02)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2026-09-01T07:07:36.080Z</dcterms:created>
  <dcterms:modified xsi:type="dcterms:W3CDTF">2026-09-01T07:07:36.092Z</dcterms:modified>
</cp:coreProperties>
</file>

<file path=docProps/custom.xml><?xml version="1.0" encoding="utf-8"?>
<Properties xmlns="http://schemas.openxmlformats.org/officeDocument/2006/custom-properties" xmlns:vt="http://schemas.openxmlformats.org/officeDocument/2006/docPropsVTypes"/>
</file>