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before="400" w:after="120"/>
      </w:pPr>
      <w:r>
        <w:rPr>
          <w:rFonts w:ascii="Calibri" w:hAnsi="Calibri"/>
          <w:b/>
          <w:i w:val="0"/>
          <w:color w:val="1A365D"/>
          <w:sz w:val="64"/>
        </w:rPr>
        <w:t>Bank_Guide_AI</w:t>
      </w:r>
    </w:p>
    <w:p>
      <w:pPr>
        <w:spacing w:before="0" w:after="320"/>
      </w:pPr>
      <w:r>
        <w:rPr>
          <w:rFonts w:ascii="Calibri" w:hAnsi="Calibri"/>
          <w:b w:val="0"/>
          <w:i w:val="0"/>
          <w:color w:val="2B6CB0"/>
          <w:sz w:val="30"/>
        </w:rPr>
        <w:t>Bilingual Banking SOP Knowledge Assistant — Technical Architecture &amp; System Documentation</w:t>
      </w:r>
    </w:p>
    <w:p>
      <w:pPr>
        <w:spacing w:before="240" w:after="480"/>
      </w:pPr>
      <w:r>
        <w:rPr>
          <w:rFonts w:ascii="Calibri" w:hAnsi="Calibri"/>
          <w:b w:val="0"/>
          <w:i/>
          <w:color w:val="718096"/>
          <w:sz w:val="22"/>
        </w:rPr>
        <w:t>Enterprise-Grade GPU-Accelerated Retrieval-Augmented Generation (RAG) System</w:t>
        <w:br/>
        <w:t>Tailored for Standard Operating Procedures, Regulatory Policies, and Internal Banking Manuals</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4680"/>
        <w:gridCol w:w="4680"/>
      </w:tblGrid>
      <w:tr>
        <w:tc>
          <w:tcPr>
            <w:tcW w:type="dxa" w:w="3168"/>
            <w:shd w:fill="F0F4F8"/>
            <w:tcMar>
              <w:top w:w="80" w:type="dxa"/>
              <w:bottom w:w="80" w:type="dxa"/>
              <w:left w:w="120" w:type="dxa"/>
              <w:right w:w="120" w:type="dxa"/>
            </w:tcMar>
          </w:tcPr>
          <w:p>
            <w:pPr>
              <w:spacing w:after="0"/>
            </w:pPr>
            <w:r>
              <w:rPr>
                <w:rFonts w:ascii="Calibri" w:hAnsi="Calibri"/>
                <w:b/>
                <w:i w:val="0"/>
                <w:color w:val="1A365D"/>
                <w:sz w:val="20"/>
              </w:rPr>
              <w:t>Project Name</w:t>
            </w:r>
          </w:p>
        </w:tc>
        <w:tc>
          <w:tcPr>
            <w:tcW w:type="dxa" w:w="6192"/>
            <w:shd w:fill="FFFFFF"/>
            <w:tcMar>
              <w:top w:w="80" w:type="dxa"/>
              <w:bottom w:w="80" w:type="dxa"/>
              <w:left w:w="120" w:type="dxa"/>
              <w:right w:w="120" w:type="dxa"/>
            </w:tcMar>
          </w:tcPr>
          <w:p>
            <w:pPr>
              <w:spacing w:after="0"/>
            </w:pPr>
            <w:r>
              <w:rPr>
                <w:rFonts w:ascii="Calibri" w:hAnsi="Calibri"/>
                <w:b w:val="0"/>
                <w:i w:val="0"/>
                <w:color w:val="2D3748"/>
                <w:sz w:val="20"/>
              </w:rPr>
              <w:t>Bank Guide AI (Bank_Guide_AI)</w:t>
            </w:r>
          </w:p>
        </w:tc>
      </w:tr>
      <w:tr>
        <w:tc>
          <w:tcPr>
            <w:tcW w:type="dxa" w:w="3168"/>
            <w:shd w:fill="F0F4F8"/>
            <w:tcMar>
              <w:top w:w="80" w:type="dxa"/>
              <w:bottom w:w="80" w:type="dxa"/>
              <w:left w:w="120" w:type="dxa"/>
              <w:right w:w="120" w:type="dxa"/>
            </w:tcMar>
          </w:tcPr>
          <w:p>
            <w:pPr>
              <w:spacing w:after="0"/>
            </w:pPr>
            <w:r>
              <w:rPr>
                <w:rFonts w:ascii="Calibri" w:hAnsi="Calibri"/>
                <w:b/>
                <w:i w:val="0"/>
                <w:color w:val="1A365D"/>
                <w:sz w:val="20"/>
              </w:rPr>
              <w:t>Architecture</w:t>
            </w:r>
          </w:p>
        </w:tc>
        <w:tc>
          <w:tcPr>
            <w:tcW w:type="dxa" w:w="6192"/>
            <w:shd w:fill="FFFFFF"/>
            <w:tcMar>
              <w:top w:w="80" w:type="dxa"/>
              <w:bottom w:w="80" w:type="dxa"/>
              <w:left w:w="120" w:type="dxa"/>
              <w:right w:w="120" w:type="dxa"/>
            </w:tcMar>
          </w:tcPr>
          <w:p>
            <w:pPr>
              <w:spacing w:after="0"/>
            </w:pPr>
            <w:r>
              <w:rPr>
                <w:rFonts w:ascii="Calibri" w:hAnsi="Calibri"/>
                <w:b w:val="0"/>
                <w:i w:val="0"/>
                <w:color w:val="2D3748"/>
                <w:sz w:val="20"/>
              </w:rPr>
              <w:t>GPU-Accelerated Multilingual RAG (LangChain + ChromaDB + Groq)</w:t>
            </w:r>
          </w:p>
        </w:tc>
      </w:tr>
      <w:tr>
        <w:tc>
          <w:tcPr>
            <w:tcW w:type="dxa" w:w="3168"/>
            <w:shd w:fill="F0F4F8"/>
            <w:tcMar>
              <w:top w:w="80" w:type="dxa"/>
              <w:bottom w:w="80" w:type="dxa"/>
              <w:left w:w="120" w:type="dxa"/>
              <w:right w:w="120" w:type="dxa"/>
            </w:tcMar>
          </w:tcPr>
          <w:p>
            <w:pPr>
              <w:spacing w:after="0"/>
            </w:pPr>
            <w:r>
              <w:rPr>
                <w:rFonts w:ascii="Calibri" w:hAnsi="Calibri"/>
                <w:b/>
                <w:i w:val="0"/>
                <w:color w:val="1A365D"/>
                <w:sz w:val="20"/>
              </w:rPr>
              <w:t>Embedding Model</w:t>
            </w:r>
          </w:p>
        </w:tc>
        <w:tc>
          <w:tcPr>
            <w:tcW w:type="dxa" w:w="6192"/>
            <w:shd w:fill="FFFFFF"/>
            <w:tcMar>
              <w:top w:w="80" w:type="dxa"/>
              <w:bottom w:w="80" w:type="dxa"/>
              <w:left w:w="120" w:type="dxa"/>
              <w:right w:w="120" w:type="dxa"/>
            </w:tcMar>
          </w:tcPr>
          <w:p>
            <w:pPr>
              <w:spacing w:after="0"/>
            </w:pPr>
            <w:r>
              <w:rPr>
                <w:rFonts w:ascii="Calibri" w:hAnsi="Calibri"/>
                <w:b w:val="0"/>
                <w:i w:val="0"/>
                <w:color w:val="2D3748"/>
                <w:sz w:val="20"/>
              </w:rPr>
              <w:t>BAAI/bge-m3 (1024-dim, CUDA Accelerated, Batch Optimized)</w:t>
            </w:r>
          </w:p>
        </w:tc>
      </w:tr>
      <w:tr>
        <w:tc>
          <w:tcPr>
            <w:tcW w:type="dxa" w:w="3168"/>
            <w:shd w:fill="F0F4F8"/>
            <w:tcMar>
              <w:top w:w="80" w:type="dxa"/>
              <w:bottom w:w="80" w:type="dxa"/>
              <w:left w:w="120" w:type="dxa"/>
              <w:right w:w="120" w:type="dxa"/>
            </w:tcMar>
          </w:tcPr>
          <w:p>
            <w:pPr>
              <w:spacing w:after="0"/>
            </w:pPr>
            <w:r>
              <w:rPr>
                <w:rFonts w:ascii="Calibri" w:hAnsi="Calibri"/>
                <w:b/>
                <w:i w:val="0"/>
                <w:color w:val="1A365D"/>
                <w:sz w:val="20"/>
              </w:rPr>
              <w:t>Supported Languages</w:t>
            </w:r>
          </w:p>
        </w:tc>
        <w:tc>
          <w:tcPr>
            <w:tcW w:type="dxa" w:w="6192"/>
            <w:shd w:fill="FFFFFF"/>
            <w:tcMar>
              <w:top w:w="80" w:type="dxa"/>
              <w:bottom w:w="80" w:type="dxa"/>
              <w:left w:w="120" w:type="dxa"/>
              <w:right w:w="120" w:type="dxa"/>
            </w:tcMar>
          </w:tcPr>
          <w:p>
            <w:pPr>
              <w:spacing w:after="0"/>
            </w:pPr>
            <w:r>
              <w:rPr>
                <w:rFonts w:ascii="Calibri" w:hAnsi="Calibri"/>
                <w:b w:val="0"/>
                <w:i w:val="0"/>
                <w:color w:val="2D3748"/>
                <w:sz w:val="20"/>
              </w:rPr>
              <w:t>Arabic (Primary Knowledge Base) &amp; English (Cross-Lingual Support)</w:t>
            </w:r>
          </w:p>
        </w:tc>
      </w:tr>
      <w:tr>
        <w:tc>
          <w:tcPr>
            <w:tcW w:type="dxa" w:w="3168"/>
            <w:shd w:fill="F0F4F8"/>
            <w:tcMar>
              <w:top w:w="80" w:type="dxa"/>
              <w:bottom w:w="80" w:type="dxa"/>
              <w:left w:w="120" w:type="dxa"/>
              <w:right w:w="120" w:type="dxa"/>
            </w:tcMar>
          </w:tcPr>
          <w:p>
            <w:pPr>
              <w:spacing w:after="0"/>
            </w:pPr>
            <w:r>
              <w:rPr>
                <w:rFonts w:ascii="Calibri" w:hAnsi="Calibri"/>
                <w:b/>
                <w:i w:val="0"/>
                <w:color w:val="1A365D"/>
                <w:sz w:val="20"/>
              </w:rPr>
              <w:t>Target Users</w:t>
            </w:r>
          </w:p>
        </w:tc>
        <w:tc>
          <w:tcPr>
            <w:tcW w:type="dxa" w:w="6192"/>
            <w:shd w:fill="FFFFFF"/>
            <w:tcMar>
              <w:top w:w="80" w:type="dxa"/>
              <w:bottom w:w="80" w:type="dxa"/>
              <w:left w:w="120" w:type="dxa"/>
              <w:right w:w="120" w:type="dxa"/>
            </w:tcMar>
          </w:tcPr>
          <w:p>
            <w:pPr>
              <w:spacing w:after="0"/>
            </w:pPr>
            <w:r>
              <w:rPr>
                <w:rFonts w:ascii="Calibri" w:hAnsi="Calibri"/>
                <w:b w:val="0"/>
                <w:i w:val="0"/>
                <w:color w:val="2D3748"/>
                <w:sz w:val="20"/>
              </w:rPr>
              <w:t>Bank Employees, Branch Managers, Operations Officers, Compliance Auditors</w:t>
            </w:r>
          </w:p>
        </w:tc>
      </w:tr>
    </w:tbl>
    <w:p>
      <w:r>
        <w:br w:type="page"/>
      </w:r>
    </w:p>
    <w:p>
      <w:pPr>
        <w:keepNext/>
        <w:spacing w:before="360" w:after="120"/>
      </w:pPr>
      <w:r>
        <w:rPr>
          <w:rFonts w:ascii="Calibri" w:hAnsi="Calibri"/>
          <w:b/>
          <w:i w:val="0"/>
          <w:color w:val="1A365D"/>
          <w:sz w:val="36"/>
        </w:rPr>
        <w:t>1. Executive Summary &amp; System Overview</w:t>
      </w:r>
    </w:p>
    <w:p>
      <w:pPr>
        <w:spacing w:before="0" w:after="120" w:line="276" w:lineRule="auto"/>
      </w:pPr>
      <w:r>
        <w:rPr>
          <w:rFonts w:ascii="Calibri" w:hAnsi="Calibri"/>
          <w:b w:val="0"/>
          <w:i w:val="0"/>
          <w:color w:val="2D3748"/>
          <w:sz w:val="22"/>
        </w:rPr>
        <w:t>Modern financial institutions maintain extensive Standard Operating Procedures (SOPs), compliance directives, and administrative manuals. In Arabic-speaking banking jurisdictions, these documents are predominantly drafted in Arabic, spanning hundreds of pages of complex procedural workflows, regulatory cut-offs, penalty schedules, and inventory rules. Front-line branch employees, operations personnel, and internal auditors frequently face significant friction when trying to rapidly verify specific procedural questions.</w:t>
      </w:r>
    </w:p>
    <w:p>
      <w:pPr>
        <w:spacing w:before="0" w:after="120" w:line="276" w:lineRule="auto"/>
      </w:pPr>
      <w:r>
        <w:rPr>
          <w:rFonts w:ascii="Calibri" w:hAnsi="Calibri"/>
          <w:b w:val="0"/>
          <w:i w:val="0"/>
          <w:color w:val="2D3748"/>
          <w:sz w:val="22"/>
        </w:rPr>
        <w:t>Bank_Guide_AI resolves this operational bottleneck by providing an enterprise-grade, GPU-accelerated Retrieval-Augmented Generation (RAG) assistant. The system empowers bank staff to pose ad-hoc queries in either Arabic or English, performing dense semantic search over vectorized Arabic banking manuals and returning strictly grounded answers accompanied by exact document names, page numbers, and source snippets.</w:t>
      </w:r>
    </w:p>
    <w:p>
      <w:pPr>
        <w:keepNext/>
        <w:spacing w:before="280" w:after="80"/>
      </w:pPr>
      <w:r>
        <w:rPr>
          <w:rFonts w:ascii="Calibri" w:hAnsi="Calibri"/>
          <w:b/>
          <w:i w:val="0"/>
          <w:color w:val="2B6CB0"/>
          <w:sz w:val="28"/>
        </w:rPr>
        <w:t>1.1 Core Value Propositions</w:t>
      </w:r>
    </w:p>
    <w:p>
      <w:pPr>
        <w:pStyle w:val="ListBullet"/>
        <w:spacing w:before="0" w:after="60" w:line="276" w:lineRule="auto"/>
      </w:pPr>
      <w:r>
        <w:rPr>
          <w:rFonts w:ascii="Calibri" w:hAnsi="Calibri"/>
          <w:b/>
          <w:i w:val="0"/>
          <w:color w:val="2D3748"/>
          <w:sz w:val="22"/>
        </w:rPr>
        <w:t xml:space="preserve">Bilingual Cross-Lingual Retrieval: </w:t>
      </w:r>
      <w:r>
        <w:rPr>
          <w:rFonts w:ascii="Calibri" w:hAnsi="Calibri"/>
          <w:b w:val="0"/>
          <w:i w:val="0"/>
          <w:color w:val="2D3748"/>
          <w:sz w:val="22"/>
        </w:rPr>
        <w:t>Seamlessly maps English questions onto Arabic procedural manuals (and vice versa), allowing international auditors and bilingual staff to query local regulations without language barriers.</w:t>
      </w:r>
    </w:p>
    <w:p>
      <w:pPr>
        <w:pStyle w:val="ListBullet"/>
        <w:spacing w:before="0" w:after="60" w:line="276" w:lineRule="auto"/>
      </w:pPr>
      <w:r>
        <w:rPr>
          <w:rFonts w:ascii="Calibri" w:hAnsi="Calibri"/>
          <w:b/>
          <w:i w:val="0"/>
          <w:color w:val="2D3748"/>
          <w:sz w:val="22"/>
        </w:rPr>
        <w:t xml:space="preserve">Strict Anti-Hallucination Grounding: </w:t>
      </w:r>
      <w:r>
        <w:rPr>
          <w:rFonts w:ascii="Calibri" w:hAnsi="Calibri"/>
          <w:b w:val="0"/>
          <w:i w:val="0"/>
          <w:color w:val="2D3748"/>
          <w:sz w:val="22"/>
        </w:rPr>
        <w:t>The LLM generator is constrained to the retrieved context chunks only, explicitly refusing to extrapolate or invent bank regulations when information is absent.</w:t>
      </w:r>
    </w:p>
    <w:p>
      <w:pPr>
        <w:pStyle w:val="ListBullet"/>
        <w:spacing w:before="0" w:after="60" w:line="276" w:lineRule="auto"/>
      </w:pPr>
      <w:r>
        <w:rPr>
          <w:rFonts w:ascii="Calibri" w:hAnsi="Calibri"/>
          <w:b/>
          <w:i w:val="0"/>
          <w:color w:val="2D3748"/>
          <w:sz w:val="22"/>
        </w:rPr>
        <w:t xml:space="preserve">Auditable Citations: </w:t>
      </w:r>
      <w:r>
        <w:rPr>
          <w:rFonts w:ascii="Calibri" w:hAnsi="Calibri"/>
          <w:b w:val="0"/>
          <w:i w:val="0"/>
          <w:color w:val="2D3748"/>
          <w:sz w:val="22"/>
        </w:rPr>
        <w:t>Every output includes verifiable metadata, pinpointing the exact PDF file, page number, extraction method (native text vs. OCR), and chunking strategy used.</w:t>
      </w:r>
    </w:p>
    <w:p>
      <w:pPr>
        <w:pStyle w:val="ListBullet"/>
        <w:spacing w:before="0" w:after="60" w:line="276" w:lineRule="auto"/>
      </w:pPr>
      <w:r>
        <w:rPr>
          <w:rFonts w:ascii="Calibri" w:hAnsi="Calibri"/>
          <w:b/>
          <w:i w:val="0"/>
          <w:color w:val="2D3748"/>
          <w:sz w:val="22"/>
        </w:rPr>
        <w:t xml:space="preserve">GPU-Accelerated Ingestion: </w:t>
      </w:r>
      <w:r>
        <w:rPr>
          <w:rFonts w:ascii="Calibri" w:hAnsi="Calibri"/>
          <w:b w:val="0"/>
          <w:i w:val="0"/>
          <w:color w:val="2D3748"/>
          <w:sz w:val="22"/>
        </w:rPr>
        <w:t>Utilizes NVIDIA CUDA acceleration with the state-of-the-art BAAI/bge-m3 multilingual embedding model, processing complex PDF manuals in seconds.</w:t>
      </w:r>
    </w:p>
    <w:p>
      <w:pPr>
        <w:pStyle w:val="ListBullet"/>
        <w:spacing w:before="0" w:after="60" w:line="276" w:lineRule="auto"/>
      </w:pPr>
      <w:r>
        <w:rPr>
          <w:rFonts w:ascii="Calibri" w:hAnsi="Calibri"/>
          <w:b/>
          <w:i w:val="0"/>
          <w:color w:val="2D3748"/>
          <w:sz w:val="22"/>
        </w:rPr>
        <w:t xml:space="preserve">OCR-Aware Fallback: </w:t>
      </w:r>
      <w:r>
        <w:rPr>
          <w:rFonts w:ascii="Calibri" w:hAnsi="Calibri"/>
          <w:b w:val="0"/>
          <w:i w:val="0"/>
          <w:color w:val="2D3748"/>
          <w:sz w:val="22"/>
        </w:rPr>
        <w:t>Intelligently extracts direct vector text from digital PDFs while automatically falling back to dual-language (Arabic + English) Tesseract OCR for scanned pages and rasterized tables.</w:t>
      </w:r>
    </w:p>
    <w:p>
      <w:pPr>
        <w:keepNext/>
        <w:spacing w:before="280" w:after="80"/>
      </w:pPr>
      <w:r>
        <w:rPr>
          <w:rFonts w:ascii="Calibri" w:hAnsi="Calibri"/>
          <w:b/>
          <w:i w:val="0"/>
          <w:color w:val="2B6CB0"/>
          <w:sz w:val="28"/>
        </w:rPr>
        <w:t>1.2 Ingested Banking SOP Knowledge Base</w:t>
      </w:r>
    </w:p>
    <w:p>
      <w:pPr>
        <w:spacing w:before="0" w:after="120" w:line="276" w:lineRule="auto"/>
      </w:pPr>
      <w:r>
        <w:rPr>
          <w:rFonts w:ascii="Calibri" w:hAnsi="Calibri"/>
          <w:b w:val="0"/>
          <w:i w:val="0"/>
          <w:color w:val="2D3748"/>
          <w:sz w:val="22"/>
        </w:rPr>
        <w:t>The system currently indexes three critical operational manuals:</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120"/>
        <w:gridCol w:w="3120"/>
        <w:gridCol w:w="3120"/>
      </w:tblGrid>
      <w:tr>
        <w:tc>
          <w:tcPr>
            <w:tcW w:type="dxa" w:w="3120"/>
            <w:shd w:fill="1A365D"/>
            <w:tcMar>
              <w:top w:w="100" w:type="dxa"/>
              <w:bottom w:w="100" w:type="dxa"/>
              <w:left w:w="120" w:type="dxa"/>
              <w:right w:w="120" w:type="dxa"/>
            </w:tcMar>
          </w:tcPr>
          <w:p>
            <w:r>
              <w:rPr>
                <w:rFonts w:ascii="Calibri" w:hAnsi="Calibri"/>
                <w:b/>
                <w:i w:val="0"/>
                <w:color w:val="FFFFFF"/>
                <w:sz w:val="21"/>
              </w:rPr>
              <w:t>Manual Title</w:t>
            </w:r>
          </w:p>
        </w:tc>
        <w:tc>
          <w:tcPr>
            <w:tcW w:type="dxa" w:w="3120"/>
            <w:shd w:fill="1A365D"/>
            <w:tcMar>
              <w:top w:w="100" w:type="dxa"/>
              <w:bottom w:w="100" w:type="dxa"/>
              <w:left w:w="120" w:type="dxa"/>
              <w:right w:w="120" w:type="dxa"/>
            </w:tcMar>
          </w:tcPr>
          <w:p>
            <w:r>
              <w:rPr>
                <w:rFonts w:ascii="Calibri" w:hAnsi="Calibri"/>
                <w:b/>
                <w:i w:val="0"/>
                <w:color w:val="FFFFFF"/>
                <w:sz w:val="21"/>
              </w:rPr>
              <w:t>Scope &amp; Covered Workflows</w:t>
            </w:r>
          </w:p>
        </w:tc>
        <w:tc>
          <w:tcPr>
            <w:tcW w:type="dxa" w:w="3120"/>
            <w:shd w:fill="1A365D"/>
            <w:tcMar>
              <w:top w:w="100" w:type="dxa"/>
              <w:bottom w:w="100" w:type="dxa"/>
              <w:left w:w="120" w:type="dxa"/>
              <w:right w:w="120" w:type="dxa"/>
            </w:tcMar>
          </w:tcPr>
          <w:p>
            <w:r>
              <w:rPr>
                <w:rFonts w:ascii="Calibri" w:hAnsi="Calibri"/>
                <w:b/>
                <w:i w:val="0"/>
                <w:color w:val="FFFFFF"/>
                <w:sz w:val="21"/>
              </w:rPr>
              <w:t>Key Regulatory Details</w:t>
            </w:r>
          </w:p>
        </w:tc>
      </w:tr>
      <w:tr>
        <w:tc>
          <w:tcPr>
            <w:tcW w:type="dxa" w:w="3168"/>
            <w:shd w:fill="FFFFFF"/>
            <w:tcMar>
              <w:top w:w="80" w:type="dxa"/>
              <w:bottom w:w="80" w:type="dxa"/>
              <w:left w:w="120" w:type="dxa"/>
              <w:right w:w="120" w:type="dxa"/>
            </w:tcMar>
          </w:tcPr>
          <w:p>
            <w:r>
              <w:rPr>
                <w:rFonts w:ascii="Calibri" w:hAnsi="Calibri"/>
                <w:b w:val="0"/>
                <w:i w:val="0"/>
                <w:color w:val="2D3748"/>
                <w:sz w:val="19"/>
              </w:rPr>
              <w:t>Central Mail &amp; Files Unit Procedures Manual</w:t>
              <w:br/>
              <w:t>(دليل إجراءات وحدة البريد المركزي والملفات)</w:t>
            </w:r>
          </w:p>
        </w:tc>
        <w:tc>
          <w:tcPr>
            <w:tcW w:type="dxa" w:w="3600"/>
            <w:shd w:fill="FFFFFF"/>
            <w:tcMar>
              <w:top w:w="80" w:type="dxa"/>
              <w:bottom w:w="80" w:type="dxa"/>
              <w:left w:w="120" w:type="dxa"/>
              <w:right w:w="120" w:type="dxa"/>
            </w:tcMar>
          </w:tcPr>
          <w:p>
            <w:r>
              <w:rPr>
                <w:rFonts w:ascii="Calibri" w:hAnsi="Calibri"/>
                <w:b w:val="0"/>
                <w:i w:val="0"/>
                <w:color w:val="2D3748"/>
                <w:sz w:val="19"/>
              </w:rPr>
              <w:t>Incoming/outgoing postal dispatches, inter-branch mail cycles, credit file archiving &amp; retrieval, BPM system workflows.</w:t>
            </w:r>
          </w:p>
        </w:tc>
        <w:tc>
          <w:tcPr>
            <w:tcW w:type="dxa" w:w="2592"/>
            <w:shd w:fill="FFFFFF"/>
            <w:tcMar>
              <w:top w:w="80" w:type="dxa"/>
              <w:bottom w:w="80" w:type="dxa"/>
              <w:left w:w="120" w:type="dxa"/>
              <w:right w:w="120" w:type="dxa"/>
            </w:tcMar>
          </w:tcPr>
          <w:p>
            <w:r>
              <w:rPr>
                <w:rFonts w:ascii="Calibri" w:hAnsi="Calibri"/>
                <w:b w:val="0"/>
                <w:i w:val="0"/>
                <w:color w:val="2D3748"/>
                <w:sz w:val="19"/>
              </w:rPr>
              <w:t>Daily 1:30 PM cut-off for outgoing mail; strict prohibition against mailing debit cards and PINs in the same parcel.</w:t>
            </w:r>
          </w:p>
        </w:tc>
      </w:tr>
      <w:tr>
        <w:tc>
          <w:tcPr>
            <w:tcW w:type="dxa" w:w="3168"/>
            <w:shd w:fill="F8FAFC"/>
            <w:tcMar>
              <w:top w:w="80" w:type="dxa"/>
              <w:bottom w:w="80" w:type="dxa"/>
              <w:left w:w="120" w:type="dxa"/>
              <w:right w:w="120" w:type="dxa"/>
            </w:tcMar>
          </w:tcPr>
          <w:p>
            <w:r>
              <w:rPr>
                <w:rFonts w:ascii="Calibri" w:hAnsi="Calibri"/>
                <w:b w:val="0"/>
                <w:i w:val="0"/>
                <w:color w:val="2D3748"/>
                <w:sz w:val="19"/>
              </w:rPr>
              <w:t>Central Alarm Tasks &amp; Procedures Manual</w:t>
              <w:br/>
              <w:t>(دليل إجراءات وحدة الإنذار المركزي)</w:t>
            </w:r>
          </w:p>
        </w:tc>
        <w:tc>
          <w:tcPr>
            <w:tcW w:type="dxa" w:w="3600"/>
            <w:shd w:fill="F8FAFC"/>
            <w:tcMar>
              <w:top w:w="80" w:type="dxa"/>
              <w:bottom w:w="80" w:type="dxa"/>
              <w:left w:w="120" w:type="dxa"/>
              <w:right w:w="120" w:type="dxa"/>
            </w:tcMar>
          </w:tcPr>
          <w:p>
            <w:r>
              <w:rPr>
                <w:rFonts w:ascii="Calibri" w:hAnsi="Calibri"/>
                <w:b w:val="0"/>
                <w:i w:val="0"/>
                <w:color w:val="2D3748"/>
                <w:sz w:val="19"/>
              </w:rPr>
              <w:t>Branch security alarms, CCTV camera footage extraction &amp; retention approvals, electronic access control cards, incident logging.</w:t>
            </w:r>
          </w:p>
        </w:tc>
        <w:tc>
          <w:tcPr>
            <w:tcW w:type="dxa" w:w="2592"/>
            <w:shd w:fill="F8FAFC"/>
            <w:tcMar>
              <w:top w:w="80" w:type="dxa"/>
              <w:bottom w:w="80" w:type="dxa"/>
              <w:left w:w="120" w:type="dxa"/>
              <w:right w:w="120" w:type="dxa"/>
            </w:tcMar>
          </w:tcPr>
          <w:p>
            <w:r>
              <w:rPr>
                <w:rFonts w:ascii="Calibri" w:hAnsi="Calibri"/>
                <w:b w:val="0"/>
                <w:i w:val="0"/>
                <w:color w:val="2D3748"/>
                <w:sz w:val="19"/>
              </w:rPr>
              <w:t>10 JOD fine for lost access cards; exemption policies for technical wear or after 2 years of active service.</w:t>
            </w:r>
          </w:p>
        </w:tc>
      </w:tr>
      <w:tr>
        <w:tc>
          <w:tcPr>
            <w:tcW w:type="dxa" w:w="3168"/>
            <w:shd w:fill="FFFFFF"/>
            <w:tcMar>
              <w:top w:w="80" w:type="dxa"/>
              <w:bottom w:w="80" w:type="dxa"/>
              <w:left w:w="120" w:type="dxa"/>
              <w:right w:w="120" w:type="dxa"/>
            </w:tcMar>
          </w:tcPr>
          <w:p>
            <w:r>
              <w:rPr>
                <w:rFonts w:ascii="Calibri" w:hAnsi="Calibri"/>
                <w:b w:val="0"/>
                <w:i w:val="0"/>
                <w:color w:val="2D3748"/>
                <w:sz w:val="19"/>
              </w:rPr>
              <w:t>Assets &amp; Warehouse Operations Manual</w:t>
              <w:br/>
              <w:t>(دليل إجراءات وحدة الموجودات وعمليات المستودعات)</w:t>
            </w:r>
          </w:p>
        </w:tc>
        <w:tc>
          <w:tcPr>
            <w:tcW w:type="dxa" w:w="3600"/>
            <w:shd w:fill="FFFFFF"/>
            <w:tcMar>
              <w:top w:w="80" w:type="dxa"/>
              <w:bottom w:w="80" w:type="dxa"/>
              <w:left w:w="120" w:type="dxa"/>
              <w:right w:w="120" w:type="dxa"/>
            </w:tcMar>
          </w:tcPr>
          <w:p>
            <w:r>
              <w:rPr>
                <w:rFonts w:ascii="Calibri" w:hAnsi="Calibri"/>
                <w:b w:val="0"/>
                <w:i w:val="0"/>
                <w:color w:val="2D3748"/>
                <w:sz w:val="19"/>
              </w:rPr>
              <w:t>Warehouse inventory management, receipt/issuance vouchers, fixed assets tracking, annual physical inventory committees.</w:t>
            </w:r>
          </w:p>
        </w:tc>
        <w:tc>
          <w:tcPr>
            <w:tcW w:type="dxa" w:w="2592"/>
            <w:shd w:fill="FFFFFF"/>
            <w:tcMar>
              <w:top w:w="80" w:type="dxa"/>
              <w:bottom w:w="80" w:type="dxa"/>
              <w:left w:w="120" w:type="dxa"/>
              <w:right w:w="120" w:type="dxa"/>
            </w:tcMar>
          </w:tcPr>
          <w:p>
            <w:r>
              <w:rPr>
                <w:rFonts w:ascii="Calibri" w:hAnsi="Calibri"/>
                <w:b w:val="0"/>
                <w:i w:val="0"/>
                <w:color w:val="2D3748"/>
                <w:sz w:val="19"/>
              </w:rPr>
              <w:t>FIFO (First-In, First-Out) dispatch rules; 3-year retention for warehouse ledgers; structured asset disposal committees.</w:t>
            </w:r>
          </w:p>
        </w:tc>
      </w:tr>
    </w:tbl>
    <w:p>
      <w:pPr>
        <w:keepNext/>
        <w:spacing w:before="360" w:after="120"/>
      </w:pPr>
      <w:r>
        <w:rPr>
          <w:rFonts w:ascii="Calibri" w:hAnsi="Calibri"/>
          <w:b/>
          <w:i w:val="0"/>
          <w:color w:val="1A365D"/>
          <w:sz w:val="36"/>
        </w:rPr>
        <w:t>2. High-Level System Architecture &amp; Flow</w:t>
      </w:r>
    </w:p>
    <w:p>
      <w:pPr>
        <w:spacing w:before="0" w:after="120" w:line="276" w:lineRule="auto"/>
      </w:pPr>
      <w:r>
        <w:rPr>
          <w:rFonts w:ascii="Calibri" w:hAnsi="Calibri"/>
          <w:b w:val="0"/>
          <w:i w:val="0"/>
          <w:color w:val="2D3748"/>
          <w:sz w:val="22"/>
        </w:rPr>
        <w:t>Bank_Guide_AI is architected as a modular, decoupled pipeline structured into four primary layers: (1) Ingestion &amp; OCR Preprocessing, (2) Vector Embedding &amp; Storage, (3) Hybrid Semantic Retrieval, and (4) Context-Augmented LLM Generation.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2" w:space="0" w:color="CBD5E0"/>
              <w:top w:val="single" w:sz="4" w:space="0" w:color="E2E8F0"/>
              <w:right w:val="single" w:sz="4" w:space="0" w:color="E2E8F0"/>
              <w:bottom w:val="single" w:sz="4" w:space="0" w:color="E2E8F0"/>
            </w:tcBorders>
          </w:tcPr>
          <w:p>
            <w:pPr>
              <w:spacing w:before="40" w:after="40" w:line="252" w:lineRule="auto"/>
            </w:pPr>
            <w:r>
              <w:rPr>
                <w:rFonts w:ascii="Consolas" w:hAnsi="Consolas"/>
                <w:b w:val="0"/>
                <w:i w:val="0"/>
                <w:color w:val="1E293B"/>
                <w:sz w:val="19"/>
              </w:rPr>
              <w:t>+-----------------------------------------------------------------------------------+</w:t>
              <w:br/>
              <w:t>|                             1. INGESTION SUBSYSTEM                                |</w:t>
              <w:br/>
              <w:t>|  +-------------------+      +-------------------+      +-----------------------+  |</w:t>
              <w:br/>
              <w:t>|  |  Source Bank PDFs | ---&gt; | PyMuPDF Parser    | ---&gt; | Chunking Strategies   |  |</w:t>
              <w:br/>
              <w:t>|  |  (data/pdfs/)     |      | + Tesseract (OCR) |      | (5 Interchangeable)   |  |</w:t>
              <w:br/>
              <w:t>|  +-------------------+      +-------------------+      +-----------------------+  |</w:t>
              <w:br/>
              <w:t>|                                                                    |              |</w:t>
              <w:br/>
              <w:t>|                                                                    v              |</w:t>
              <w:br/>
              <w:t>|                                                        +-----------------------+  |</w:t>
              <w:br/>
              <w:t>|                                                        | BAAI/bge-m3 Embedding |  |</w:t>
              <w:br/>
              <w:t>|                                                        | (NVIDIA CUDA GPU)     |  |</w:t>
              <w:br/>
              <w:t>|                                                        +-----------------------+  |</w:t>
              <w:br/>
              <w:t>+--------------------------------------------------------------------|--------------+</w:t>
              <w:br/>
              <w:t xml:space="preserve">                                                                     v</w:t>
              <w:br/>
              <w:t>+-----------------------------------------------------------------------------------+</w:t>
              <w:br/>
              <w:t>|                             2. VECTOR STORAGE SUBSYSTEM                           |</w:t>
              <w:br/>
              <w:t>|  +-----------------------------------------------------------------------------+  |</w:t>
              <w:br/>
              <w:t>|  |                 ChromaDB Persisted Vector Store (vectorstore/chroma_db)     |  |</w:t>
              <w:br/>
              <w:t>|  |     [ 1024-dim Dense Embeddings | Document Metadata: source, page, chunk ]  |  |</w:t>
              <w:br/>
              <w:t>|  +-----------------------------------------------------------------------------+  |</w:t>
              <w:br/>
              <w:t>+--------------------------------------------------------------------|--------------+</w:t>
              <w:br/>
              <w:t xml:space="preserve">                                                                     v</w:t>
              <w:br/>
              <w:t>+-----------------------------------------------------------------------------------+</w:t>
              <w:br/>
              <w:t>|                             3. RETRIEVAL &amp; GENERATION                             |</w:t>
              <w:br/>
              <w:t>|  +--------------------+     +-------------------+      +-----------------------+  |</w:t>
              <w:br/>
              <w:t>|  | User Banking Query | --&gt; | Vector Retriever  | ---&gt; | Top-K Grounded Chunks |  |</w:t>
              <w:br/>
              <w:t>|  | (Arabic / English) |     | (MMR / Cosine)    |      | (Clamped Context)     |  |</w:t>
              <w:br/>
              <w:t>|  +--------------------+     +-------------------+      +-----------------------+  |</w:t>
              <w:br/>
              <w:t>|                                                                    |              |</w:t>
              <w:br/>
              <w:t>|                                                                    v              |</w:t>
              <w:br/>
              <w:t>|  +--------------------+     +-------------------+      +-----------------------+  |</w:t>
              <w:br/>
              <w:t>|  | Final Response +   | &lt;-- | Groq Cloud LLM    | &lt;--- | Grounding Prompt      |  |</w:t>
              <w:br/>
              <w:t>|  | Auditable Sources  |     | (Qwen 3.8 / ALLaM)|      | System Instructions   |  |</w:t>
              <w:br/>
              <w:t>|  +--------------------+     +-------------------+      +-----------------------+  |</w:t>
              <w:br/>
              <w:t>+-----------------------------------------------------------------------------------+</w:t>
            </w:r>
          </w:p>
        </w:tc>
      </w:tr>
    </w:tbl>
    <w:p>
      <w:pPr>
        <w:spacing w:before="0" w:after="80"/>
      </w:pPr>
    </w:p>
    <w:p>
      <w:pPr>
        <w:keepNext/>
        <w:spacing w:before="280" w:after="80"/>
      </w:pPr>
      <w:r>
        <w:rPr>
          <w:rFonts w:ascii="Calibri" w:hAnsi="Calibri"/>
          <w:b/>
          <w:i w:val="0"/>
          <w:color w:val="2B6CB0"/>
          <w:sz w:val="28"/>
        </w:rPr>
        <w:t>2.1 Architectural Subsystems Overview</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120"/>
        <w:gridCol w:w="3120"/>
        <w:gridCol w:w="3120"/>
      </w:tblGrid>
      <w:tr>
        <w:tc>
          <w:tcPr>
            <w:tcW w:type="dxa" w:w="3120"/>
            <w:shd w:fill="1A365D"/>
            <w:tcMar>
              <w:top w:w="100" w:type="dxa"/>
              <w:bottom w:w="100" w:type="dxa"/>
              <w:left w:w="120" w:type="dxa"/>
              <w:right w:w="120" w:type="dxa"/>
            </w:tcMar>
          </w:tcPr>
          <w:p>
            <w:r>
              <w:rPr>
                <w:rFonts w:ascii="Calibri" w:hAnsi="Calibri"/>
                <w:b/>
                <w:i w:val="0"/>
                <w:color w:val="FFFFFF"/>
                <w:sz w:val="21"/>
              </w:rPr>
              <w:t>Subsystem Layer</w:t>
            </w:r>
          </w:p>
        </w:tc>
        <w:tc>
          <w:tcPr>
            <w:tcW w:type="dxa" w:w="3120"/>
            <w:shd w:fill="1A365D"/>
            <w:tcMar>
              <w:top w:w="100" w:type="dxa"/>
              <w:bottom w:w="100" w:type="dxa"/>
              <w:left w:w="120" w:type="dxa"/>
              <w:right w:w="120" w:type="dxa"/>
            </w:tcMar>
          </w:tcPr>
          <w:p>
            <w:r>
              <w:rPr>
                <w:rFonts w:ascii="Calibri" w:hAnsi="Calibri"/>
                <w:b/>
                <w:i w:val="0"/>
                <w:color w:val="FFFFFF"/>
                <w:sz w:val="21"/>
              </w:rPr>
              <w:t>Core Python Module</w:t>
            </w:r>
          </w:p>
        </w:tc>
        <w:tc>
          <w:tcPr>
            <w:tcW w:type="dxa" w:w="3120"/>
            <w:shd w:fill="1A365D"/>
            <w:tcMar>
              <w:top w:w="100" w:type="dxa"/>
              <w:bottom w:w="100" w:type="dxa"/>
              <w:left w:w="120" w:type="dxa"/>
              <w:right w:w="120" w:type="dxa"/>
            </w:tcMar>
          </w:tcPr>
          <w:p>
            <w:r>
              <w:rPr>
                <w:rFonts w:ascii="Calibri" w:hAnsi="Calibri"/>
                <w:b/>
                <w:i w:val="0"/>
                <w:color w:val="FFFFFF"/>
                <w:sz w:val="21"/>
              </w:rPr>
              <w:t>Primary Responsibilities</w:t>
            </w:r>
          </w:p>
        </w:tc>
      </w:tr>
      <w:tr>
        <w:tc>
          <w:tcPr>
            <w:tcW w:type="dxa" w:w="2592"/>
            <w:shd w:fill="FFFFFF"/>
            <w:tcMar>
              <w:top w:w="80" w:type="dxa"/>
              <w:bottom w:w="80" w:type="dxa"/>
              <w:left w:w="120" w:type="dxa"/>
              <w:right w:w="120" w:type="dxa"/>
            </w:tcMar>
          </w:tcPr>
          <w:p>
            <w:r>
              <w:rPr>
                <w:rFonts w:ascii="Calibri" w:hAnsi="Calibri"/>
                <w:b w:val="0"/>
                <w:i w:val="0"/>
                <w:color w:val="2D3748"/>
                <w:sz w:val="19"/>
              </w:rPr>
              <w:t>Ingestion &amp; OCR</w:t>
            </w:r>
          </w:p>
        </w:tc>
        <w:tc>
          <w:tcPr>
            <w:tcW w:type="dxa" w:w="3168"/>
            <w:shd w:fill="FFFFFF"/>
            <w:tcMar>
              <w:top w:w="80" w:type="dxa"/>
              <w:bottom w:w="80" w:type="dxa"/>
              <w:left w:w="120" w:type="dxa"/>
              <w:right w:w="120" w:type="dxa"/>
            </w:tcMar>
          </w:tcPr>
          <w:p>
            <w:r>
              <w:rPr>
                <w:rFonts w:ascii="Calibri" w:hAnsi="Calibri"/>
                <w:b w:val="0"/>
                <w:i w:val="0"/>
                <w:color w:val="2D3748"/>
                <w:sz w:val="19"/>
              </w:rPr>
              <w:t>ingestion/ocr_loader.py</w:t>
              <w:br/>
              <w:t>ingestion/chunking.py</w:t>
            </w:r>
          </w:p>
        </w:tc>
        <w:tc>
          <w:tcPr>
            <w:tcW w:type="dxa" w:w="3600"/>
            <w:shd w:fill="FFFFFF"/>
            <w:tcMar>
              <w:top w:w="80" w:type="dxa"/>
              <w:bottom w:w="80" w:type="dxa"/>
              <w:left w:w="120" w:type="dxa"/>
              <w:right w:w="120" w:type="dxa"/>
            </w:tcMar>
          </w:tcPr>
          <w:p>
            <w:r>
              <w:rPr>
                <w:rFonts w:ascii="Calibri" w:hAnsi="Calibri"/>
                <w:b w:val="0"/>
                <w:i w:val="0"/>
                <w:color w:val="2D3748"/>
                <w:sz w:val="19"/>
              </w:rPr>
              <w:t>Extracts digital text via PyMuPDF; rasterizes low-text pages at 300 DPI for Tesseract OCR; splits text using 5 distinct chunking strategies; persists extraction cache.</w:t>
            </w:r>
          </w:p>
        </w:tc>
      </w:tr>
      <w:tr>
        <w:tc>
          <w:tcPr>
            <w:tcW w:type="dxa" w:w="2592"/>
            <w:shd w:fill="F8FAFC"/>
            <w:tcMar>
              <w:top w:w="80" w:type="dxa"/>
              <w:bottom w:w="80" w:type="dxa"/>
              <w:left w:w="120" w:type="dxa"/>
              <w:right w:w="120" w:type="dxa"/>
            </w:tcMar>
          </w:tcPr>
          <w:p>
            <w:r>
              <w:rPr>
                <w:rFonts w:ascii="Calibri" w:hAnsi="Calibri"/>
                <w:b w:val="0"/>
                <w:i w:val="0"/>
                <w:color w:val="2D3748"/>
                <w:sz w:val="19"/>
              </w:rPr>
              <w:t>Embedding Pipeline</w:t>
            </w:r>
          </w:p>
        </w:tc>
        <w:tc>
          <w:tcPr>
            <w:tcW w:type="dxa" w:w="3168"/>
            <w:shd w:fill="F8FAFC"/>
            <w:tcMar>
              <w:top w:w="80" w:type="dxa"/>
              <w:bottom w:w="80" w:type="dxa"/>
              <w:left w:w="120" w:type="dxa"/>
              <w:right w:w="120" w:type="dxa"/>
            </w:tcMar>
          </w:tcPr>
          <w:p>
            <w:r>
              <w:rPr>
                <w:rFonts w:ascii="Calibri" w:hAnsi="Calibri"/>
                <w:b w:val="0"/>
                <w:i w:val="0"/>
                <w:color w:val="2D3748"/>
                <w:sz w:val="19"/>
              </w:rPr>
              <w:t>ingestion/embeddings.py</w:t>
            </w:r>
          </w:p>
        </w:tc>
        <w:tc>
          <w:tcPr>
            <w:tcW w:type="dxa" w:w="3600"/>
            <w:shd w:fill="F8FAFC"/>
            <w:tcMar>
              <w:top w:w="80" w:type="dxa"/>
              <w:bottom w:w="80" w:type="dxa"/>
              <w:left w:w="120" w:type="dxa"/>
              <w:right w:w="120" w:type="dxa"/>
            </w:tcMar>
          </w:tcPr>
          <w:p>
            <w:r>
              <w:rPr>
                <w:rFonts w:ascii="Calibri" w:hAnsi="Calibri"/>
                <w:b w:val="0"/>
                <w:i w:val="0"/>
                <w:color w:val="2D3748"/>
                <w:sz w:val="19"/>
              </w:rPr>
              <w:t>Loads BAAI/bge-m3 model onto GPU; normalizes embeddings; provides LRU cached singleton instance; encodes chunks in memory-safe micro-batches.</w:t>
            </w:r>
          </w:p>
        </w:tc>
      </w:tr>
      <w:tr>
        <w:tc>
          <w:tcPr>
            <w:tcW w:type="dxa" w:w="2592"/>
            <w:shd w:fill="FFFFFF"/>
            <w:tcMar>
              <w:top w:w="80" w:type="dxa"/>
              <w:bottom w:w="80" w:type="dxa"/>
              <w:left w:w="120" w:type="dxa"/>
              <w:right w:w="120" w:type="dxa"/>
            </w:tcMar>
          </w:tcPr>
          <w:p>
            <w:r>
              <w:rPr>
                <w:rFonts w:ascii="Calibri" w:hAnsi="Calibri"/>
                <w:b w:val="0"/>
                <w:i w:val="0"/>
                <w:color w:val="2D3748"/>
                <w:sz w:val="19"/>
              </w:rPr>
              <w:t>Vector Store &amp; Retrieval</w:t>
            </w:r>
          </w:p>
        </w:tc>
        <w:tc>
          <w:tcPr>
            <w:tcW w:type="dxa" w:w="3168"/>
            <w:shd w:fill="FFFFFF"/>
            <w:tcMar>
              <w:top w:w="80" w:type="dxa"/>
              <w:bottom w:w="80" w:type="dxa"/>
              <w:left w:w="120" w:type="dxa"/>
              <w:right w:w="120" w:type="dxa"/>
            </w:tcMar>
          </w:tcPr>
          <w:p>
            <w:r>
              <w:rPr>
                <w:rFonts w:ascii="Calibri" w:hAnsi="Calibri"/>
                <w:b w:val="0"/>
                <w:i w:val="0"/>
                <w:color w:val="2D3748"/>
                <w:sz w:val="19"/>
              </w:rPr>
              <w:t>retrieval/vectorstore.py</w:t>
              <w:br/>
              <w:t>retrieval/retriever.py</w:t>
            </w:r>
          </w:p>
        </w:tc>
        <w:tc>
          <w:tcPr>
            <w:tcW w:type="dxa" w:w="3600"/>
            <w:shd w:fill="FFFFFF"/>
            <w:tcMar>
              <w:top w:w="80" w:type="dxa"/>
              <w:bottom w:w="80" w:type="dxa"/>
              <w:left w:w="120" w:type="dxa"/>
              <w:right w:w="120" w:type="dxa"/>
            </w:tcMar>
          </w:tcPr>
          <w:p>
            <w:r>
              <w:rPr>
                <w:rFonts w:ascii="Calibri" w:hAnsi="Calibri"/>
                <w:b w:val="0"/>
                <w:i w:val="0"/>
                <w:color w:val="2D3748"/>
                <w:sz w:val="19"/>
              </w:rPr>
              <w:t>Maintains persisted ChromaDB collection; executes Cosine Similarity and Maximal Marginal Relevance (MMR) searches; enforces document source filters.</w:t>
            </w:r>
          </w:p>
        </w:tc>
      </w:tr>
      <w:tr>
        <w:tc>
          <w:tcPr>
            <w:tcW w:type="dxa" w:w="2592"/>
            <w:shd w:fill="F8FAFC"/>
            <w:tcMar>
              <w:top w:w="80" w:type="dxa"/>
              <w:bottom w:w="80" w:type="dxa"/>
              <w:left w:w="120" w:type="dxa"/>
              <w:right w:w="120" w:type="dxa"/>
            </w:tcMar>
          </w:tcPr>
          <w:p>
            <w:r>
              <w:rPr>
                <w:rFonts w:ascii="Calibri" w:hAnsi="Calibri"/>
                <w:b w:val="0"/>
                <w:i w:val="0"/>
                <w:color w:val="2D3748"/>
                <w:sz w:val="19"/>
              </w:rPr>
              <w:t>LLM Generation</w:t>
            </w:r>
          </w:p>
        </w:tc>
        <w:tc>
          <w:tcPr>
            <w:tcW w:type="dxa" w:w="3168"/>
            <w:shd w:fill="F8FAFC"/>
            <w:tcMar>
              <w:top w:w="80" w:type="dxa"/>
              <w:bottom w:w="80" w:type="dxa"/>
              <w:left w:w="120" w:type="dxa"/>
              <w:right w:w="120" w:type="dxa"/>
            </w:tcMar>
          </w:tcPr>
          <w:p>
            <w:r>
              <w:rPr>
                <w:rFonts w:ascii="Calibri" w:hAnsi="Calibri"/>
                <w:b w:val="0"/>
                <w:i w:val="0"/>
                <w:color w:val="2D3748"/>
                <w:sz w:val="19"/>
              </w:rPr>
              <w:t>generation/generator.py</w:t>
              <w:br/>
              <w:t>config.py</w:t>
            </w:r>
          </w:p>
        </w:tc>
        <w:tc>
          <w:tcPr>
            <w:tcW w:type="dxa" w:w="3600"/>
            <w:shd w:fill="F8FAFC"/>
            <w:tcMar>
              <w:top w:w="80" w:type="dxa"/>
              <w:bottom w:w="80" w:type="dxa"/>
              <w:left w:w="120" w:type="dxa"/>
              <w:right w:w="120" w:type="dxa"/>
            </w:tcMar>
          </w:tcPr>
          <w:p>
            <w:r>
              <w:rPr>
                <w:rFonts w:ascii="Calibri" w:hAnsi="Calibri"/>
                <w:b w:val="0"/>
                <w:i w:val="0"/>
                <w:color w:val="2D3748"/>
                <w:sz w:val="19"/>
              </w:rPr>
              <w:t>Formats context chunks into grounding prompts; interfaces with Groq Cloud API; generates bilingual, strictly grounded responses with document/page citations.</w:t>
            </w:r>
          </w:p>
        </w:tc>
      </w:tr>
    </w:tbl>
    <w:p>
      <w:pPr>
        <w:keepNext/>
        <w:spacing w:before="360" w:after="120"/>
      </w:pPr>
      <w:r>
        <w:rPr>
          <w:rFonts w:ascii="Calibri" w:hAnsi="Calibri"/>
          <w:b/>
          <w:i w:val="0"/>
          <w:color w:val="1A365D"/>
          <w:sz w:val="36"/>
        </w:rPr>
        <w:t>3. Ingestion &amp; Document Processing Engine</w:t>
      </w:r>
    </w:p>
    <w:p>
      <w:pPr>
        <w:spacing w:before="0" w:after="120" w:line="276" w:lineRule="auto"/>
      </w:pPr>
      <w:r>
        <w:rPr>
          <w:rFonts w:ascii="Calibri" w:hAnsi="Calibri"/>
          <w:b w:val="0"/>
          <w:i w:val="0"/>
          <w:color w:val="2D3748"/>
          <w:sz w:val="22"/>
        </w:rPr>
        <w:t>The ingestion engine is designed to handle heterogeneous PDF documents. In banking environments, documents often consist of a mixture of digitally generated text, scanned stamps, signature pages, and complex tables rendered as bitmap graphics. Bank_Guide_AI utilizes an adaptive two-tier extraction pipeline.</w:t>
      </w:r>
    </w:p>
    <w:p>
      <w:pPr>
        <w:keepNext/>
        <w:spacing w:before="280" w:after="80"/>
      </w:pPr>
      <w:r>
        <w:rPr>
          <w:rFonts w:ascii="Calibri" w:hAnsi="Calibri"/>
          <w:b/>
          <w:i w:val="0"/>
          <w:color w:val="2B6CB0"/>
          <w:sz w:val="28"/>
        </w:rPr>
        <w:t>3.1 Dual-Tier Text Extraction Architecture</w:t>
      </w:r>
    </w:p>
    <w:p>
      <w:pPr>
        <w:pStyle w:val="ListBullet"/>
        <w:spacing w:before="0" w:after="60" w:line="276" w:lineRule="auto"/>
      </w:pPr>
      <w:r>
        <w:rPr>
          <w:rFonts w:ascii="Calibri" w:hAnsi="Calibri"/>
          <w:b/>
          <w:i w:val="0"/>
          <w:color w:val="2D3748"/>
          <w:sz w:val="22"/>
        </w:rPr>
        <w:t xml:space="preserve">Tier 1 - Direct PyMuPDF Vector Extraction: </w:t>
      </w:r>
      <w:r>
        <w:rPr>
          <w:rFonts w:ascii="Calibri" w:hAnsi="Calibri"/>
          <w:b w:val="0"/>
          <w:i w:val="0"/>
          <w:color w:val="2D3748"/>
          <w:sz w:val="22"/>
        </w:rPr>
        <w:t>Fast, exact extraction of Unicode text streams. Each page is inspected. If the extracted character count exceeds MIN_CHARS_FOR_NATIVE_TEXT (default: 40 characters), the text is accepted immediately with zero OCR overhead.</w:t>
      </w:r>
    </w:p>
    <w:p>
      <w:pPr>
        <w:pStyle w:val="ListBullet"/>
        <w:spacing w:before="0" w:after="60" w:line="276" w:lineRule="auto"/>
      </w:pPr>
      <w:r>
        <w:rPr>
          <w:rFonts w:ascii="Calibri" w:hAnsi="Calibri"/>
          <w:b/>
          <w:i w:val="0"/>
          <w:color w:val="2D3748"/>
          <w:sz w:val="22"/>
        </w:rPr>
        <w:t xml:space="preserve">Tier 2 - Tesseract OCR Fallback (ara+eng): </w:t>
      </w:r>
      <w:r>
        <w:rPr>
          <w:rFonts w:ascii="Calibri" w:hAnsi="Calibri"/>
          <w:b w:val="0"/>
          <w:i w:val="0"/>
          <w:color w:val="2D3748"/>
          <w:sz w:val="22"/>
        </w:rPr>
        <w:t>If a page contains fewer than 40 characters (e.g. scanned forms, stamped memos, diagrammatic flowcharts), the page is rasterized to a high-resolution 300 DPI bitmap using PyMuPDF matrices, and processed via Tesseract OCR using both Arabic and English language models.</w:t>
      </w:r>
    </w:p>
    <w:tbl>
      <w:tblPr>
        <w:tblW w:type="auto" w:w="0"/>
        <w:jc w:val="center"/>
        <w:tblLook w:firstColumn="1" w:firstRow="1" w:lastColumn="0" w:lastRow="0" w:noHBand="0" w:noVBand="1" w:val="04A0"/>
      </w:tblPr>
      <w:tblGrid>
        <w:gridCol w:w="9360"/>
      </w:tblGrid>
      <w:tr>
        <w:tc>
          <w:tcPr>
            <w:tcW w:type="dxa" w:w="9360"/>
            <w:shd w:fill="EBF8FF"/>
            <w:tcMar>
              <w:top w:w="120" w:type="dxa"/>
              <w:bottom w:w="120" w:type="dxa"/>
              <w:left w:w="160" w:type="dxa"/>
              <w:right w:w="160" w:type="dxa"/>
            </w:tcMar>
            <w:tcBorders>
              <w:left w:val="single" w:sz="24" w:space="0" w:color="2B6CB0"/>
              <w:top w:val="none"/>
              <w:right w:val="none"/>
              <w:bottom w:val="none"/>
            </w:tcBorders>
          </w:tcPr>
          <w:p>
            <w:pPr>
              <w:spacing w:before="40" w:after="40"/>
            </w:pPr>
            <w:r>
              <w:rPr>
                <w:rFonts w:ascii="Calibri" w:hAnsi="Calibri"/>
                <w:b/>
                <w:i w:val="0"/>
                <w:color w:val="2B6CB0"/>
                <w:sz w:val="21"/>
              </w:rPr>
              <w:t xml:space="preserve">[PERFORMANCE OPTIMIZATION] </w:t>
            </w:r>
            <w:r>
              <w:rPr>
                <w:rFonts w:ascii="Calibri" w:hAnsi="Calibri"/>
                <w:b w:val="0"/>
                <w:i w:val="0"/>
                <w:color w:val="2D3748"/>
                <w:sz w:val="20"/>
              </w:rPr>
              <w:t>Each ingested PDF produces an MD5 content hash. Extracted text and page metadata are persisted in vectorstore/ocr_cache/{filename}_{hash}.json. Subsequent ingestion runs bypass the compute-heavy extraction phase entirely.</w:t>
            </w:r>
          </w:p>
        </w:tc>
      </w:tr>
    </w:tbl>
    <w:p>
      <w:pPr>
        <w:spacing w:before="0" w:after="80"/>
      </w:pPr>
    </w:p>
    <w:p>
      <w:pPr>
        <w:keepNext/>
        <w:spacing w:before="280" w:after="80"/>
      </w:pPr>
      <w:r>
        <w:rPr>
          <w:rFonts w:ascii="Calibri" w:hAnsi="Calibri"/>
          <w:b/>
          <w:i w:val="0"/>
          <w:color w:val="2B6CB0"/>
          <w:sz w:val="28"/>
        </w:rPr>
        <w:t>3.2 Five Interchangeable Chunking Strategies</w:t>
      </w:r>
    </w:p>
    <w:p>
      <w:pPr>
        <w:spacing w:before="0" w:after="120" w:line="276" w:lineRule="auto"/>
      </w:pPr>
      <w:r>
        <w:rPr>
          <w:rFonts w:ascii="Calibri" w:hAnsi="Calibri"/>
          <w:b w:val="0"/>
          <w:i w:val="0"/>
          <w:color w:val="2D3748"/>
          <w:sz w:val="22"/>
        </w:rPr>
        <w:t>Document segmentation fundamentally dictates retrieval accuracy. Rather than hard-coding a single text splitter, Bank_Guide_AI implements 5 interchangeable chunking strategies in ingestion/chunking.py:</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120"/>
        <w:gridCol w:w="3120"/>
        <w:gridCol w:w="3120"/>
      </w:tblGrid>
      <w:tr>
        <w:tc>
          <w:tcPr>
            <w:tcW w:type="dxa" w:w="3120"/>
            <w:shd w:fill="1A365D"/>
            <w:tcMar>
              <w:top w:w="100" w:type="dxa"/>
              <w:bottom w:w="100" w:type="dxa"/>
              <w:left w:w="120" w:type="dxa"/>
              <w:right w:w="120" w:type="dxa"/>
            </w:tcMar>
          </w:tcPr>
          <w:p>
            <w:r>
              <w:rPr>
                <w:rFonts w:ascii="Calibri" w:hAnsi="Calibri"/>
                <w:b/>
                <w:i w:val="0"/>
                <w:color w:val="FFFFFF"/>
                <w:sz w:val="21"/>
              </w:rPr>
              <w:t>Strategy Identifier</w:t>
            </w:r>
          </w:p>
        </w:tc>
        <w:tc>
          <w:tcPr>
            <w:tcW w:type="dxa" w:w="3120"/>
            <w:shd w:fill="1A365D"/>
            <w:tcMar>
              <w:top w:w="100" w:type="dxa"/>
              <w:bottom w:w="100" w:type="dxa"/>
              <w:left w:w="120" w:type="dxa"/>
              <w:right w:w="120" w:type="dxa"/>
            </w:tcMar>
          </w:tcPr>
          <w:p>
            <w:r>
              <w:rPr>
                <w:rFonts w:ascii="Calibri" w:hAnsi="Calibri"/>
                <w:b/>
                <w:i w:val="0"/>
                <w:color w:val="FFFFFF"/>
                <w:sz w:val="21"/>
              </w:rPr>
              <w:t>Algorithmic Behavior</w:t>
            </w:r>
          </w:p>
        </w:tc>
        <w:tc>
          <w:tcPr>
            <w:tcW w:type="dxa" w:w="3120"/>
            <w:shd w:fill="1A365D"/>
            <w:tcMar>
              <w:top w:w="100" w:type="dxa"/>
              <w:bottom w:w="100" w:type="dxa"/>
              <w:left w:w="120" w:type="dxa"/>
              <w:right w:w="120" w:type="dxa"/>
            </w:tcMar>
          </w:tcPr>
          <w:p>
            <w:r>
              <w:rPr>
                <w:rFonts w:ascii="Calibri" w:hAnsi="Calibri"/>
                <w:b/>
                <w:i w:val="0"/>
                <w:color w:val="FFFFFF"/>
                <w:sz w:val="21"/>
              </w:rPr>
              <w:t>Optimal Use Case</w:t>
            </w:r>
          </w:p>
        </w:tc>
      </w:tr>
      <w:tr>
        <w:tc>
          <w:tcPr>
            <w:tcW w:type="dxa" w:w="2592"/>
            <w:shd w:fill="FFFFFF"/>
            <w:tcMar>
              <w:top w:w="80" w:type="dxa"/>
              <w:bottom w:w="80" w:type="dxa"/>
              <w:left w:w="120" w:type="dxa"/>
              <w:right w:w="120" w:type="dxa"/>
            </w:tcMar>
          </w:tcPr>
          <w:p>
            <w:r>
              <w:rPr>
                <w:rFonts w:ascii="Calibri" w:hAnsi="Calibri"/>
                <w:b w:val="0"/>
                <w:i w:val="0"/>
                <w:color w:val="2D3748"/>
                <w:sz w:val="19"/>
              </w:rPr>
              <w:t>recursive_character</w:t>
              <w:br/>
              <w:t>(Default)</w:t>
            </w:r>
          </w:p>
        </w:tc>
        <w:tc>
          <w:tcPr>
            <w:tcW w:type="dxa" w:w="4032"/>
            <w:shd w:fill="FFFFFF"/>
            <w:tcMar>
              <w:top w:w="80" w:type="dxa"/>
              <w:bottom w:w="80" w:type="dxa"/>
              <w:left w:w="120" w:type="dxa"/>
              <w:right w:w="120" w:type="dxa"/>
            </w:tcMar>
          </w:tcPr>
          <w:p>
            <w:r>
              <w:rPr>
                <w:rFonts w:ascii="Calibri" w:hAnsi="Calibri"/>
                <w:b w:val="0"/>
                <w:i w:val="0"/>
                <w:color w:val="2D3748"/>
                <w:sz w:val="19"/>
              </w:rPr>
              <w:t>Splits hierarchically using standard delimiters: ['\n\n', '\n', '。', '.', '،', '؛', ' ', '']. Balances semantic cohesion with fixed character constraints.</w:t>
            </w:r>
          </w:p>
        </w:tc>
        <w:tc>
          <w:tcPr>
            <w:tcW w:type="dxa" w:w="2736"/>
            <w:shd w:fill="FFFFFF"/>
            <w:tcMar>
              <w:top w:w="80" w:type="dxa"/>
              <w:bottom w:w="80" w:type="dxa"/>
              <w:left w:w="120" w:type="dxa"/>
              <w:right w:w="120" w:type="dxa"/>
            </w:tcMar>
          </w:tcPr>
          <w:p>
            <w:r>
              <w:rPr>
                <w:rFonts w:ascii="Calibri" w:hAnsi="Calibri"/>
                <w:b w:val="0"/>
                <w:i w:val="0"/>
                <w:color w:val="2D3748"/>
                <w:sz w:val="19"/>
              </w:rPr>
              <w:t>General-purpose baseline; highly effective for narrative manuals and general administrative text.</w:t>
            </w:r>
          </w:p>
        </w:tc>
      </w:tr>
      <w:tr>
        <w:tc>
          <w:tcPr>
            <w:tcW w:type="dxa" w:w="2592"/>
            <w:shd w:fill="F8FAFC"/>
            <w:tcMar>
              <w:top w:w="80" w:type="dxa"/>
              <w:bottom w:w="80" w:type="dxa"/>
              <w:left w:w="120" w:type="dxa"/>
              <w:right w:w="120" w:type="dxa"/>
            </w:tcMar>
          </w:tcPr>
          <w:p>
            <w:r>
              <w:rPr>
                <w:rFonts w:ascii="Calibri" w:hAnsi="Calibri"/>
                <w:b w:val="0"/>
                <w:i w:val="0"/>
                <w:color w:val="2D3748"/>
                <w:sz w:val="19"/>
              </w:rPr>
              <w:t>arabic_paragraph</w:t>
            </w:r>
          </w:p>
        </w:tc>
        <w:tc>
          <w:tcPr>
            <w:tcW w:type="dxa" w:w="4032"/>
            <w:shd w:fill="F8FAFC"/>
            <w:tcMar>
              <w:top w:w="80" w:type="dxa"/>
              <w:bottom w:w="80" w:type="dxa"/>
              <w:left w:w="120" w:type="dxa"/>
              <w:right w:w="120" w:type="dxa"/>
            </w:tcMar>
          </w:tcPr>
          <w:p>
            <w:r>
              <w:rPr>
                <w:rFonts w:ascii="Calibri" w:hAnsi="Calibri"/>
                <w:b w:val="0"/>
                <w:i w:val="0"/>
                <w:color w:val="2D3748"/>
                <w:sz w:val="19"/>
              </w:rPr>
              <w:t>Uses specialized regular expressions: (?=\n?-\s?\d{1,2}\s)|(?=\n?\d{1,2}[\.\)]\s)|(?=\nأولاً)|(?=\nثانياً)|(?=\nثالثاً). Preserves Arabic numbered steps and procedural lists without fragmentation.</w:t>
            </w:r>
          </w:p>
        </w:tc>
        <w:tc>
          <w:tcPr>
            <w:tcW w:type="dxa" w:w="2736"/>
            <w:shd w:fill="F8FAFC"/>
            <w:tcMar>
              <w:top w:w="80" w:type="dxa"/>
              <w:bottom w:w="80" w:type="dxa"/>
              <w:left w:w="120" w:type="dxa"/>
              <w:right w:w="120" w:type="dxa"/>
            </w:tcMar>
          </w:tcPr>
          <w:p>
            <w:r>
              <w:rPr>
                <w:rFonts w:ascii="Calibri" w:hAnsi="Calibri"/>
                <w:b w:val="0"/>
                <w:i w:val="0"/>
                <w:color w:val="2D3748"/>
                <w:sz w:val="19"/>
              </w:rPr>
              <w:t>Procedural banking SOPs featuring step-by-step sequential workflows and numbered policy clauses.</w:t>
            </w:r>
          </w:p>
        </w:tc>
      </w:tr>
      <w:tr>
        <w:tc>
          <w:tcPr>
            <w:tcW w:type="dxa" w:w="2592"/>
            <w:shd w:fill="FFFFFF"/>
            <w:tcMar>
              <w:top w:w="80" w:type="dxa"/>
              <w:bottom w:w="80" w:type="dxa"/>
              <w:left w:w="120" w:type="dxa"/>
              <w:right w:w="120" w:type="dxa"/>
            </w:tcMar>
          </w:tcPr>
          <w:p>
            <w:r>
              <w:rPr>
                <w:rFonts w:ascii="Calibri" w:hAnsi="Calibri"/>
                <w:b w:val="0"/>
                <w:i w:val="0"/>
                <w:color w:val="2D3748"/>
                <w:sz w:val="19"/>
              </w:rPr>
              <w:t>markdown_heading</w:t>
            </w:r>
          </w:p>
        </w:tc>
        <w:tc>
          <w:tcPr>
            <w:tcW w:type="dxa" w:w="4032"/>
            <w:shd w:fill="FFFFFF"/>
            <w:tcMar>
              <w:top w:w="80" w:type="dxa"/>
              <w:bottom w:w="80" w:type="dxa"/>
              <w:left w:w="120" w:type="dxa"/>
              <w:right w:w="120" w:type="dxa"/>
            </w:tcMar>
          </w:tcPr>
          <w:p>
            <w:r>
              <w:rPr>
                <w:rFonts w:ascii="Calibri" w:hAnsi="Calibri"/>
                <w:b w:val="0"/>
                <w:i w:val="0"/>
                <w:color w:val="2D3748"/>
                <w:sz w:val="19"/>
              </w:rPr>
              <w:t>Detects document section headers matching ^\s*\.?\d{1,2}[\.\)]?\s+\S, grouping all sub-clauses under the active section title before applying size capping.</w:t>
            </w:r>
          </w:p>
        </w:tc>
        <w:tc>
          <w:tcPr>
            <w:tcW w:type="dxa" w:w="2736"/>
            <w:shd w:fill="FFFFFF"/>
            <w:tcMar>
              <w:top w:w="80" w:type="dxa"/>
              <w:bottom w:w="80" w:type="dxa"/>
              <w:left w:w="120" w:type="dxa"/>
              <w:right w:w="120" w:type="dxa"/>
            </w:tcMar>
          </w:tcPr>
          <w:p>
            <w:r>
              <w:rPr>
                <w:rFonts w:ascii="Calibri" w:hAnsi="Calibri"/>
                <w:b w:val="0"/>
                <w:i w:val="0"/>
                <w:color w:val="2D3748"/>
                <w:sz w:val="19"/>
              </w:rPr>
              <w:t>Hierarchical policy manuals structured into distinct chapters, major articles, and titled subsections.</w:t>
            </w:r>
          </w:p>
        </w:tc>
      </w:tr>
      <w:tr>
        <w:tc>
          <w:tcPr>
            <w:tcW w:type="dxa" w:w="2592"/>
            <w:shd w:fill="F8FAFC"/>
            <w:tcMar>
              <w:top w:w="80" w:type="dxa"/>
              <w:bottom w:w="80" w:type="dxa"/>
              <w:left w:w="120" w:type="dxa"/>
              <w:right w:w="120" w:type="dxa"/>
            </w:tcMar>
          </w:tcPr>
          <w:p>
            <w:r>
              <w:rPr>
                <w:rFonts w:ascii="Calibri" w:hAnsi="Calibri"/>
                <w:b w:val="0"/>
                <w:i w:val="0"/>
                <w:color w:val="2D3748"/>
                <w:sz w:val="19"/>
              </w:rPr>
              <w:t>token_based</w:t>
            </w:r>
          </w:p>
        </w:tc>
        <w:tc>
          <w:tcPr>
            <w:tcW w:type="dxa" w:w="4032"/>
            <w:shd w:fill="F8FAFC"/>
            <w:tcMar>
              <w:top w:w="80" w:type="dxa"/>
              <w:bottom w:w="80" w:type="dxa"/>
              <w:left w:w="120" w:type="dxa"/>
              <w:right w:w="120" w:type="dxa"/>
            </w:tcMar>
          </w:tcPr>
          <w:p>
            <w:r>
              <w:rPr>
                <w:rFonts w:ascii="Calibri" w:hAnsi="Calibri"/>
                <w:b w:val="0"/>
                <w:i w:val="0"/>
                <w:color w:val="2D3748"/>
                <w:sz w:val="19"/>
              </w:rPr>
              <w:t>Segments text by OpenAI tiktoken token count (~1/4 character ratio), directly matching the token budgeting constraints of downstream LLMs.</w:t>
            </w:r>
          </w:p>
        </w:tc>
        <w:tc>
          <w:tcPr>
            <w:tcW w:type="dxa" w:w="2736"/>
            <w:shd w:fill="F8FAFC"/>
            <w:tcMar>
              <w:top w:w="80" w:type="dxa"/>
              <w:bottom w:w="80" w:type="dxa"/>
              <w:left w:w="120" w:type="dxa"/>
              <w:right w:w="120" w:type="dxa"/>
            </w:tcMar>
          </w:tcPr>
          <w:p>
            <w:r>
              <w:rPr>
                <w:rFonts w:ascii="Calibri" w:hAnsi="Calibri"/>
                <w:b w:val="0"/>
                <w:i w:val="0"/>
                <w:color w:val="2D3748"/>
                <w:sz w:val="19"/>
              </w:rPr>
              <w:t>Strict LLM token management; ideal when deploying on models with constrained context windows.</w:t>
            </w:r>
          </w:p>
        </w:tc>
      </w:tr>
      <w:tr>
        <w:tc>
          <w:tcPr>
            <w:tcW w:type="dxa" w:w="2592"/>
            <w:shd w:fill="FFFFFF"/>
            <w:tcMar>
              <w:top w:w="80" w:type="dxa"/>
              <w:bottom w:w="80" w:type="dxa"/>
              <w:left w:w="120" w:type="dxa"/>
              <w:right w:w="120" w:type="dxa"/>
            </w:tcMar>
          </w:tcPr>
          <w:p>
            <w:r>
              <w:rPr>
                <w:rFonts w:ascii="Calibri" w:hAnsi="Calibri"/>
                <w:b w:val="0"/>
                <w:i w:val="0"/>
                <w:color w:val="2D3748"/>
                <w:sz w:val="19"/>
              </w:rPr>
              <w:t>character</w:t>
            </w:r>
          </w:p>
        </w:tc>
        <w:tc>
          <w:tcPr>
            <w:tcW w:type="dxa" w:w="4032"/>
            <w:shd w:fill="FFFFFF"/>
            <w:tcMar>
              <w:top w:w="80" w:type="dxa"/>
              <w:bottom w:w="80" w:type="dxa"/>
              <w:left w:w="120" w:type="dxa"/>
              <w:right w:w="120" w:type="dxa"/>
            </w:tcMar>
          </w:tcPr>
          <w:p>
            <w:r>
              <w:rPr>
                <w:rFonts w:ascii="Calibri" w:hAnsi="Calibri"/>
                <w:b w:val="0"/>
                <w:i w:val="0"/>
                <w:color w:val="2D3748"/>
                <w:sz w:val="19"/>
              </w:rPr>
              <w:t>Fixed-size character window sliding strictly across newline '\n' boundaries.</w:t>
            </w:r>
          </w:p>
        </w:tc>
        <w:tc>
          <w:tcPr>
            <w:tcW w:type="dxa" w:w="2736"/>
            <w:shd w:fill="FFFFFF"/>
            <w:tcMar>
              <w:top w:w="80" w:type="dxa"/>
              <w:bottom w:w="80" w:type="dxa"/>
              <w:left w:w="120" w:type="dxa"/>
              <w:right w:w="120" w:type="dxa"/>
            </w:tcMar>
          </w:tcPr>
          <w:p>
            <w:r>
              <w:rPr>
                <w:rFonts w:ascii="Calibri" w:hAnsi="Calibri"/>
                <w:b w:val="0"/>
                <w:i w:val="0"/>
                <w:color w:val="2D3748"/>
                <w:sz w:val="19"/>
              </w:rPr>
              <w:t>Simple, high-throughput baseline for comparative benchmarking.</w:t>
            </w:r>
          </w:p>
        </w:tc>
      </w:tr>
    </w:tbl>
    <w:p>
      <w:pPr>
        <w:keepNext/>
        <w:spacing w:before="360" w:after="120"/>
      </w:pPr>
      <w:r>
        <w:rPr>
          <w:rFonts w:ascii="Calibri" w:hAnsi="Calibri"/>
          <w:b/>
          <w:i w:val="0"/>
          <w:color w:val="1A365D"/>
          <w:sz w:val="36"/>
        </w:rPr>
        <w:t>4. Vector Embedding &amp; Storage Engine</w:t>
      </w:r>
    </w:p>
    <w:p>
      <w:pPr>
        <w:spacing w:before="0" w:after="120" w:line="276" w:lineRule="auto"/>
      </w:pPr>
      <w:r>
        <w:rPr>
          <w:rFonts w:ascii="Calibri" w:hAnsi="Calibri"/>
          <w:b w:val="0"/>
          <w:i w:val="0"/>
          <w:color w:val="2D3748"/>
          <w:sz w:val="22"/>
        </w:rPr>
        <w:t>The embedding and storage layer is responsible for translating segmented text chunks into dense mathematical vectors that capture cross-lingual semantic relationships.</w:t>
      </w:r>
    </w:p>
    <w:p>
      <w:pPr>
        <w:keepNext/>
        <w:spacing w:before="280" w:after="80"/>
      </w:pPr>
      <w:r>
        <w:rPr>
          <w:rFonts w:ascii="Calibri" w:hAnsi="Calibri"/>
          <w:b/>
          <w:i w:val="0"/>
          <w:color w:val="2B6CB0"/>
          <w:sz w:val="28"/>
        </w:rPr>
        <w:t>4.1 BAAI/bge-m3 Dense Embedding Model</w:t>
      </w:r>
    </w:p>
    <w:p>
      <w:pPr>
        <w:spacing w:before="0" w:after="120" w:line="276" w:lineRule="auto"/>
      </w:pPr>
      <w:r>
        <w:rPr>
          <w:rFonts w:ascii="Calibri" w:hAnsi="Calibri"/>
          <w:b w:val="0"/>
          <w:i w:val="0"/>
          <w:color w:val="2D3748"/>
          <w:sz w:val="22"/>
        </w:rPr>
        <w:t>The system incorporates BAAI/bge-m3 (Beijing Academy of Artificial Intelligence), a state-of-the-art multilingual embedding model with native support for over 100 languages, including Arabic. Key characteristics include:</w:t>
      </w:r>
    </w:p>
    <w:p>
      <w:pPr>
        <w:pStyle w:val="ListBullet"/>
        <w:spacing w:before="0" w:after="60" w:line="276" w:lineRule="auto"/>
      </w:pPr>
      <w:r>
        <w:rPr>
          <w:rFonts w:ascii="Calibri" w:hAnsi="Calibri"/>
          <w:b/>
          <w:i w:val="0"/>
          <w:color w:val="2D3748"/>
          <w:sz w:val="22"/>
        </w:rPr>
        <w:t xml:space="preserve">Embedding Dimensionality: </w:t>
      </w:r>
      <w:r>
        <w:rPr>
          <w:rFonts w:ascii="Calibri" w:hAnsi="Calibri"/>
          <w:b w:val="0"/>
          <w:i w:val="0"/>
          <w:color w:val="2D3748"/>
          <w:sz w:val="22"/>
        </w:rPr>
        <w:t>Outputs a 1024-dimensional normalized dense vector representation for every text chunk.</w:t>
      </w:r>
    </w:p>
    <w:p>
      <w:pPr>
        <w:pStyle w:val="ListBullet"/>
        <w:spacing w:before="0" w:after="60" w:line="276" w:lineRule="auto"/>
      </w:pPr>
      <w:r>
        <w:rPr>
          <w:rFonts w:ascii="Calibri" w:hAnsi="Calibri"/>
          <w:b/>
          <w:i w:val="0"/>
          <w:color w:val="2D3748"/>
          <w:sz w:val="22"/>
        </w:rPr>
        <w:t xml:space="preserve">Cross-Lingual Alignment: </w:t>
      </w:r>
      <w:r>
        <w:rPr>
          <w:rFonts w:ascii="Calibri" w:hAnsi="Calibri"/>
          <w:b w:val="0"/>
          <w:i w:val="0"/>
          <w:color w:val="2D3748"/>
          <w:sz w:val="22"/>
        </w:rPr>
        <w:t>Enables semantic alignment between English query vectors and Arabic passage vectors in the same latent space.</w:t>
      </w:r>
    </w:p>
    <w:p>
      <w:pPr>
        <w:pStyle w:val="ListBullet"/>
        <w:spacing w:before="0" w:after="60" w:line="276" w:lineRule="auto"/>
      </w:pPr>
      <w:r>
        <w:rPr>
          <w:rFonts w:ascii="Calibri" w:hAnsi="Calibri"/>
          <w:b/>
          <w:i w:val="0"/>
          <w:color w:val="2D3748"/>
          <w:sz w:val="22"/>
        </w:rPr>
        <w:t xml:space="preserve">Local &amp; Offline Execution: </w:t>
      </w:r>
      <w:r>
        <w:rPr>
          <w:rFonts w:ascii="Calibri" w:hAnsi="Calibri"/>
          <w:b w:val="0"/>
          <w:i w:val="0"/>
          <w:color w:val="2D3748"/>
          <w:sz w:val="22"/>
        </w:rPr>
        <w:t>Runs completely locally on premises via sentence-transformers, guaranteeing data privacy and banking compliance without sending raw documents to third-party embedding APIs.</w:t>
      </w:r>
    </w:p>
    <w:p>
      <w:pPr>
        <w:keepNext/>
        <w:spacing w:before="280" w:after="80"/>
      </w:pPr>
      <w:r>
        <w:rPr>
          <w:rFonts w:ascii="Calibri" w:hAnsi="Calibri"/>
          <w:b/>
          <w:i w:val="0"/>
          <w:color w:val="2B6CB0"/>
          <w:sz w:val="28"/>
        </w:rPr>
        <w:t>4.2 GPU Acceleration &amp; VRAM Optimization (CUDA)</w:t>
      </w:r>
    </w:p>
    <w:p>
      <w:pPr>
        <w:spacing w:before="0" w:after="120" w:line="276" w:lineRule="auto"/>
      </w:pPr>
      <w:r>
        <w:rPr>
          <w:rFonts w:ascii="Calibri" w:hAnsi="Calibri"/>
          <w:b w:val="0"/>
          <w:i w:val="0"/>
          <w:color w:val="2D3748"/>
          <w:sz w:val="22"/>
        </w:rPr>
        <w:t>To enable rapid ingestion on enterprise workstations and laptops equipped with mid-range GPUs (e.g. NVIDIA RTX 3050/4060 with 4GB VRAM), the vectorstore writer implements memory-safe batching:</w:t>
      </w:r>
    </w:p>
    <w:p>
      <w:pPr>
        <w:pStyle w:val="ListBullet"/>
        <w:spacing w:before="0" w:after="60" w:line="276" w:lineRule="auto"/>
      </w:pPr>
      <w:r>
        <w:rPr>
          <w:rFonts w:ascii="Calibri" w:hAnsi="Calibri"/>
          <w:b/>
          <w:i w:val="0"/>
          <w:color w:val="2D3748"/>
          <w:sz w:val="22"/>
        </w:rPr>
        <w:t xml:space="preserve">Micro-Batching (batch_size = 4): </w:t>
      </w:r>
      <w:r>
        <w:rPr>
          <w:rFonts w:ascii="Calibri" w:hAnsi="Calibri"/>
          <w:b w:val="0"/>
          <w:i w:val="0"/>
          <w:color w:val="2D3748"/>
          <w:sz w:val="22"/>
        </w:rPr>
        <w:t>Chunks are embedded and written in batches of 4, keeping peak GPU memory allocation below 3.2 GB.</w:t>
      </w:r>
    </w:p>
    <w:p>
      <w:pPr>
        <w:pStyle w:val="ListBullet"/>
        <w:spacing w:before="0" w:after="60" w:line="276" w:lineRule="auto"/>
      </w:pPr>
      <w:r>
        <w:rPr>
          <w:rFonts w:ascii="Calibri" w:hAnsi="Calibri"/>
          <w:b/>
          <w:i w:val="0"/>
          <w:color w:val="2D3748"/>
          <w:sz w:val="22"/>
        </w:rPr>
        <w:t xml:space="preserve">Periodic CUDA Cache Eviction: </w:t>
      </w:r>
      <w:r>
        <w:rPr>
          <w:rFonts w:ascii="Calibri" w:hAnsi="Calibri"/>
          <w:b w:val="0"/>
          <w:i w:val="0"/>
          <w:color w:val="2D3748"/>
          <w:sz w:val="22"/>
        </w:rPr>
        <w:t>Every 20 chunks, the engine triggers torch.cuda.empty_cache(), preventing fragmentation and Out-Of-Memory (OOM) fatal errors during large ingestion runs.</w:t>
      </w:r>
    </w:p>
    <w:p>
      <w:pPr>
        <w:pStyle w:val="ListBullet"/>
        <w:spacing w:before="0" w:after="60" w:line="276" w:lineRule="auto"/>
      </w:pPr>
      <w:r>
        <w:rPr>
          <w:rFonts w:ascii="Calibri" w:hAnsi="Calibri"/>
          <w:b/>
          <w:i w:val="0"/>
          <w:color w:val="2D3748"/>
          <w:sz w:val="22"/>
        </w:rPr>
        <w:t xml:space="preserve">Singleton LRU Caching: </w:t>
      </w:r>
      <w:r>
        <w:rPr>
          <w:rFonts w:ascii="Calibri" w:hAnsi="Calibri"/>
          <w:b w:val="0"/>
          <w:i w:val="0"/>
          <w:color w:val="2D3748"/>
          <w:sz w:val="22"/>
        </w:rPr>
        <w:t>The embedding model weights are loaded once via @lru_cache(maxsize=1) and shared across all ingestion and retrieval calls.</w:t>
      </w:r>
    </w:p>
    <w:p>
      <w:pPr>
        <w:keepNext/>
        <w:spacing w:before="280" w:after="80"/>
      </w:pPr>
      <w:r>
        <w:rPr>
          <w:rFonts w:ascii="Calibri" w:hAnsi="Calibri"/>
          <w:b/>
          <w:i w:val="0"/>
          <w:color w:val="2B6CB0"/>
          <w:sz w:val="28"/>
        </w:rPr>
        <w:t>4.3 ChromaDB Vector Store &amp; Metadata Schema</w:t>
      </w:r>
    </w:p>
    <w:p>
      <w:pPr>
        <w:spacing w:before="0" w:after="120" w:line="276" w:lineRule="auto"/>
      </w:pPr>
      <w:r>
        <w:rPr>
          <w:rFonts w:ascii="Calibri" w:hAnsi="Calibri"/>
          <w:b w:val="0"/>
          <w:i w:val="0"/>
          <w:color w:val="2D3748"/>
          <w:sz w:val="22"/>
        </w:rPr>
        <w:t>Vectors are persisted on disk using ChromaDB (vectorstore/chroma_db). Every chunk record contains rich metadata:</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2" w:space="0" w:color="CBD5E0"/>
              <w:top w:val="single" w:sz="4" w:space="0" w:color="E2E8F0"/>
              <w:right w:val="single" w:sz="4" w:space="0" w:color="E2E8F0"/>
              <w:bottom w:val="single" w:sz="4" w:space="0" w:color="E2E8F0"/>
            </w:tcBorders>
          </w:tcPr>
          <w:p>
            <w:pPr>
              <w:spacing w:before="40" w:after="40" w:line="252" w:lineRule="auto"/>
            </w:pPr>
            <w:r>
              <w:rPr>
                <w:rFonts w:ascii="Consolas" w:hAnsi="Consolas"/>
                <w:b w:val="0"/>
                <w:i w:val="0"/>
                <w:color w:val="1E293B"/>
                <w:sz w:val="19"/>
              </w:rPr>
              <w:t>Document(</w:t>
              <w:br/>
              <w:t xml:space="preserve">    page_content="1. يقوم موظف الأرشيف باستلام ملفات التسهيلات الائتمانية وتدقيق محتوياتها...",</w:t>
              <w:br/>
              <w:t xml:space="preserve">    metadata={</w:t>
              <w:br/>
              <w:t xml:space="preserve">        "source": "Central Mail and Files Unit Procedures Manual.pdf",</w:t>
              <w:br/>
              <w:t xml:space="preserve">        "page": 4,</w:t>
              <w:br/>
              <w:t xml:space="preserve">        "extraction_method": "native",   # 'native' or 'ocr'</w:t>
              <w:br/>
              <w:t xml:space="preserve">        "chunk_strategy": "arabic_paragraph",</w:t>
              <w:br/>
              <w:t xml:space="preserve">        "chunk_index": 12</w:t>
              <w:br/>
              <w:t xml:space="preserve">    }</w:t>
              <w:br/>
              <w:t>)</w:t>
            </w:r>
          </w:p>
        </w:tc>
      </w:tr>
    </w:tbl>
    <w:p>
      <w:pPr>
        <w:spacing w:before="0" w:after="80"/>
      </w:pPr>
    </w:p>
    <w:p>
      <w:pPr>
        <w:keepNext/>
        <w:spacing w:before="360" w:after="120"/>
      </w:pPr>
      <w:r>
        <w:rPr>
          <w:rFonts w:ascii="Calibri" w:hAnsi="Calibri"/>
          <w:b/>
          <w:i w:val="0"/>
          <w:color w:val="1A365D"/>
          <w:sz w:val="36"/>
        </w:rPr>
        <w:t>5. Hybrid Retrieval &amp; Search Subsystem</w:t>
      </w:r>
    </w:p>
    <w:p>
      <w:pPr>
        <w:spacing w:before="0" w:after="120" w:line="276" w:lineRule="auto"/>
      </w:pPr>
      <w:r>
        <w:rPr>
          <w:rFonts w:ascii="Calibri" w:hAnsi="Calibri"/>
          <w:b w:val="0"/>
          <w:i w:val="0"/>
          <w:color w:val="2D3748"/>
          <w:sz w:val="22"/>
        </w:rPr>
        <w:t>The retrieval subsystem (retrieval/retriever.py) mediates between incoming user queries and the vectorized corpus. Banking manuals frequently contain repetitive administrative headers, footers, and standard sign-off boilerplate. To maximize answer precision, the retriever provides two distinct search algorithms:</w:t>
      </w:r>
    </w:p>
    <w:p>
      <w:pPr>
        <w:keepNext/>
        <w:spacing w:before="280" w:after="80"/>
      </w:pPr>
      <w:r>
        <w:rPr>
          <w:rFonts w:ascii="Calibri" w:hAnsi="Calibri"/>
          <w:b/>
          <w:i w:val="0"/>
          <w:color w:val="2B6CB0"/>
          <w:sz w:val="28"/>
        </w:rPr>
        <w:t>5.1 Cosine Similarity vs. Maximal Marginal Relevance (MMR)</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120"/>
        <w:gridCol w:w="3120"/>
        <w:gridCol w:w="3120"/>
      </w:tblGrid>
      <w:tr>
        <w:tc>
          <w:tcPr>
            <w:tcW w:type="dxa" w:w="3120"/>
            <w:shd w:fill="1A365D"/>
            <w:tcMar>
              <w:top w:w="100" w:type="dxa"/>
              <w:bottom w:w="100" w:type="dxa"/>
              <w:left w:w="120" w:type="dxa"/>
              <w:right w:w="120" w:type="dxa"/>
            </w:tcMar>
          </w:tcPr>
          <w:p>
            <w:r>
              <w:rPr>
                <w:rFonts w:ascii="Calibri" w:hAnsi="Calibri"/>
                <w:b/>
                <w:i w:val="0"/>
                <w:color w:val="FFFFFF"/>
                <w:sz w:val="21"/>
              </w:rPr>
              <w:t>Algorithm</w:t>
            </w:r>
          </w:p>
        </w:tc>
        <w:tc>
          <w:tcPr>
            <w:tcW w:type="dxa" w:w="3120"/>
            <w:shd w:fill="1A365D"/>
            <w:tcMar>
              <w:top w:w="100" w:type="dxa"/>
              <w:bottom w:w="100" w:type="dxa"/>
              <w:left w:w="120" w:type="dxa"/>
              <w:right w:w="120" w:type="dxa"/>
            </w:tcMar>
          </w:tcPr>
          <w:p>
            <w:r>
              <w:rPr>
                <w:rFonts w:ascii="Calibri" w:hAnsi="Calibri"/>
                <w:b/>
                <w:i w:val="0"/>
                <w:color w:val="FFFFFF"/>
                <w:sz w:val="21"/>
              </w:rPr>
              <w:t>Mathematical Formulation / Logic</w:t>
            </w:r>
          </w:p>
        </w:tc>
        <w:tc>
          <w:tcPr>
            <w:tcW w:type="dxa" w:w="3120"/>
            <w:shd w:fill="1A365D"/>
            <w:tcMar>
              <w:top w:w="100" w:type="dxa"/>
              <w:bottom w:w="100" w:type="dxa"/>
              <w:left w:w="120" w:type="dxa"/>
              <w:right w:w="120" w:type="dxa"/>
            </w:tcMar>
          </w:tcPr>
          <w:p>
            <w:r>
              <w:rPr>
                <w:rFonts w:ascii="Calibri" w:hAnsi="Calibri"/>
                <w:b/>
                <w:i w:val="0"/>
                <w:color w:val="FFFFFF"/>
                <w:sz w:val="21"/>
              </w:rPr>
              <w:t>Behavior in Banking Context</w:t>
            </w:r>
          </w:p>
        </w:tc>
      </w:tr>
      <w:tr>
        <w:tc>
          <w:tcPr>
            <w:tcW w:type="dxa" w:w="2880"/>
            <w:shd w:fill="FFFFFF"/>
            <w:tcMar>
              <w:top w:w="80" w:type="dxa"/>
              <w:bottom w:w="80" w:type="dxa"/>
              <w:left w:w="120" w:type="dxa"/>
              <w:right w:w="120" w:type="dxa"/>
            </w:tcMar>
          </w:tcPr>
          <w:p>
            <w:r>
              <w:rPr>
                <w:rFonts w:ascii="Calibri" w:hAnsi="Calibri"/>
                <w:b w:val="0"/>
                <w:i w:val="0"/>
                <w:color w:val="2D3748"/>
                <w:sz w:val="19"/>
              </w:rPr>
              <w:t>Cosine Similarity</w:t>
              <w:br/>
              <w:t>(search_type='similarity')</w:t>
            </w:r>
          </w:p>
        </w:tc>
        <w:tc>
          <w:tcPr>
            <w:tcW w:type="dxa" w:w="3744"/>
            <w:shd w:fill="FFFFFF"/>
            <w:tcMar>
              <w:top w:w="80" w:type="dxa"/>
              <w:bottom w:w="80" w:type="dxa"/>
              <w:left w:w="120" w:type="dxa"/>
              <w:right w:w="120" w:type="dxa"/>
            </w:tcMar>
          </w:tcPr>
          <w:p>
            <w:r>
              <w:rPr>
                <w:rFonts w:ascii="Calibri" w:hAnsi="Calibri"/>
                <w:b w:val="0"/>
                <w:i w:val="0"/>
                <w:color w:val="2D3748"/>
                <w:sz w:val="19"/>
              </w:rPr>
              <w:t>Sim(q, d) = (q · d) / (||q|| * ||d||)</w:t>
              <w:br/>
              <w:t>Returns the top-K chunks with highest dot-product cosine similarity to the query vector.</w:t>
            </w:r>
          </w:p>
        </w:tc>
        <w:tc>
          <w:tcPr>
            <w:tcW w:type="dxa" w:w="2736"/>
            <w:shd w:fill="FFFFFF"/>
            <w:tcMar>
              <w:top w:w="80" w:type="dxa"/>
              <w:bottom w:w="80" w:type="dxa"/>
              <w:left w:w="120" w:type="dxa"/>
              <w:right w:w="120" w:type="dxa"/>
            </w:tcMar>
          </w:tcPr>
          <w:p>
            <w:r>
              <w:rPr>
                <w:rFonts w:ascii="Calibri" w:hAnsi="Calibri"/>
                <w:b w:val="0"/>
                <w:i w:val="0"/>
                <w:color w:val="2D3748"/>
                <w:sz w:val="19"/>
              </w:rPr>
              <w:t>Highly effective when seeking exact phrasing or narrow terminology. Can occasionally return duplicate chunks from identical headers.</w:t>
            </w:r>
          </w:p>
        </w:tc>
      </w:tr>
      <w:tr>
        <w:tc>
          <w:tcPr>
            <w:tcW w:type="dxa" w:w="2880"/>
            <w:shd w:fill="F8FAFC"/>
            <w:tcMar>
              <w:top w:w="80" w:type="dxa"/>
              <w:bottom w:w="80" w:type="dxa"/>
              <w:left w:w="120" w:type="dxa"/>
              <w:right w:w="120" w:type="dxa"/>
            </w:tcMar>
          </w:tcPr>
          <w:p>
            <w:r>
              <w:rPr>
                <w:rFonts w:ascii="Calibri" w:hAnsi="Calibri"/>
                <w:b w:val="0"/>
                <w:i w:val="0"/>
                <w:color w:val="2D3748"/>
                <w:sz w:val="19"/>
              </w:rPr>
              <w:t>Maximal Marginal Relevance</w:t>
              <w:br/>
              <w:t>(search_type='mmr')</w:t>
              <w:br/>
              <w:t>[Default]</w:t>
            </w:r>
          </w:p>
        </w:tc>
        <w:tc>
          <w:tcPr>
            <w:tcW w:type="dxa" w:w="3744"/>
            <w:shd w:fill="F8FAFC"/>
            <w:tcMar>
              <w:top w:w="80" w:type="dxa"/>
              <w:bottom w:w="80" w:type="dxa"/>
              <w:left w:w="120" w:type="dxa"/>
              <w:right w:w="120" w:type="dxa"/>
            </w:tcMar>
          </w:tcPr>
          <w:p>
            <w:r>
              <w:rPr>
                <w:rFonts w:ascii="Calibri" w:hAnsi="Calibri"/>
                <w:b w:val="0"/>
                <w:i w:val="0"/>
                <w:color w:val="2D3748"/>
                <w:sz w:val="19"/>
              </w:rPr>
              <w:t>MMR = Argmax [ lambda * Sim(q, d_i) - (1 - lambda) * Max Sim(d_i, d_j) ]</w:t>
              <w:br/>
              <w:t>Fetches fetch_k=max(top_k*4, 20) candidates and iteratively selects candidates that balance query relevance with diversity (lambda_mult=0.5).</w:t>
            </w:r>
          </w:p>
        </w:tc>
        <w:tc>
          <w:tcPr>
            <w:tcW w:type="dxa" w:w="2736"/>
            <w:shd w:fill="F8FAFC"/>
            <w:tcMar>
              <w:top w:w="80" w:type="dxa"/>
              <w:bottom w:w="80" w:type="dxa"/>
              <w:left w:w="120" w:type="dxa"/>
              <w:right w:w="120" w:type="dxa"/>
            </w:tcMar>
          </w:tcPr>
          <w:p>
            <w:r>
              <w:rPr>
                <w:rFonts w:ascii="Calibri" w:hAnsi="Calibri"/>
                <w:b w:val="0"/>
                <w:i w:val="0"/>
                <w:color w:val="2D3748"/>
                <w:sz w:val="19"/>
              </w:rPr>
              <w:t>Significantly reduces redundancy, ensuring retrieved chunks represent diverse chapters or distinct steps of a multi-stage procedure.</w:t>
            </w:r>
          </w:p>
        </w:tc>
      </w:tr>
    </w:tbl>
    <w:p>
      <w:pPr>
        <w:keepNext/>
        <w:spacing w:before="280" w:after="80"/>
      </w:pPr>
      <w:r>
        <w:rPr>
          <w:rFonts w:ascii="Calibri" w:hAnsi="Calibri"/>
          <w:b/>
          <w:i w:val="0"/>
          <w:color w:val="2B6CB0"/>
          <w:sz w:val="28"/>
        </w:rPr>
        <w:t>5.2 Metadata Filtering</w:t>
      </w:r>
    </w:p>
    <w:p>
      <w:pPr>
        <w:spacing w:before="0" w:after="120" w:line="276" w:lineRule="auto"/>
      </w:pPr>
      <w:r>
        <w:rPr>
          <w:rFonts w:ascii="Calibri" w:hAnsi="Calibri"/>
          <w:b w:val="0"/>
          <w:i w:val="0"/>
          <w:color w:val="2D3748"/>
          <w:sz w:val="22"/>
        </w:rPr>
        <w:t>The retriever supports hard metadata scoping (source_filter='filename.pdf'). When an auditor or employee wishes to restrict their query strictly to a specific department (e.g. Central Alarm only), ChromaDB filters the search index prior to distance calculation.</w:t>
      </w:r>
    </w:p>
    <w:p>
      <w:pPr>
        <w:keepNext/>
        <w:spacing w:before="360" w:after="120"/>
      </w:pPr>
      <w:r>
        <w:rPr>
          <w:rFonts w:ascii="Calibri" w:hAnsi="Calibri"/>
          <w:b/>
          <w:i w:val="0"/>
          <w:color w:val="1A365D"/>
          <w:sz w:val="36"/>
        </w:rPr>
        <w:t>6. Generation &amp; LLM Orchestration Engine</w:t>
      </w:r>
    </w:p>
    <w:p>
      <w:pPr>
        <w:spacing w:before="0" w:after="120" w:line="276" w:lineRule="auto"/>
      </w:pPr>
      <w:r>
        <w:rPr>
          <w:rFonts w:ascii="Calibri" w:hAnsi="Calibri"/>
          <w:b w:val="0"/>
          <w:i w:val="0"/>
          <w:color w:val="2D3748"/>
          <w:sz w:val="22"/>
        </w:rPr>
        <w:t>The generation layer (generation/generator.py) converts retrieved context chunks and user questions into structured, bilingual answers using Groq Cloud's ultra-low latency LPU (Language Processing Unit) infrastructure.</w:t>
      </w:r>
    </w:p>
    <w:p>
      <w:pPr>
        <w:keepNext/>
        <w:spacing w:before="280" w:after="80"/>
      </w:pPr>
      <w:r>
        <w:rPr>
          <w:rFonts w:ascii="Calibri" w:hAnsi="Calibri"/>
          <w:b/>
          <w:i w:val="0"/>
          <w:color w:val="2B6CB0"/>
          <w:sz w:val="28"/>
        </w:rPr>
        <w:t>6.1 Supported LLM Architectures</w:t>
      </w:r>
    </w:p>
    <w:p>
      <w:pPr>
        <w:pStyle w:val="ListBullet"/>
        <w:spacing w:before="0" w:after="60" w:line="276" w:lineRule="auto"/>
      </w:pPr>
      <w:r>
        <w:rPr>
          <w:rFonts w:ascii="Calibri" w:hAnsi="Calibri"/>
          <w:b/>
          <w:i w:val="0"/>
          <w:color w:val="2D3748"/>
          <w:sz w:val="22"/>
        </w:rPr>
        <w:t xml:space="preserve">Qwen 3.8 27B (qwen/qwen3.8-27b) [Default]: </w:t>
      </w:r>
      <w:r>
        <w:rPr>
          <w:rFonts w:ascii="Calibri" w:hAnsi="Calibri"/>
          <w:b w:val="0"/>
          <w:i w:val="0"/>
          <w:color w:val="2D3748"/>
          <w:sz w:val="22"/>
        </w:rPr>
        <w:t>Exceptional multilingual reasoning with deep Arabic fluency and strict instruction following.</w:t>
      </w:r>
    </w:p>
    <w:p>
      <w:pPr>
        <w:pStyle w:val="ListBullet"/>
        <w:spacing w:before="0" w:after="60" w:line="276" w:lineRule="auto"/>
      </w:pPr>
      <w:r>
        <w:rPr>
          <w:rFonts w:ascii="Calibri" w:hAnsi="Calibri"/>
          <w:b/>
          <w:i w:val="0"/>
          <w:color w:val="2D3748"/>
          <w:sz w:val="22"/>
        </w:rPr>
        <w:t xml:space="preserve">ALLaM 2 7B (allam-2-7b): </w:t>
      </w:r>
      <w:r>
        <w:rPr>
          <w:rFonts w:ascii="Calibri" w:hAnsi="Calibri"/>
          <w:b w:val="0"/>
          <w:i w:val="0"/>
          <w:color w:val="2D3748"/>
          <w:sz w:val="22"/>
        </w:rPr>
        <w:t>Sovereign Arabic foundation model, natively optimized for Arabic dialect and regulatory terminology.</w:t>
      </w:r>
    </w:p>
    <w:p>
      <w:pPr>
        <w:pStyle w:val="ListBullet"/>
        <w:spacing w:before="0" w:after="60" w:line="276" w:lineRule="auto"/>
      </w:pPr>
      <w:r>
        <w:rPr>
          <w:rFonts w:ascii="Calibri" w:hAnsi="Calibri"/>
          <w:b/>
          <w:i w:val="0"/>
          <w:color w:val="2D3748"/>
          <w:sz w:val="22"/>
        </w:rPr>
        <w:t xml:space="preserve">GPT-OSS 20B / 120B (openai/gpt-oss-20b, openai/gpt-oss-120b): </w:t>
      </w:r>
      <w:r>
        <w:rPr>
          <w:rFonts w:ascii="Calibri" w:hAnsi="Calibri"/>
          <w:b w:val="0"/>
          <w:i w:val="0"/>
          <w:color w:val="2D3748"/>
          <w:sz w:val="22"/>
        </w:rPr>
        <w:t>Open-source generalist reasoning models for complex policy synthesis.</w:t>
      </w:r>
    </w:p>
    <w:p>
      <w:pPr>
        <w:keepNext/>
        <w:spacing w:before="280" w:after="80"/>
      </w:pPr>
      <w:r>
        <w:rPr>
          <w:rFonts w:ascii="Calibri" w:hAnsi="Calibri"/>
          <w:b/>
          <w:i w:val="0"/>
          <w:color w:val="2B6CB0"/>
          <w:sz w:val="28"/>
        </w:rPr>
        <w:t>6.2 Prompt Engineering &amp; Grounding Constraints</w:t>
      </w:r>
    </w:p>
    <w:p>
      <w:pPr>
        <w:spacing w:before="0" w:after="120" w:line="276" w:lineRule="auto"/>
      </w:pPr>
      <w:r>
        <w:rPr>
          <w:rFonts w:ascii="Calibri" w:hAnsi="Calibri"/>
          <w:b w:val="0"/>
          <w:i w:val="0"/>
          <w:color w:val="2D3748"/>
          <w:sz w:val="22"/>
        </w:rPr>
        <w:t>The system prompt enforces five non-negotiable enterprise compliance rules: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2" w:space="0" w:color="CBD5E0"/>
              <w:top w:val="single" w:sz="4" w:space="0" w:color="E2E8F0"/>
              <w:right w:val="single" w:sz="4" w:space="0" w:color="E2E8F0"/>
              <w:bottom w:val="single" w:sz="4" w:space="0" w:color="E2E8F0"/>
            </w:tcBorders>
          </w:tcPr>
          <w:p>
            <w:pPr>
              <w:spacing w:before="40" w:after="40" w:line="252" w:lineRule="auto"/>
            </w:pPr>
            <w:r>
              <w:rPr>
                <w:rFonts w:ascii="Consolas" w:hAnsi="Consolas"/>
                <w:b w:val="0"/>
                <w:i w:val="0"/>
                <w:color w:val="1E293B"/>
                <w:sz w:val="19"/>
              </w:rPr>
              <w:t>You are a precise assistant answering questions about internal bank procedure manuals</w:t>
              <w:br/>
              <w:t>(Central Mail &amp; Files, Central Alarm, and Assets/Warehouse Operations).</w:t>
              <w:br/>
              <w:br/>
              <w:t>Rules:</w:t>
              <w:br/>
              <w:t>1. Answer ONLY using the information in the provided context chunks below.</w:t>
              <w:br/>
              <w:t>2. The source documents are in Arabic. If the user asks in Arabic, answer in Arabic.</w:t>
              <w:br/>
              <w:t xml:space="preserve">   If the user asks in English, answer in English (translating/summarizing the</w:t>
              <w:br/>
              <w:t xml:space="preserve">   relevant Arabic content faithfully).</w:t>
              <w:br/>
              <w:t>3. If the answer is not contained in the context, say clearly that the manuals do</w:t>
              <w:br/>
              <w:t xml:space="preserve">   not cover it -- do not invent procedures, names, or numbers.</w:t>
              <w:br/>
              <w:t>4. When useful, mention which document/section the information came from (use the</w:t>
              <w:br/>
              <w:t xml:space="preserve">   'source' and 'page' metadata shown with each chunk).</w:t>
              <w:br/>
              <w:t>5. Keep answers structured (numbered steps) when the original content is a procedure.</w:t>
            </w:r>
          </w:p>
        </w:tc>
      </w:tr>
    </w:tbl>
    <w:p>
      <w:pPr>
        <w:spacing w:before="0" w:after="80"/>
      </w:pPr>
    </w:p>
    <w:p>
      <w:pPr>
        <w:keepNext/>
        <w:spacing w:before="280" w:after="80"/>
      </w:pPr>
      <w:r>
        <w:rPr>
          <w:rFonts w:ascii="Calibri" w:hAnsi="Calibri"/>
          <w:b/>
          <w:i w:val="0"/>
          <w:color w:val="2B6CB0"/>
          <w:sz w:val="28"/>
        </w:rPr>
        <w:t>6.3 Context Budgeting &amp; Token Management</w:t>
      </w:r>
    </w:p>
    <w:p>
      <w:pPr>
        <w:spacing w:before="0" w:after="120" w:line="276" w:lineRule="auto"/>
      </w:pPr>
      <w:r>
        <w:rPr>
          <w:rFonts w:ascii="Calibri" w:hAnsi="Calibri"/>
          <w:b w:val="0"/>
          <w:i w:val="0"/>
          <w:color w:val="2D3748"/>
          <w:sz w:val="22"/>
        </w:rPr>
        <w:t>To prevent TPM (Tokens Per Minute) limit errors and context truncation on models with smaller context windows, the generator employs dynamic character clamping. Context blocks are budgeted up to 4,500 characters for Qwen/GPT-OSS and 3,000 characters for ALLaM, formatting chunks with clear demarcations: [Chunk N | source: ... | page: ...].</w:t>
      </w:r>
    </w:p>
    <w:p>
      <w:pPr>
        <w:keepNext/>
        <w:spacing w:before="360" w:after="120"/>
      </w:pPr>
      <w:r>
        <w:rPr>
          <w:rFonts w:ascii="Calibri" w:hAnsi="Calibri"/>
          <w:b/>
          <w:i w:val="0"/>
          <w:color w:val="1A365D"/>
          <w:sz w:val="36"/>
        </w:rPr>
        <w:t>7. Streamlit Web Interface Specification</w:t>
      </w:r>
    </w:p>
    <w:p>
      <w:pPr>
        <w:spacing w:before="0" w:after="120" w:line="276" w:lineRule="auto"/>
      </w:pPr>
      <w:r>
        <w:rPr>
          <w:rFonts w:ascii="Calibri" w:hAnsi="Calibri"/>
          <w:b w:val="0"/>
          <w:i w:val="0"/>
          <w:color w:val="2D3748"/>
          <w:sz w:val="22"/>
        </w:rPr>
        <w:t>The front-end (app.py) provides a responsive, intuitive interface built with Streamlit, configured with a wide layout and a dual-panel workflow.</w:t>
      </w:r>
    </w:p>
    <w:p>
      <w:pPr>
        <w:keepNext/>
        <w:spacing w:before="280" w:after="80"/>
      </w:pPr>
      <w:r>
        <w:rPr>
          <w:rFonts w:ascii="Calibri" w:hAnsi="Calibri"/>
          <w:b/>
          <w:i w:val="0"/>
          <w:color w:val="2B6CB0"/>
          <w:sz w:val="28"/>
        </w:rPr>
        <w:t>7.1 Configuration Sidebar Features</w:t>
      </w:r>
    </w:p>
    <w:p>
      <w:pPr>
        <w:pStyle w:val="ListBullet"/>
        <w:spacing w:before="0" w:after="60" w:line="276" w:lineRule="auto"/>
      </w:pPr>
      <w:r>
        <w:rPr>
          <w:rFonts w:ascii="Calibri" w:hAnsi="Calibri"/>
          <w:b/>
          <w:i w:val="0"/>
          <w:color w:val="2D3748"/>
          <w:sz w:val="22"/>
        </w:rPr>
        <w:t xml:space="preserve">Model Selector: </w:t>
      </w:r>
      <w:r>
        <w:rPr>
          <w:rFonts w:ascii="Calibri" w:hAnsi="Calibri"/>
          <w:b w:val="0"/>
          <w:i w:val="0"/>
          <w:color w:val="2D3748"/>
          <w:sz w:val="22"/>
        </w:rPr>
        <w:t>Interactive dropdown to switch between Groq LLM backends (Qwen 3.8, ALLaM, GPT-OSS) and adjust generation temperature (0.0 - 1.0).</w:t>
      </w:r>
    </w:p>
    <w:p>
      <w:pPr>
        <w:pStyle w:val="ListBullet"/>
        <w:spacing w:before="0" w:after="60" w:line="276" w:lineRule="auto"/>
      </w:pPr>
      <w:r>
        <w:rPr>
          <w:rFonts w:ascii="Calibri" w:hAnsi="Calibri"/>
          <w:b/>
          <w:i w:val="0"/>
          <w:color w:val="2D3748"/>
          <w:sz w:val="22"/>
        </w:rPr>
        <w:t xml:space="preserve">Chunking Hyperparameters: </w:t>
      </w:r>
      <w:r>
        <w:rPr>
          <w:rFonts w:ascii="Calibri" w:hAnsi="Calibri"/>
          <w:b w:val="0"/>
          <w:i w:val="0"/>
          <w:color w:val="2D3748"/>
          <w:sz w:val="22"/>
        </w:rPr>
        <w:t>Allows real-time tuning of chunking strategy, chunk size (100 - 4000 chars), and chunk overlap (0 - 1000 chars).</w:t>
      </w:r>
    </w:p>
    <w:p>
      <w:pPr>
        <w:pStyle w:val="ListBullet"/>
        <w:spacing w:before="0" w:after="60" w:line="276" w:lineRule="auto"/>
      </w:pPr>
      <w:r>
        <w:rPr>
          <w:rFonts w:ascii="Calibri" w:hAnsi="Calibri"/>
          <w:b/>
          <w:i w:val="0"/>
          <w:color w:val="2D3748"/>
          <w:sz w:val="22"/>
        </w:rPr>
        <w:t xml:space="preserve">One-Click Ingestion Trigger: </w:t>
      </w:r>
      <w:r>
        <w:rPr>
          <w:rFonts w:ascii="Calibri" w:hAnsi="Calibri"/>
          <w:b w:val="0"/>
          <w:i w:val="0"/>
          <w:color w:val="2D3748"/>
          <w:sz w:val="22"/>
        </w:rPr>
        <w:t>Executes end-to-end ingestion over all PDFs in data/pdfs/ with live execution timing and ingested page/chunk counters.</w:t>
      </w:r>
    </w:p>
    <w:p>
      <w:pPr>
        <w:pStyle w:val="ListBullet"/>
        <w:spacing w:before="0" w:after="60" w:line="276" w:lineRule="auto"/>
      </w:pPr>
      <w:r>
        <w:rPr>
          <w:rFonts w:ascii="Calibri" w:hAnsi="Calibri"/>
          <w:b/>
          <w:i w:val="0"/>
          <w:color w:val="2D3748"/>
          <w:sz w:val="22"/>
        </w:rPr>
        <w:t xml:space="preserve">Retrieval Tuning: </w:t>
      </w:r>
      <w:r>
        <w:rPr>
          <w:rFonts w:ascii="Calibri" w:hAnsi="Calibri"/>
          <w:b w:val="0"/>
          <w:i w:val="0"/>
          <w:color w:val="2D3748"/>
          <w:sz w:val="22"/>
        </w:rPr>
        <w:t>Sliders for top-K chunk count (1 - 15) and toggle between MMR and Similarity search.</w:t>
      </w:r>
    </w:p>
    <w:p>
      <w:pPr>
        <w:keepNext/>
        <w:spacing w:before="280" w:after="80"/>
      </w:pPr>
      <w:r>
        <w:rPr>
          <w:rFonts w:ascii="Calibri" w:hAnsi="Calibri"/>
          <w:b/>
          <w:i w:val="0"/>
          <w:color w:val="2B6CB0"/>
          <w:sz w:val="28"/>
        </w:rPr>
        <w:t>7.2 Interactive Chat &amp; Source Citations</w:t>
      </w:r>
    </w:p>
    <w:p>
      <w:pPr>
        <w:spacing w:before="0" w:after="120" w:line="276" w:lineRule="auto"/>
      </w:pPr>
      <w:r>
        <w:rPr>
          <w:rFonts w:ascii="Calibri" w:hAnsi="Calibri"/>
          <w:b w:val="0"/>
          <w:i w:val="0"/>
          <w:color w:val="2D3748"/>
          <w:sz w:val="22"/>
        </w:rPr>
        <w:t>The chat interface maintains session history and renders rich assistant messages. Below every answer, an expandable '📚 Sources used' container reveals:</w:t>
      </w:r>
    </w:p>
    <w:p>
      <w:pPr>
        <w:pStyle w:val="ListBullet"/>
        <w:spacing w:before="0" w:after="60" w:line="276" w:lineRule="auto"/>
      </w:pPr>
      <w:r>
        <w:rPr>
          <w:rFonts w:ascii="Calibri" w:hAnsi="Calibri"/>
          <w:b/>
          <w:i w:val="0"/>
          <w:color w:val="2D3748"/>
          <w:sz w:val="22"/>
        </w:rPr>
        <w:t xml:space="preserve">Document Citation: </w:t>
      </w:r>
      <w:r>
        <w:rPr>
          <w:rFonts w:ascii="Calibri" w:hAnsi="Calibri"/>
          <w:b w:val="0"/>
          <w:i w:val="0"/>
          <w:color w:val="2D3748"/>
          <w:sz w:val="22"/>
        </w:rPr>
        <w:t>The exact source PDF filename and 1-based page number.</w:t>
      </w:r>
    </w:p>
    <w:p>
      <w:pPr>
        <w:pStyle w:val="ListBullet"/>
        <w:spacing w:before="0" w:after="60" w:line="276" w:lineRule="auto"/>
      </w:pPr>
      <w:r>
        <w:rPr>
          <w:rFonts w:ascii="Calibri" w:hAnsi="Calibri"/>
          <w:b/>
          <w:i w:val="0"/>
          <w:color w:val="2D3748"/>
          <w:sz w:val="22"/>
        </w:rPr>
        <w:t xml:space="preserve">Extraction Metadata: </w:t>
      </w:r>
      <w:r>
        <w:rPr>
          <w:rFonts w:ascii="Calibri" w:hAnsi="Calibri"/>
          <w:b w:val="0"/>
          <w:i w:val="0"/>
          <w:color w:val="2D3748"/>
          <w:sz w:val="22"/>
        </w:rPr>
        <w:t>Whether the text was retrieved via direct vector text extraction ('native') or Tesseract OCR ('ocr').</w:t>
      </w:r>
    </w:p>
    <w:p>
      <w:pPr>
        <w:pStyle w:val="ListBullet"/>
        <w:spacing w:before="0" w:after="60" w:line="276" w:lineRule="auto"/>
      </w:pPr>
      <w:r>
        <w:rPr>
          <w:rFonts w:ascii="Calibri" w:hAnsi="Calibri"/>
          <w:b/>
          <w:i w:val="0"/>
          <w:color w:val="2D3748"/>
          <w:sz w:val="22"/>
        </w:rPr>
        <w:t xml:space="preserve">Chunk Traceability: </w:t>
      </w:r>
      <w:r>
        <w:rPr>
          <w:rFonts w:ascii="Calibri" w:hAnsi="Calibri"/>
          <w:b w:val="0"/>
          <w:i w:val="0"/>
          <w:color w:val="2D3748"/>
          <w:sz w:val="22"/>
        </w:rPr>
        <w:t>The chunking strategy applied and the exact raw text snippet passed to the LLM context.</w:t>
      </w:r>
    </w:p>
    <w:p>
      <w:pPr>
        <w:keepNext/>
        <w:spacing w:before="360" w:after="120"/>
      </w:pPr>
      <w:r>
        <w:rPr>
          <w:rFonts w:ascii="Calibri" w:hAnsi="Calibri"/>
          <w:b/>
          <w:i w:val="0"/>
          <w:color w:val="1A365D"/>
          <w:sz w:val="36"/>
        </w:rPr>
        <w:t>8. Verification &amp; Benchmark Test Matrix</w:t>
      </w:r>
    </w:p>
    <w:p>
      <w:pPr>
        <w:spacing w:before="0" w:after="120" w:line="276" w:lineRule="auto"/>
      </w:pPr>
      <w:r>
        <w:rPr>
          <w:rFonts w:ascii="Calibri" w:hAnsi="Calibri"/>
          <w:b w:val="0"/>
          <w:i w:val="0"/>
          <w:color w:val="2D3748"/>
          <w:sz w:val="22"/>
        </w:rPr>
        <w:t>The system has been evaluated against a comprehensive test suite of English and Arabic queries spanning all three banking manuals.</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340"/>
        <w:gridCol w:w="2340"/>
        <w:gridCol w:w="2340"/>
        <w:gridCol w:w="2340"/>
      </w:tblGrid>
      <w:tr>
        <w:tc>
          <w:tcPr>
            <w:tcW w:type="dxa" w:w="2340"/>
            <w:shd w:fill="1A365D"/>
            <w:tcMar>
              <w:top w:w="100" w:type="dxa"/>
              <w:bottom w:w="100" w:type="dxa"/>
              <w:left w:w="120" w:type="dxa"/>
              <w:right w:w="120" w:type="dxa"/>
            </w:tcMar>
          </w:tcPr>
          <w:p>
            <w:r>
              <w:rPr>
                <w:rFonts w:ascii="Calibri" w:hAnsi="Calibri"/>
                <w:b/>
                <w:i w:val="0"/>
                <w:color w:val="FFFFFF"/>
                <w:sz w:val="21"/>
              </w:rPr>
              <w:t>Lang</w:t>
            </w:r>
          </w:p>
        </w:tc>
        <w:tc>
          <w:tcPr>
            <w:tcW w:type="dxa" w:w="2340"/>
            <w:shd w:fill="1A365D"/>
            <w:tcMar>
              <w:top w:w="100" w:type="dxa"/>
              <w:bottom w:w="100" w:type="dxa"/>
              <w:left w:w="120" w:type="dxa"/>
              <w:right w:w="120" w:type="dxa"/>
            </w:tcMar>
          </w:tcPr>
          <w:p>
            <w:r>
              <w:rPr>
                <w:rFonts w:ascii="Calibri" w:hAnsi="Calibri"/>
                <w:b/>
                <w:i w:val="0"/>
                <w:color w:val="FFFFFF"/>
                <w:sz w:val="21"/>
              </w:rPr>
              <w:t>User Test Query</w:t>
            </w:r>
          </w:p>
        </w:tc>
        <w:tc>
          <w:tcPr>
            <w:tcW w:type="dxa" w:w="2340"/>
            <w:shd w:fill="1A365D"/>
            <w:tcMar>
              <w:top w:w="100" w:type="dxa"/>
              <w:bottom w:w="100" w:type="dxa"/>
              <w:left w:w="120" w:type="dxa"/>
              <w:right w:w="120" w:type="dxa"/>
            </w:tcMar>
          </w:tcPr>
          <w:p>
            <w:r>
              <w:rPr>
                <w:rFonts w:ascii="Calibri" w:hAnsi="Calibri"/>
                <w:b/>
                <w:i w:val="0"/>
                <w:color w:val="FFFFFF"/>
                <w:sz w:val="21"/>
              </w:rPr>
              <w:t>Expected Factual Answer</w:t>
            </w:r>
          </w:p>
        </w:tc>
        <w:tc>
          <w:tcPr>
            <w:tcW w:type="dxa" w:w="2340"/>
            <w:shd w:fill="1A365D"/>
            <w:tcMar>
              <w:top w:w="100" w:type="dxa"/>
              <w:bottom w:w="100" w:type="dxa"/>
              <w:left w:w="120" w:type="dxa"/>
              <w:right w:w="120" w:type="dxa"/>
            </w:tcMar>
          </w:tcPr>
          <w:p>
            <w:r>
              <w:rPr>
                <w:rFonts w:ascii="Calibri" w:hAnsi="Calibri"/>
                <w:b/>
                <w:i w:val="0"/>
                <w:color w:val="FFFFFF"/>
                <w:sz w:val="21"/>
              </w:rPr>
              <w:t>Primary Source Citation</w:t>
            </w:r>
          </w:p>
        </w:tc>
      </w:tr>
      <w:tr>
        <w:tc>
          <w:tcPr>
            <w:tcW w:type="dxa" w:w="1152"/>
            <w:shd w:fill="FFFFFF"/>
            <w:tcMar>
              <w:top w:w="80" w:type="dxa"/>
              <w:bottom w:w="80" w:type="dxa"/>
              <w:left w:w="120" w:type="dxa"/>
              <w:right w:w="120" w:type="dxa"/>
            </w:tcMar>
          </w:tcPr>
          <w:p>
            <w:r>
              <w:rPr>
                <w:rFonts w:ascii="Calibri" w:hAnsi="Calibri"/>
                <w:b w:val="0"/>
                <w:i w:val="0"/>
                <w:color w:val="2D3748"/>
                <w:sz w:val="19"/>
              </w:rPr>
              <w:t>EN</w:t>
            </w:r>
          </w:p>
        </w:tc>
        <w:tc>
          <w:tcPr>
            <w:tcW w:type="dxa" w:w="3168"/>
            <w:shd w:fill="FFFFFF"/>
            <w:tcMar>
              <w:top w:w="80" w:type="dxa"/>
              <w:bottom w:w="80" w:type="dxa"/>
              <w:left w:w="120" w:type="dxa"/>
              <w:right w:w="120" w:type="dxa"/>
            </w:tcMar>
          </w:tcPr>
          <w:p>
            <w:r>
              <w:rPr>
                <w:rFonts w:ascii="Calibri" w:hAnsi="Calibri"/>
                <w:b w:val="0"/>
                <w:i w:val="0"/>
                <w:color w:val="2D3748"/>
                <w:sz w:val="19"/>
              </w:rPr>
              <w:t>What is the daily cut-off time for submitting outgoing mail requests through BPM?</w:t>
            </w:r>
          </w:p>
        </w:tc>
        <w:tc>
          <w:tcPr>
            <w:tcW w:type="dxa" w:w="2880"/>
            <w:shd w:fill="FFFFFF"/>
            <w:tcMar>
              <w:top w:w="80" w:type="dxa"/>
              <w:bottom w:w="80" w:type="dxa"/>
              <w:left w:w="120" w:type="dxa"/>
              <w:right w:w="120" w:type="dxa"/>
            </w:tcMar>
          </w:tcPr>
          <w:p>
            <w:r>
              <w:rPr>
                <w:rFonts w:ascii="Calibri" w:hAnsi="Calibri"/>
                <w:b w:val="0"/>
                <w:i w:val="0"/>
                <w:color w:val="2D3748"/>
                <w:sz w:val="19"/>
              </w:rPr>
              <w:t>1:30 PM. Requests submitted after 1:30 PM are processed on the next business day.</w:t>
            </w:r>
          </w:p>
        </w:tc>
        <w:tc>
          <w:tcPr>
            <w:tcW w:type="dxa" w:w="2160"/>
            <w:shd w:fill="FFFFFF"/>
            <w:tcMar>
              <w:top w:w="80" w:type="dxa"/>
              <w:bottom w:w="80" w:type="dxa"/>
              <w:left w:w="120" w:type="dxa"/>
              <w:right w:w="120" w:type="dxa"/>
            </w:tcMar>
          </w:tcPr>
          <w:p>
            <w:r>
              <w:rPr>
                <w:rFonts w:ascii="Calibri" w:hAnsi="Calibri"/>
                <w:b w:val="0"/>
                <w:i w:val="0"/>
                <w:color w:val="2D3748"/>
                <w:sz w:val="19"/>
              </w:rPr>
              <w:t>Central Mail &amp; Files Manual, Page 5</w:t>
            </w:r>
          </w:p>
        </w:tc>
      </w:tr>
      <w:tr>
        <w:tc>
          <w:tcPr>
            <w:tcW w:type="dxa" w:w="1152"/>
            <w:shd w:fill="F8FAFC"/>
            <w:tcMar>
              <w:top w:w="80" w:type="dxa"/>
              <w:bottom w:w="80" w:type="dxa"/>
              <w:left w:w="120" w:type="dxa"/>
              <w:right w:w="120" w:type="dxa"/>
            </w:tcMar>
          </w:tcPr>
          <w:p>
            <w:r>
              <w:rPr>
                <w:rFonts w:ascii="Calibri" w:hAnsi="Calibri"/>
                <w:b w:val="0"/>
                <w:i w:val="0"/>
                <w:color w:val="2D3748"/>
                <w:sz w:val="19"/>
              </w:rPr>
              <w:t>AR</w:t>
            </w:r>
          </w:p>
        </w:tc>
        <w:tc>
          <w:tcPr>
            <w:tcW w:type="dxa" w:w="3168"/>
            <w:shd w:fill="F8FAFC"/>
            <w:tcMar>
              <w:top w:w="80" w:type="dxa"/>
              <w:bottom w:w="80" w:type="dxa"/>
              <w:left w:w="120" w:type="dxa"/>
              <w:right w:w="120" w:type="dxa"/>
            </w:tcMar>
          </w:tcPr>
          <w:p>
            <w:r>
              <w:rPr>
                <w:rFonts w:ascii="Calibri" w:hAnsi="Calibri"/>
                <w:b w:val="0"/>
                <w:i w:val="0"/>
                <w:color w:val="2D3748"/>
                <w:sz w:val="19"/>
              </w:rPr>
              <w:t>ما هي الغرامة المالية في حال فقدان بطاقة الدخول؟ ومتى يُعفى الموظف منها؟</w:t>
            </w:r>
          </w:p>
        </w:tc>
        <w:tc>
          <w:tcPr>
            <w:tcW w:type="dxa" w:w="2880"/>
            <w:shd w:fill="F8FAFC"/>
            <w:tcMar>
              <w:top w:w="80" w:type="dxa"/>
              <w:bottom w:w="80" w:type="dxa"/>
              <w:left w:w="120" w:type="dxa"/>
              <w:right w:w="120" w:type="dxa"/>
            </w:tcMar>
          </w:tcPr>
          <w:p>
            <w:r>
              <w:rPr>
                <w:rFonts w:ascii="Calibri" w:hAnsi="Calibri"/>
                <w:b w:val="0"/>
                <w:i w:val="0"/>
                <w:color w:val="2D3748"/>
                <w:sz w:val="19"/>
              </w:rPr>
              <w:t>الغرامة 10 دنانير أردنية. يُعفى الموظف في حالة الخلل الفني في البطاقة، أو بعد مرور سنتين من تاريخ إصدارها.</w:t>
            </w:r>
          </w:p>
        </w:tc>
        <w:tc>
          <w:tcPr>
            <w:tcW w:type="dxa" w:w="2160"/>
            <w:shd w:fill="F8FAFC"/>
            <w:tcMar>
              <w:top w:w="80" w:type="dxa"/>
              <w:bottom w:w="80" w:type="dxa"/>
              <w:left w:w="120" w:type="dxa"/>
              <w:right w:w="120" w:type="dxa"/>
            </w:tcMar>
          </w:tcPr>
          <w:p>
            <w:r>
              <w:rPr>
                <w:rFonts w:ascii="Calibri" w:hAnsi="Calibri"/>
                <w:b w:val="0"/>
                <w:i w:val="0"/>
                <w:color w:val="2D3748"/>
                <w:sz w:val="19"/>
              </w:rPr>
              <w:t>Central Alarm Manual, Page 5</w:t>
            </w:r>
          </w:p>
        </w:tc>
      </w:tr>
      <w:tr>
        <w:tc>
          <w:tcPr>
            <w:tcW w:type="dxa" w:w="1152"/>
            <w:shd w:fill="FFFFFF"/>
            <w:tcMar>
              <w:top w:w="80" w:type="dxa"/>
              <w:bottom w:w="80" w:type="dxa"/>
              <w:left w:w="120" w:type="dxa"/>
              <w:right w:w="120" w:type="dxa"/>
            </w:tcMar>
          </w:tcPr>
          <w:p>
            <w:r>
              <w:rPr>
                <w:rFonts w:ascii="Calibri" w:hAnsi="Calibri"/>
                <w:b w:val="0"/>
                <w:i w:val="0"/>
                <w:color w:val="2D3748"/>
                <w:sz w:val="19"/>
              </w:rPr>
              <w:t>EN</w:t>
            </w:r>
          </w:p>
        </w:tc>
        <w:tc>
          <w:tcPr>
            <w:tcW w:type="dxa" w:w="3168"/>
            <w:shd w:fill="FFFFFF"/>
            <w:tcMar>
              <w:top w:w="80" w:type="dxa"/>
              <w:bottom w:w="80" w:type="dxa"/>
              <w:left w:w="120" w:type="dxa"/>
              <w:right w:w="120" w:type="dxa"/>
            </w:tcMar>
          </w:tcPr>
          <w:p>
            <w:r>
              <w:rPr>
                <w:rFonts w:ascii="Calibri" w:hAnsi="Calibri"/>
                <w:b w:val="0"/>
                <w:i w:val="0"/>
                <w:color w:val="2D3748"/>
                <w:sz w:val="19"/>
              </w:rPr>
              <w:t>What inventory dispatch method is used in the bank's central warehouses?</w:t>
            </w:r>
          </w:p>
        </w:tc>
        <w:tc>
          <w:tcPr>
            <w:tcW w:type="dxa" w:w="2880"/>
            <w:shd w:fill="FFFFFF"/>
            <w:tcMar>
              <w:top w:w="80" w:type="dxa"/>
              <w:bottom w:w="80" w:type="dxa"/>
              <w:left w:w="120" w:type="dxa"/>
              <w:right w:w="120" w:type="dxa"/>
            </w:tcMar>
          </w:tcPr>
          <w:p>
            <w:r>
              <w:rPr>
                <w:rFonts w:ascii="Calibri" w:hAnsi="Calibri"/>
                <w:b w:val="0"/>
                <w:i w:val="0"/>
                <w:color w:val="2D3748"/>
                <w:sz w:val="19"/>
              </w:rPr>
              <w:t>FIFO (First-In, First-Out) method, ensuring older stock is issued prior to newer stock.</w:t>
            </w:r>
          </w:p>
        </w:tc>
        <w:tc>
          <w:tcPr>
            <w:tcW w:type="dxa" w:w="2160"/>
            <w:shd w:fill="FFFFFF"/>
            <w:tcMar>
              <w:top w:w="80" w:type="dxa"/>
              <w:bottom w:w="80" w:type="dxa"/>
              <w:left w:w="120" w:type="dxa"/>
              <w:right w:w="120" w:type="dxa"/>
            </w:tcMar>
          </w:tcPr>
          <w:p>
            <w:r>
              <w:rPr>
                <w:rFonts w:ascii="Calibri" w:hAnsi="Calibri"/>
                <w:b w:val="0"/>
                <w:i w:val="0"/>
                <w:color w:val="2D3748"/>
                <w:sz w:val="19"/>
              </w:rPr>
              <w:t>Assets &amp; Warehouse Manual, Page 5</w:t>
            </w:r>
          </w:p>
        </w:tc>
      </w:tr>
      <w:tr>
        <w:tc>
          <w:tcPr>
            <w:tcW w:type="dxa" w:w="1152"/>
            <w:shd w:fill="F8FAFC"/>
            <w:tcMar>
              <w:top w:w="80" w:type="dxa"/>
              <w:bottom w:w="80" w:type="dxa"/>
              <w:left w:w="120" w:type="dxa"/>
              <w:right w:w="120" w:type="dxa"/>
            </w:tcMar>
          </w:tcPr>
          <w:p>
            <w:r>
              <w:rPr>
                <w:rFonts w:ascii="Calibri" w:hAnsi="Calibri"/>
                <w:b w:val="0"/>
                <w:i w:val="0"/>
                <w:color w:val="2D3748"/>
                <w:sz w:val="19"/>
              </w:rPr>
              <w:t>AR</w:t>
            </w:r>
          </w:p>
        </w:tc>
        <w:tc>
          <w:tcPr>
            <w:tcW w:type="dxa" w:w="3168"/>
            <w:shd w:fill="F8FAFC"/>
            <w:tcMar>
              <w:top w:w="80" w:type="dxa"/>
              <w:bottom w:w="80" w:type="dxa"/>
              <w:left w:w="120" w:type="dxa"/>
              <w:right w:w="120" w:type="dxa"/>
            </w:tcMar>
          </w:tcPr>
          <w:p>
            <w:r>
              <w:rPr>
                <w:rFonts w:ascii="Calibri" w:hAnsi="Calibri"/>
                <w:b w:val="0"/>
                <w:i w:val="0"/>
                <w:color w:val="2D3748"/>
                <w:sz w:val="19"/>
              </w:rPr>
              <w:t>هل يجوز إرسال البطاقة المصرفية والرقم السري في شحنة بريدية واحدة للخارج؟</w:t>
            </w:r>
          </w:p>
        </w:tc>
        <w:tc>
          <w:tcPr>
            <w:tcW w:type="dxa" w:w="2880"/>
            <w:shd w:fill="F8FAFC"/>
            <w:tcMar>
              <w:top w:w="80" w:type="dxa"/>
              <w:bottom w:w="80" w:type="dxa"/>
              <w:left w:w="120" w:type="dxa"/>
              <w:right w:w="120" w:type="dxa"/>
            </w:tcMar>
          </w:tcPr>
          <w:p>
            <w:r>
              <w:rPr>
                <w:rFonts w:ascii="Calibri" w:hAnsi="Calibri"/>
                <w:b w:val="0"/>
                <w:i w:val="0"/>
                <w:color w:val="2D3748"/>
                <w:sz w:val="19"/>
              </w:rPr>
              <w:t>لا يجوز الجمع بينهما نهائياً في شحنة واحدة. يجب إرسال البطاقة بشكل منفصل عن الرقم السري بفارق زمني لضمان الأمان.</w:t>
            </w:r>
          </w:p>
        </w:tc>
        <w:tc>
          <w:tcPr>
            <w:tcW w:type="dxa" w:w="2160"/>
            <w:shd w:fill="F8FAFC"/>
            <w:tcMar>
              <w:top w:w="80" w:type="dxa"/>
              <w:bottom w:w="80" w:type="dxa"/>
              <w:left w:w="120" w:type="dxa"/>
              <w:right w:w="120" w:type="dxa"/>
            </w:tcMar>
          </w:tcPr>
          <w:p>
            <w:r>
              <w:rPr>
                <w:rFonts w:ascii="Calibri" w:hAnsi="Calibri"/>
                <w:b w:val="0"/>
                <w:i w:val="0"/>
                <w:color w:val="2D3748"/>
                <w:sz w:val="19"/>
              </w:rPr>
              <w:t>Central Mail &amp; Files Manual, Page 9</w:t>
            </w:r>
          </w:p>
        </w:tc>
      </w:tr>
    </w:tbl>
    <w:p>
      <w:pPr>
        <w:keepNext/>
        <w:spacing w:before="360" w:after="120"/>
      </w:pPr>
      <w:r>
        <w:rPr>
          <w:rFonts w:ascii="Calibri" w:hAnsi="Calibri"/>
          <w:b/>
          <w:i w:val="0"/>
          <w:color w:val="1A365D"/>
          <w:sz w:val="36"/>
        </w:rPr>
        <w:t>9. Installation, Deployment &amp; Operations Guide</w:t>
      </w:r>
    </w:p>
    <w:p>
      <w:pPr>
        <w:keepNext/>
        <w:spacing w:before="280" w:after="80"/>
      </w:pPr>
      <w:r>
        <w:rPr>
          <w:rFonts w:ascii="Calibri" w:hAnsi="Calibri"/>
          <w:b/>
          <w:i w:val="0"/>
          <w:color w:val="2B6CB0"/>
          <w:sz w:val="28"/>
        </w:rPr>
        <w:t>9.1 System Prerequisites</w:t>
      </w:r>
    </w:p>
    <w:p>
      <w:pPr>
        <w:pStyle w:val="ListBullet"/>
        <w:spacing w:before="0" w:after="60" w:line="276" w:lineRule="auto"/>
      </w:pPr>
      <w:r>
        <w:rPr>
          <w:rFonts w:ascii="Calibri" w:hAnsi="Calibri"/>
          <w:b/>
          <w:i w:val="0"/>
          <w:color w:val="2D3748"/>
          <w:sz w:val="22"/>
        </w:rPr>
        <w:t xml:space="preserve">Python Runtime: </w:t>
      </w:r>
      <w:r>
        <w:rPr>
          <w:rFonts w:ascii="Calibri" w:hAnsi="Calibri"/>
          <w:b w:val="0"/>
          <w:i w:val="0"/>
          <w:color w:val="2D3748"/>
          <w:sz w:val="22"/>
        </w:rPr>
        <w:t>Python 3.9, 3.10, or 3.11 (Conda or venv recommended).</w:t>
      </w:r>
    </w:p>
    <w:p>
      <w:pPr>
        <w:pStyle w:val="ListBullet"/>
        <w:spacing w:before="0" w:after="60" w:line="276" w:lineRule="auto"/>
      </w:pPr>
      <w:r>
        <w:rPr>
          <w:rFonts w:ascii="Calibri" w:hAnsi="Calibri"/>
          <w:b/>
          <w:i w:val="0"/>
          <w:color w:val="2D3748"/>
          <w:sz w:val="22"/>
        </w:rPr>
        <w:t xml:space="preserve">NVIDIA CUDA Toolkit: </w:t>
      </w:r>
      <w:r>
        <w:rPr>
          <w:rFonts w:ascii="Calibri" w:hAnsi="Calibri"/>
          <w:b w:val="0"/>
          <w:i w:val="0"/>
          <w:color w:val="2D3748"/>
          <w:sz w:val="22"/>
        </w:rPr>
        <w:t>CUDA 11.8 or 12.x for PyTorch GPU acceleration.</w:t>
      </w:r>
    </w:p>
    <w:p>
      <w:pPr>
        <w:pStyle w:val="ListBullet"/>
        <w:spacing w:before="0" w:after="60" w:line="276" w:lineRule="auto"/>
      </w:pPr>
      <w:r>
        <w:rPr>
          <w:rFonts w:ascii="Calibri" w:hAnsi="Calibri"/>
          <w:b/>
          <w:i w:val="0"/>
          <w:color w:val="2D3748"/>
          <w:sz w:val="22"/>
        </w:rPr>
        <w:t xml:space="preserve">Tesseract OCR: </w:t>
      </w:r>
      <w:r>
        <w:rPr>
          <w:rFonts w:ascii="Calibri" w:hAnsi="Calibri"/>
          <w:b w:val="0"/>
          <w:i w:val="0"/>
          <w:color w:val="2D3748"/>
          <w:sz w:val="22"/>
        </w:rPr>
        <w:t>Tesseract OCR engine with Arabic ('ara') and English ('eng') traineddata packs.</w:t>
      </w:r>
    </w:p>
    <w:p>
      <w:pPr>
        <w:keepNext/>
        <w:spacing w:before="280" w:after="80"/>
      </w:pPr>
      <w:r>
        <w:rPr>
          <w:rFonts w:ascii="Calibri" w:hAnsi="Calibri"/>
          <w:b/>
          <w:i w:val="0"/>
          <w:color w:val="2B6CB0"/>
          <w:sz w:val="28"/>
        </w:rPr>
        <w:t>9.2 Step-by-Step Installation Procedure</w:t>
      </w:r>
    </w:p>
    <w:p>
      <w:pPr>
        <w:spacing w:before="0" w:after="120" w:line="276" w:lineRule="auto"/>
      </w:pPr>
      <w:r>
        <w:rPr>
          <w:rFonts w:ascii="Calibri" w:hAnsi="Calibri"/>
          <w:b w:val="0"/>
          <w:i w:val="0"/>
          <w:color w:val="2D3748"/>
          <w:sz w:val="22"/>
        </w:rPr>
        <w:t>1. Clone the repository and navigate into the root directory:</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2" w:space="0" w:color="CBD5E0"/>
              <w:top w:val="single" w:sz="4" w:space="0" w:color="E2E8F0"/>
              <w:right w:val="single" w:sz="4" w:space="0" w:color="E2E8F0"/>
              <w:bottom w:val="single" w:sz="4" w:space="0" w:color="E2E8F0"/>
            </w:tcBorders>
          </w:tcPr>
          <w:p>
            <w:pPr>
              <w:spacing w:before="40" w:after="40" w:line="252" w:lineRule="auto"/>
            </w:pPr>
            <w:r>
              <w:rPr>
                <w:rFonts w:ascii="Consolas" w:hAnsi="Consolas"/>
                <w:b w:val="0"/>
                <w:i w:val="0"/>
                <w:color w:val="1E293B"/>
                <w:sz w:val="19"/>
              </w:rPr>
              <w:t>git clone https://github.com/AhmedEsam98/Bank_Guide_AI.git</w:t>
              <w:br/>
              <w:t>cd Bank_Guide_AI</w:t>
            </w:r>
          </w:p>
        </w:tc>
      </w:tr>
    </w:tbl>
    <w:p>
      <w:pPr>
        <w:spacing w:before="0" w:after="80"/>
      </w:pPr>
    </w:p>
    <w:p>
      <w:pPr>
        <w:spacing w:before="0" w:after="120" w:line="276" w:lineRule="auto"/>
      </w:pPr>
      <w:r>
        <w:rPr>
          <w:rFonts w:ascii="Calibri" w:hAnsi="Calibri"/>
          <w:b w:val="0"/>
          <w:i w:val="0"/>
          <w:color w:val="2D3748"/>
          <w:sz w:val="22"/>
        </w:rPr>
        <w:t>2. Initialize and activate a dedicated Conda virtual environment: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2" w:space="0" w:color="CBD5E0"/>
              <w:top w:val="single" w:sz="4" w:space="0" w:color="E2E8F0"/>
              <w:right w:val="single" w:sz="4" w:space="0" w:color="E2E8F0"/>
              <w:bottom w:val="single" w:sz="4" w:space="0" w:color="E2E8F0"/>
            </w:tcBorders>
          </w:tcPr>
          <w:p>
            <w:pPr>
              <w:spacing w:before="40" w:after="40" w:line="252" w:lineRule="auto"/>
            </w:pPr>
            <w:r>
              <w:rPr>
                <w:rFonts w:ascii="Consolas" w:hAnsi="Consolas"/>
                <w:b w:val="0"/>
                <w:i w:val="0"/>
                <w:color w:val="1E293B"/>
                <w:sz w:val="19"/>
              </w:rPr>
              <w:t>conda create -n bank_guide_env python=3.10 -y</w:t>
              <w:br/>
              <w:t>conda activate bank_guide_env</w:t>
            </w:r>
          </w:p>
        </w:tc>
      </w:tr>
    </w:tbl>
    <w:p>
      <w:pPr>
        <w:spacing w:before="0" w:after="80"/>
      </w:pPr>
    </w:p>
    <w:p>
      <w:pPr>
        <w:spacing w:before="0" w:after="120" w:line="276" w:lineRule="auto"/>
      </w:pPr>
      <w:r>
        <w:rPr>
          <w:rFonts w:ascii="Calibri" w:hAnsi="Calibri"/>
          <w:b w:val="0"/>
          <w:i w:val="0"/>
          <w:color w:val="2D3748"/>
          <w:sz w:val="22"/>
        </w:rPr>
        <w:t>3. Install all project dependencies: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2" w:space="0" w:color="CBD5E0"/>
              <w:top w:val="single" w:sz="4" w:space="0" w:color="E2E8F0"/>
              <w:right w:val="single" w:sz="4" w:space="0" w:color="E2E8F0"/>
              <w:bottom w:val="single" w:sz="4" w:space="0" w:color="E2E8F0"/>
            </w:tcBorders>
          </w:tcPr>
          <w:p>
            <w:pPr>
              <w:spacing w:before="40" w:after="40" w:line="252" w:lineRule="auto"/>
            </w:pPr>
            <w:r>
              <w:rPr>
                <w:rFonts w:ascii="Consolas" w:hAnsi="Consolas"/>
                <w:b w:val="0"/>
                <w:i w:val="0"/>
                <w:color w:val="1E293B"/>
                <w:sz w:val="19"/>
              </w:rPr>
              <w:t>pip install -r requirements.txt</w:t>
            </w:r>
          </w:p>
        </w:tc>
      </w:tr>
    </w:tbl>
    <w:p>
      <w:pPr>
        <w:spacing w:before="0" w:after="80"/>
      </w:pPr>
    </w:p>
    <w:p>
      <w:pPr>
        <w:spacing w:before="0" w:after="120" w:line="276" w:lineRule="auto"/>
      </w:pPr>
      <w:r>
        <w:rPr>
          <w:rFonts w:ascii="Calibri" w:hAnsi="Calibri"/>
          <w:b w:val="0"/>
          <w:i w:val="0"/>
          <w:color w:val="2D3748"/>
          <w:sz w:val="22"/>
        </w:rPr>
        <w:t>4. Configure environment variables (.env):</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2" w:space="0" w:color="CBD5E0"/>
              <w:top w:val="single" w:sz="4" w:space="0" w:color="E2E8F0"/>
              <w:right w:val="single" w:sz="4" w:space="0" w:color="E2E8F0"/>
              <w:bottom w:val="single" w:sz="4" w:space="0" w:color="E2E8F0"/>
            </w:tcBorders>
          </w:tcPr>
          <w:p>
            <w:pPr>
              <w:spacing w:before="40" w:after="40" w:line="252" w:lineRule="auto"/>
            </w:pPr>
            <w:r>
              <w:rPr>
                <w:rFonts w:ascii="Consolas" w:hAnsi="Consolas"/>
                <w:b w:val="0"/>
                <w:i w:val="0"/>
                <w:color w:val="1E293B"/>
                <w:sz w:val="19"/>
              </w:rPr>
              <w:t># Create .env from template</w:t>
              <w:br/>
              <w:t>cp .env.example .env</w:t>
              <w:br/>
              <w:br/>
              <w:t># Populate your Groq Cloud API Key</w:t>
              <w:br/>
              <w:t>GROQ_API_KEY=gsk_your_actual_groq_api_key_here</w:t>
            </w:r>
          </w:p>
        </w:tc>
      </w:tr>
    </w:tbl>
    <w:p>
      <w:pPr>
        <w:spacing w:before="0" w:after="80"/>
      </w:pPr>
    </w:p>
    <w:p>
      <w:pPr>
        <w:keepNext/>
        <w:spacing w:before="280" w:after="80"/>
      </w:pPr>
      <w:r>
        <w:rPr>
          <w:rFonts w:ascii="Calibri" w:hAnsi="Calibri"/>
          <w:b/>
          <w:i w:val="0"/>
          <w:color w:val="2B6CB0"/>
          <w:sz w:val="28"/>
        </w:rPr>
        <w:t>9.3 Headless CLI Ingestion (Automated ETL)</w:t>
      </w:r>
    </w:p>
    <w:p>
      <w:pPr>
        <w:spacing w:before="0" w:after="120" w:line="276" w:lineRule="auto"/>
      </w:pPr>
      <w:r>
        <w:rPr>
          <w:rFonts w:ascii="Calibri" w:hAnsi="Calibri"/>
          <w:b w:val="0"/>
          <w:i w:val="0"/>
          <w:color w:val="2D3748"/>
          <w:sz w:val="22"/>
        </w:rPr>
        <w:t>Ingestion can be run headlessly via command line in automated cron or CI/CD pipelines: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2" w:space="0" w:color="CBD5E0"/>
              <w:top w:val="single" w:sz="4" w:space="0" w:color="E2E8F0"/>
              <w:right w:val="single" w:sz="4" w:space="0" w:color="E2E8F0"/>
              <w:bottom w:val="single" w:sz="4" w:space="0" w:color="E2E8F0"/>
            </w:tcBorders>
          </w:tcPr>
          <w:p>
            <w:pPr>
              <w:spacing w:before="40" w:after="40" w:line="252" w:lineRule="auto"/>
            </w:pPr>
            <w:r>
              <w:rPr>
                <w:rFonts w:ascii="Consolas" w:hAnsi="Consolas"/>
                <w:b w:val="0"/>
                <w:i w:val="0"/>
                <w:color w:val="1E293B"/>
                <w:sz w:val="19"/>
              </w:rPr>
              <w:t># Ingest with Arabic paragraph strategy and custom chunk boundaries</w:t>
              <w:br/>
              <w:t>python -m ingestion.ingest --strategy arabic_paragraph --chunk-size 1000 --chunk-overlap 150</w:t>
            </w:r>
          </w:p>
        </w:tc>
      </w:tr>
    </w:tbl>
    <w:p>
      <w:pPr>
        <w:spacing w:before="0" w:after="80"/>
      </w:pPr>
    </w:p>
    <w:p>
      <w:pPr>
        <w:keepNext/>
        <w:spacing w:before="280" w:after="80"/>
      </w:pPr>
      <w:r>
        <w:rPr>
          <w:rFonts w:ascii="Calibri" w:hAnsi="Calibri"/>
          <w:b/>
          <w:i w:val="0"/>
          <w:color w:val="2B6CB0"/>
          <w:sz w:val="28"/>
        </w:rPr>
        <w:t>9.4 Launching the Streamlit Web Application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2" w:space="0" w:color="CBD5E0"/>
              <w:top w:val="single" w:sz="4" w:space="0" w:color="E2E8F0"/>
              <w:right w:val="single" w:sz="4" w:space="0" w:color="E2E8F0"/>
              <w:bottom w:val="single" w:sz="4" w:space="0" w:color="E2E8F0"/>
            </w:tcBorders>
          </w:tcPr>
          <w:p>
            <w:pPr>
              <w:spacing w:before="40" w:after="40" w:line="252" w:lineRule="auto"/>
            </w:pPr>
            <w:r>
              <w:rPr>
                <w:rFonts w:ascii="Consolas" w:hAnsi="Consolas"/>
                <w:b w:val="0"/>
                <w:i w:val="0"/>
                <w:color w:val="1E293B"/>
                <w:sz w:val="19"/>
              </w:rPr>
              <w:t>streamlit run app.py</w:t>
            </w:r>
          </w:p>
        </w:tc>
      </w:tr>
    </w:tbl>
    <w:p>
      <w:pPr>
        <w:spacing w:before="0" w:after="80"/>
      </w:pPr>
    </w:p>
    <w:p>
      <w:pPr>
        <w:keepNext/>
        <w:spacing w:before="360" w:after="120"/>
      </w:pPr>
      <w:r>
        <w:rPr>
          <w:rFonts w:ascii="Calibri" w:hAnsi="Calibri"/>
          <w:b/>
          <w:i w:val="0"/>
          <w:color w:val="1A365D"/>
          <w:sz w:val="36"/>
        </w:rPr>
        <w:t>10. Security, Compliance &amp; Governance</w:t>
      </w:r>
    </w:p>
    <w:p>
      <w:pPr>
        <w:spacing w:before="0" w:after="120" w:line="276" w:lineRule="auto"/>
      </w:pPr>
      <w:r>
        <w:rPr>
          <w:rFonts w:ascii="Calibri" w:hAnsi="Calibri"/>
          <w:b w:val="0"/>
          <w:i w:val="0"/>
          <w:color w:val="2D3748"/>
          <w:sz w:val="22"/>
        </w:rPr>
        <w:t>Financial institutions operate under strict regulatory regimes (e.g. Central Bank compliance, ISO 27001, GDPR). Bank_Guide_AI incorporates several key security and governance controls:</w:t>
      </w:r>
    </w:p>
    <w:p>
      <w:pPr>
        <w:pStyle w:val="ListBullet"/>
        <w:spacing w:before="0" w:after="60" w:line="276" w:lineRule="auto"/>
      </w:pPr>
      <w:r>
        <w:rPr>
          <w:rFonts w:ascii="Calibri" w:hAnsi="Calibri"/>
          <w:b/>
          <w:i w:val="0"/>
          <w:color w:val="2D3748"/>
          <w:sz w:val="22"/>
        </w:rPr>
        <w:t xml:space="preserve">Zero Data Retention on Embeddings: </w:t>
      </w:r>
      <w:r>
        <w:rPr>
          <w:rFonts w:ascii="Calibri" w:hAnsi="Calibri"/>
          <w:b w:val="0"/>
          <w:i w:val="0"/>
          <w:color w:val="2D3748"/>
          <w:sz w:val="22"/>
        </w:rPr>
        <w:t>Embedding generation and vector storage occur entirely on local infrastructure. Source banking manuals are never sent to external embedding endpoints.</w:t>
      </w:r>
    </w:p>
    <w:p>
      <w:pPr>
        <w:pStyle w:val="ListBullet"/>
        <w:spacing w:before="0" w:after="60" w:line="276" w:lineRule="auto"/>
      </w:pPr>
      <w:r>
        <w:rPr>
          <w:rFonts w:ascii="Calibri" w:hAnsi="Calibri"/>
          <w:b/>
          <w:i w:val="0"/>
          <w:color w:val="2D3748"/>
          <w:sz w:val="22"/>
        </w:rPr>
        <w:t xml:space="preserve">API Key Encapsulation: </w:t>
      </w:r>
      <w:r>
        <w:rPr>
          <w:rFonts w:ascii="Calibri" w:hAnsi="Calibri"/>
          <w:b w:val="0"/>
          <w:i w:val="0"/>
          <w:color w:val="2D3748"/>
          <w:sz w:val="22"/>
        </w:rPr>
        <w:t>The GROQ_API_KEY is read strictly from environment variables and is never exposed to the client-side UI or stored in vector metadata.</w:t>
      </w:r>
    </w:p>
    <w:p>
      <w:pPr>
        <w:pStyle w:val="ListBullet"/>
        <w:spacing w:before="0" w:after="60" w:line="276" w:lineRule="auto"/>
      </w:pPr>
      <w:r>
        <w:rPr>
          <w:rFonts w:ascii="Calibri" w:hAnsi="Calibri"/>
          <w:b/>
          <w:i w:val="0"/>
          <w:color w:val="2D3748"/>
          <w:sz w:val="22"/>
        </w:rPr>
        <w:t xml:space="preserve">Audit Trail Traceability: </w:t>
      </w:r>
      <w:r>
        <w:rPr>
          <w:rFonts w:ascii="Calibri" w:hAnsi="Calibri"/>
          <w:b w:val="0"/>
          <w:i w:val="0"/>
          <w:color w:val="2D3748"/>
          <w:sz w:val="22"/>
        </w:rPr>
        <w:t>Every generated response is paired with immutable source references, enabling compliance officers to independently verify the regulatory source of any AI guidance.</w:t>
      </w:r>
    </w:p>
    <w:p>
      <w:pPr>
        <w:pStyle w:val="ListBullet"/>
        <w:spacing w:before="0" w:after="60" w:line="276" w:lineRule="auto"/>
      </w:pPr>
      <w:r>
        <w:rPr>
          <w:rFonts w:ascii="Calibri" w:hAnsi="Calibri"/>
          <w:b/>
          <w:i w:val="0"/>
          <w:color w:val="2D3748"/>
          <w:sz w:val="22"/>
        </w:rPr>
        <w:t xml:space="preserve">Deterministic Grounding: </w:t>
      </w:r>
      <w:r>
        <w:rPr>
          <w:rFonts w:ascii="Calibri" w:hAnsi="Calibri"/>
          <w:b w:val="0"/>
          <w:i w:val="0"/>
          <w:color w:val="2D3748"/>
          <w:sz w:val="22"/>
        </w:rPr>
        <w:t>Low generation temperatures (default: 0.1) and strict negative-prompt rules prevent speculative or non-standard interpretations of bank policies.</w:t>
      </w:r>
    </w:p>
    <w:p>
      <w:pPr>
        <w:keepNext/>
        <w:spacing w:before="360" w:after="120"/>
      </w:pPr>
      <w:r>
        <w:rPr>
          <w:rFonts w:ascii="Calibri" w:hAnsi="Calibri"/>
          <w:b/>
          <w:i w:val="0"/>
          <w:color w:val="1A365D"/>
          <w:sz w:val="36"/>
        </w:rPr>
        <w:t>11. Complete Codebase Directory Structure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2" w:space="0" w:color="CBD5E0"/>
              <w:top w:val="single" w:sz="4" w:space="0" w:color="E2E8F0"/>
              <w:right w:val="single" w:sz="4" w:space="0" w:color="E2E8F0"/>
              <w:bottom w:val="single" w:sz="4" w:space="0" w:color="E2E8F0"/>
            </w:tcBorders>
          </w:tcPr>
          <w:p>
            <w:pPr>
              <w:spacing w:before="40" w:after="40" w:line="252" w:lineRule="auto"/>
            </w:pPr>
            <w:r>
              <w:rPr>
                <w:rFonts w:ascii="Consolas" w:hAnsi="Consolas"/>
                <w:b w:val="0"/>
                <w:i w:val="0"/>
                <w:color w:val="1E293B"/>
                <w:sz w:val="19"/>
              </w:rPr>
              <w:t>Bank_Guide_AI/</w:t>
              <w:br/>
              <w:t>├── config.py                 # Centralized configuration constants (models, paths, thresholds)</w:t>
              <w:br/>
              <w:t>├── app.py                    # Streamlit web application &amp; interactive UI</w:t>
              <w:br/>
              <w:t>├── requirements.txt          # Production Python package dependencies</w:t>
              <w:br/>
              <w:t>├── .env.example              # Sample environment variable template</w:t>
              <w:br/>
              <w:t>├── .env                      # Local environment configuration (GROQ_API_KEY)</w:t>
              <w:br/>
              <w:t>├── README.md                 # Project README and quickstart guide</w:t>
              <w:br/>
              <w:t>├── data/</w:t>
              <w:br/>
              <w:t>│   └── pdfs/                 # Source banking PDF manuals (3 standard SOPs)</w:t>
              <w:br/>
              <w:t>├── vectorstore/</w:t>
              <w:br/>
              <w:t>│   ├── chroma_db/            # Persisted Chroma vector database files</w:t>
              <w:br/>
              <w:t>│   └── ocr_cache/            # Document extraction JSON cache (keyed by MD5 hash)</w:t>
              <w:br/>
              <w:t>├── ingestion/</w:t>
              <w:br/>
              <w:t>│   ├── __init__.py</w:t>
              <w:br/>
              <w:t>│   ├── ocr_loader.py         # PyMuPDF parser + Tesseract OCR fallback engine</w:t>
              <w:br/>
              <w:t>│   ├── chunking.py           # 5 interchangeable chunking strategy implementations</w:t>
              <w:br/>
              <w:t>│   ├── embeddings.py         # BAAI/bge-m3 GPU embedding model manager</w:t>
              <w:br/>
              <w:t>│   └── ingest.py             # CLI and orchestrator for end-to-end ingestion</w:t>
              <w:br/>
              <w:t>├── retrieval/</w:t>
              <w:br/>
              <w:t>│   ├── __init__.py</w:t>
              <w:br/>
              <w:t>│   ├── vectorstore.py        # ChromaDB vector store builder &amp; loader</w:t>
              <w:br/>
              <w:t>│   └── retriever.py          # Similarity and MMR search wrappers</w:t>
              <w:br/>
              <w:t>└── generation/</w:t>
              <w:br/>
              <w:t xml:space="preserve">    ├── __init__.py</w:t>
              <w:br/>
              <w:t xml:space="preserve">    └── generator.py          # Groq LLM completion chain &amp; grounding prompt</w:t>
              <w:br/>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