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Segoe UI" w:hAnsi="Segoe UI"/>
          <w:b/>
          <w:color w:val="1B365D"/>
          <w:sz w:val="56"/>
        </w:rPr>
        <w:t>Bank_Guide_AI</w:t>
      </w:r>
    </w:p>
    <w:p>
      <w:pPr>
        <w:spacing w:before="0" w:after="360"/>
      </w:pPr>
      <w:r>
        <w:rPr>
          <w:rFonts w:ascii="Segoe UI" w:hAnsi="Segoe UI"/>
          <w:color w:val="4A777A"/>
          <w:sz w:val="26"/>
        </w:rPr>
        <w:t>Bilingual Banking Standard Operating Procedures (SOP) Knowledge Assistant</w:t>
        <w:br/>
        <w:t>with GPU-Accelerated Hybrid RAG (Dense BGE-M3 + Sparse BM25 + RRF)</w:t>
      </w:r>
    </w:p>
    <w:tbl>
      <w:tblPr>
        <w:tblW w:type="auto" w:w="0"/>
        <w:jc w:val="center"/>
        <w:tblLook w:firstColumn="1" w:firstRow="1" w:lastColumn="0" w:lastRow="0" w:noHBand="0" w:noVBand="1" w:val="04A0"/>
      </w:tblPr>
      <w:tblGrid>
        <w:gridCol w:w="3168"/>
        <w:gridCol w:w="6192"/>
      </w:tblGrid>
      <w:tr>
        <w:tc>
          <w:tcPr>
            <w:tcW w:type="dxa" w:w="4680"/>
            <w:shd w:fill="2B4C7E"/>
            <w:tcMar>
              <w:top w:w="120" w:type="dxa"/>
              <w:bottom w:w="120" w:type="dxa"/>
              <w:left w:w="140" w:type="dxa"/>
              <w:right w:w="140" w:type="dxa"/>
            </w:tcMar>
          </w:tcPr>
          <w:p>
            <w:pPr>
              <w:jc w:val="left"/>
            </w:pPr>
            <w:r>
              <w:rPr>
                <w:rFonts w:ascii="Segoe UI" w:hAnsi="Segoe UI"/>
                <w:b/>
                <w:color w:val="FFFFFF"/>
                <w:sz w:val="20"/>
              </w:rPr>
              <w:t>Parameter</w:t>
            </w:r>
          </w:p>
        </w:tc>
        <w:tc>
          <w:tcPr>
            <w:tcW w:type="dxa" w:w="4680"/>
            <w:shd w:fill="2B4C7E"/>
            <w:tcMar>
              <w:top w:w="120" w:type="dxa"/>
              <w:bottom w:w="120" w:type="dxa"/>
              <w:left w:w="140" w:type="dxa"/>
              <w:right w:w="140" w:type="dxa"/>
            </w:tcMar>
          </w:tcPr>
          <w:p>
            <w:pPr>
              <w:jc w:val="left"/>
            </w:pPr>
            <w:r>
              <w:rPr>
                <w:rFonts w:ascii="Segoe UI" w:hAnsi="Segoe UI"/>
                <w:b/>
                <w:color w:val="FFFFFF"/>
                <w:sz w:val="20"/>
              </w:rPr>
              <w:t>System Specification</w:t>
            </w:r>
          </w:p>
        </w:tc>
      </w:tr>
      <w:tr>
        <w:tc>
          <w:tcPr>
            <w:tcW w:type="dxa" w:w="4680"/>
            <w:shd w:fill="FFFFFF"/>
            <w:tcMar>
              <w:top w:w="100" w:type="dxa"/>
              <w:bottom w:w="100" w:type="dxa"/>
              <w:left w:w="140" w:type="dxa"/>
              <w:right w:w="140" w:type="dxa"/>
            </w:tcMar>
          </w:tcPr>
          <w:p>
            <w:r>
              <w:rPr>
                <w:rFonts w:ascii="Segoe UI" w:hAnsi="Segoe UI"/>
                <w:color w:val="282828"/>
                <w:sz w:val="19"/>
              </w:rPr>
              <w:t>Document Version</w:t>
            </w:r>
          </w:p>
        </w:tc>
        <w:tc>
          <w:tcPr>
            <w:tcW w:type="dxa" w:w="4680"/>
            <w:shd w:fill="FFFFFF"/>
            <w:tcMar>
              <w:top w:w="100" w:type="dxa"/>
              <w:bottom w:w="100" w:type="dxa"/>
              <w:left w:w="140" w:type="dxa"/>
              <w:right w:w="140" w:type="dxa"/>
            </w:tcMar>
          </w:tcPr>
          <w:p>
            <w:r>
              <w:rPr>
                <w:rFonts w:ascii="Segoe UI" w:hAnsi="Segoe UI"/>
                <w:color w:val="282828"/>
                <w:sz w:val="19"/>
              </w:rPr>
              <w:t>2.0 (Production Release — Hybrid Retrieval Enabled)</w:t>
            </w:r>
          </w:p>
        </w:tc>
      </w:tr>
      <w:tr>
        <w:tc>
          <w:tcPr>
            <w:tcW w:type="dxa" w:w="4680"/>
            <w:shd w:fill="F4F7FB"/>
            <w:tcMar>
              <w:top w:w="100" w:type="dxa"/>
              <w:bottom w:w="100" w:type="dxa"/>
              <w:left w:w="140" w:type="dxa"/>
              <w:right w:w="140" w:type="dxa"/>
            </w:tcMar>
          </w:tcPr>
          <w:p>
            <w:r>
              <w:rPr>
                <w:rFonts w:ascii="Segoe UI" w:hAnsi="Segoe UI"/>
                <w:color w:val="282828"/>
                <w:sz w:val="19"/>
              </w:rPr>
              <w:t>Classification</w:t>
            </w:r>
          </w:p>
        </w:tc>
        <w:tc>
          <w:tcPr>
            <w:tcW w:type="dxa" w:w="4680"/>
            <w:shd w:fill="F4F7FB"/>
            <w:tcMar>
              <w:top w:w="100" w:type="dxa"/>
              <w:bottom w:w="100" w:type="dxa"/>
              <w:left w:w="140" w:type="dxa"/>
              <w:right w:w="140" w:type="dxa"/>
            </w:tcMar>
          </w:tcPr>
          <w:p>
            <w:r>
              <w:rPr>
                <w:rFonts w:ascii="Segoe UI" w:hAnsi="Segoe UI"/>
                <w:color w:val="282828"/>
                <w:sz w:val="19"/>
              </w:rPr>
              <w:t>Internal Enterprise Banking Architecture Specification</w:t>
            </w:r>
          </w:p>
        </w:tc>
      </w:tr>
      <w:tr>
        <w:tc>
          <w:tcPr>
            <w:tcW w:type="dxa" w:w="4680"/>
            <w:shd w:fill="FFFFFF"/>
            <w:tcMar>
              <w:top w:w="100" w:type="dxa"/>
              <w:bottom w:w="100" w:type="dxa"/>
              <w:left w:w="140" w:type="dxa"/>
              <w:right w:w="140" w:type="dxa"/>
            </w:tcMar>
          </w:tcPr>
          <w:p>
            <w:r>
              <w:rPr>
                <w:rFonts w:ascii="Segoe UI" w:hAnsi="Segoe UI"/>
                <w:color w:val="282828"/>
                <w:sz w:val="19"/>
              </w:rPr>
              <w:t>Author &amp; Engineering Lead</w:t>
            </w:r>
          </w:p>
        </w:tc>
        <w:tc>
          <w:tcPr>
            <w:tcW w:type="dxa" w:w="4680"/>
            <w:shd w:fill="FFFFFF"/>
            <w:tcMar>
              <w:top w:w="100" w:type="dxa"/>
              <w:bottom w:w="100" w:type="dxa"/>
              <w:left w:w="140" w:type="dxa"/>
              <w:right w:w="140" w:type="dxa"/>
            </w:tcMar>
          </w:tcPr>
          <w:p>
            <w:r>
              <w:rPr>
                <w:rFonts w:ascii="Segoe UI" w:hAnsi="Segoe UI"/>
                <w:color w:val="282828"/>
                <w:sz w:val="19"/>
              </w:rPr>
              <w:t>Ahmed Esam (AI Engineering &amp; Architecture)</w:t>
            </w:r>
          </w:p>
        </w:tc>
      </w:tr>
      <w:tr>
        <w:tc>
          <w:tcPr>
            <w:tcW w:type="dxa" w:w="4680"/>
            <w:shd w:fill="F4F7FB"/>
            <w:tcMar>
              <w:top w:w="100" w:type="dxa"/>
              <w:bottom w:w="100" w:type="dxa"/>
              <w:left w:w="140" w:type="dxa"/>
              <w:right w:w="140" w:type="dxa"/>
            </w:tcMar>
          </w:tcPr>
          <w:p>
            <w:r>
              <w:rPr>
                <w:rFonts w:ascii="Segoe UI" w:hAnsi="Segoe UI"/>
                <w:color w:val="282828"/>
                <w:sz w:val="19"/>
              </w:rPr>
              <w:t>Knowledge Domain</w:t>
            </w:r>
          </w:p>
        </w:tc>
        <w:tc>
          <w:tcPr>
            <w:tcW w:type="dxa" w:w="4680"/>
            <w:shd w:fill="F4F7FB"/>
            <w:tcMar>
              <w:top w:w="100" w:type="dxa"/>
              <w:bottom w:w="100" w:type="dxa"/>
              <w:left w:w="140" w:type="dxa"/>
              <w:right w:w="140" w:type="dxa"/>
            </w:tcMar>
          </w:tcPr>
          <w:p>
            <w:r>
              <w:rPr>
                <w:rFonts w:ascii="Segoe UI" w:hAnsi="Segoe UI"/>
                <w:color w:val="282828"/>
                <w:sz w:val="19"/>
              </w:rPr>
              <w:t>Standard Operating Procedures (SOP), Compliance &amp; Internal Manuals</w:t>
            </w:r>
          </w:p>
        </w:tc>
      </w:tr>
      <w:tr>
        <w:tc>
          <w:tcPr>
            <w:tcW w:type="dxa" w:w="4680"/>
            <w:shd w:fill="FFFFFF"/>
            <w:tcMar>
              <w:top w:w="100" w:type="dxa"/>
              <w:bottom w:w="100" w:type="dxa"/>
              <w:left w:w="140" w:type="dxa"/>
              <w:right w:w="140" w:type="dxa"/>
            </w:tcMar>
          </w:tcPr>
          <w:p>
            <w:r>
              <w:rPr>
                <w:rFonts w:ascii="Segoe UI" w:hAnsi="Segoe UI"/>
                <w:color w:val="282828"/>
                <w:sz w:val="19"/>
              </w:rPr>
              <w:t>Supported Languages</w:t>
            </w:r>
          </w:p>
        </w:tc>
        <w:tc>
          <w:tcPr>
            <w:tcW w:type="dxa" w:w="4680"/>
            <w:shd w:fill="FFFFFF"/>
            <w:tcMar>
              <w:top w:w="100" w:type="dxa"/>
              <w:bottom w:w="100" w:type="dxa"/>
              <w:left w:w="140" w:type="dxa"/>
              <w:right w:w="140" w:type="dxa"/>
            </w:tcMar>
          </w:tcPr>
          <w:p>
            <w:r>
              <w:rPr>
                <w:rFonts w:ascii="Segoe UI" w:hAnsi="Segoe UI"/>
                <w:color w:val="282828"/>
                <w:sz w:val="19"/>
              </w:rPr>
              <w:t>Arabic (Native Source Documents) &amp; English (Cross-Lingual Queries)</w:t>
            </w:r>
          </w:p>
        </w:tc>
      </w:tr>
    </w:tbl>
    <w:p>
      <w:pPr>
        <w:spacing w:after="240"/>
      </w:pPr>
    </w:p>
    <w:p>
      <w:pPr>
        <w:pStyle w:val="Heading1"/>
        <w:spacing w:before="360" w:after="120"/>
      </w:pPr>
      <w:r>
        <w:rPr>
          <w:rFonts w:ascii="Segoe UI" w:hAnsi="Segoe UI"/>
          <w:b/>
          <w:color w:val="1B365D"/>
          <w:sz w:val="32"/>
        </w:rPr>
        <w:t>1. Executive Summary &amp; Business Objectives</w:t>
      </w:r>
    </w:p>
    <w:p>
      <w:pPr>
        <w:spacing w:after="160"/>
      </w:pPr>
      <w:r>
        <w:t>Commercial and retail banking operations depend heavily on rigorous compliance with internal Standard Operating Procedures (SOPs), circulars, and departmental manuals. However, these documents often span hundreds of dense, bureaucratic Arabic pages, scanned PDF circulars, and intricate multi-step workflows. Branch officers, compliance auditors, and warehouse managers face significant delays when manually locating specific procedural clauses—such as daily postal cut-off times, lost keycard penalties, CCTV extraction permissions, and fixed asset disposal protocols.</w:t>
      </w:r>
    </w:p>
    <w:p>
      <w:pPr>
        <w:spacing w:after="80"/>
      </w:pPr>
      <w:r>
        <w:t>Bank_Guide_AI is an enterprise-grade Retrieval-Augmented Generation (RAG) system engineered to solve this challenge. It delivers instant, zero-hallucination, bilingual procedural guidance by combining:</w:t>
      </w:r>
    </w:p>
    <w:p>
      <w:pPr>
        <w:pStyle w:val="ListBullet"/>
        <w:spacing w:after="60"/>
      </w:pPr>
      <w:r>
        <w:rPr>
          <w:b/>
          <w:color w:val="1B365D"/>
        </w:rPr>
        <w:t xml:space="preserve">⚡ GPU-Accelerated Dense Embeddings: </w:t>
      </w:r>
      <w:r>
        <w:t>Utilizes BAAI/bge-m3 on NVIDIA CUDA for rapid semantic vector representation across 100+ languages.</w:t>
      </w:r>
    </w:p>
    <w:p>
      <w:pPr>
        <w:pStyle w:val="ListBullet"/>
        <w:spacing w:after="60"/>
      </w:pPr>
      <w:r>
        <w:rPr>
          <w:b/>
          <w:color w:val="1B365D"/>
        </w:rPr>
        <w:t xml:space="preserve">🔍 Sparse BM25 Keyword Search: </w:t>
      </w:r>
      <w:r>
        <w:t>Provides exact lexical matching for banking acronyms (BPM, FIFO, ATM), article numbers, and numerical policies.</w:t>
      </w:r>
    </w:p>
    <w:p>
      <w:pPr>
        <w:pStyle w:val="ListBullet"/>
        <w:spacing w:after="60"/>
      </w:pPr>
      <w:r>
        <w:rPr>
          <w:b/>
          <w:color w:val="1B365D"/>
        </w:rPr>
        <w:t xml:space="preserve">🔀 Hybrid Reciprocal Rank Fusion (RRF): </w:t>
      </w:r>
      <w:r>
        <w:t>Harmonizes dense semantic nuance with exact keyword precision with user-tunable weighting.</w:t>
      </w:r>
    </w:p>
    <w:p>
      <w:pPr>
        <w:pStyle w:val="ListBullet"/>
        <w:spacing w:after="60"/>
      </w:pPr>
      <w:r>
        <w:rPr>
          <w:b/>
          <w:color w:val="1B365D"/>
        </w:rPr>
        <w:t xml:space="preserve">📑 OCR-Aware Fallback Pipeline: </w:t>
      </w:r>
      <w:r>
        <w:t>Automatically parses native PDF text layers via PyMuPDF while invoking Tesseract OCR (ara+eng) for scanned circulars and rasterized tables.</w:t>
      </w:r>
    </w:p>
    <w:p>
      <w:pPr>
        <w:pStyle w:val="ListBullet"/>
        <w:spacing w:after="60"/>
      </w:pPr>
      <w:r>
        <w:rPr>
          <w:b/>
          <w:color w:val="1B365D"/>
        </w:rPr>
        <w:t xml:space="preserve">🛡️ Grounded Citation Governance: </w:t>
      </w:r>
      <w:r>
        <w:t>Every LLM response is strictly constrained to retrieved context, citing the exact document name, page number, and extraction method.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pPr>
            <w:r>
              <w:rPr>
                <w:rFonts w:ascii="Segoe UI" w:hAnsi="Segoe UI"/>
                <w:b/>
                <w:color w:val="1B365D"/>
                <w:sz w:val="21"/>
              </w:rPr>
              <w:t>📌 GOVERNANCE &amp; COMPLIANCE STANDARD</w:t>
              <w:br/>
            </w:r>
            <w:r>
              <w:rPr>
                <w:rFonts w:ascii="Segoe UI" w:hAnsi="Segoe UI"/>
                <w:color w:val="333333"/>
                <w:sz w:val="20"/>
              </w:rPr>
              <w:t>The system enforces a strict anti-hallucination policy: If a requested policy or procedure is not present in the ingested knowledge base, the assistant explicitly states that the manuals do not cover the subject, preventing operational or compliance risks.</w:t>
            </w:r>
          </w:p>
        </w:tc>
      </w:tr>
    </w:tbl>
    <w:p>
      <w:pPr>
        <w:spacing w:after="120"/>
      </w:pPr>
    </w:p>
    <w:p>
      <w:pPr>
        <w:pStyle w:val="Heading1"/>
        <w:spacing w:before="320" w:after="120"/>
      </w:pPr>
      <w:r>
        <w:rPr>
          <w:rFonts w:ascii="Segoe UI" w:hAnsi="Segoe UI"/>
          <w:b/>
          <w:color w:val="1B365D"/>
          <w:sz w:val="32"/>
        </w:rPr>
        <w:t>2. Ingested Procedural Knowledge Base</w:t>
      </w:r>
    </w:p>
    <w:p>
      <w:pPr>
        <w:spacing w:after="120"/>
      </w:pPr>
      <w:r>
        <w:t>The system currently indexes three core banking procedure manuals located in the data repository:</w:t>
      </w:r>
    </w:p>
    <w:tbl>
      <w:tblPr>
        <w:tblW w:type="auto" w:w="0"/>
        <w:jc w:val="center"/>
        <w:tblLook w:firstColumn="1" w:firstRow="1" w:lastColumn="0" w:lastRow="0" w:noHBand="0" w:noVBand="1" w:val="04A0"/>
      </w:tblPr>
      <w:tblGrid>
        <w:gridCol w:w="3024"/>
        <w:gridCol w:w="3024"/>
        <w:gridCol w:w="3312"/>
      </w:tblGrid>
      <w:tr>
        <w:tc>
          <w:tcPr>
            <w:tcW w:type="dxa" w:w="3120"/>
            <w:shd w:fill="1B365D"/>
            <w:tcMar>
              <w:top w:w="120" w:type="dxa"/>
              <w:bottom w:w="120" w:type="dxa"/>
              <w:left w:w="140" w:type="dxa"/>
              <w:right w:w="140" w:type="dxa"/>
            </w:tcMar>
          </w:tcPr>
          <w:p>
            <w:pPr>
              <w:jc w:val="left"/>
            </w:pPr>
            <w:r>
              <w:rPr>
                <w:rFonts w:ascii="Segoe UI" w:hAnsi="Segoe UI"/>
                <w:b/>
                <w:color w:val="FFFFFF"/>
                <w:sz w:val="20"/>
              </w:rPr>
              <w:t>Manual Name</w:t>
            </w:r>
          </w:p>
        </w:tc>
        <w:tc>
          <w:tcPr>
            <w:tcW w:type="dxa" w:w="3120"/>
            <w:shd w:fill="1B365D"/>
            <w:tcMar>
              <w:top w:w="120" w:type="dxa"/>
              <w:bottom w:w="120" w:type="dxa"/>
              <w:left w:w="140" w:type="dxa"/>
              <w:right w:w="140" w:type="dxa"/>
            </w:tcMar>
          </w:tcPr>
          <w:p>
            <w:pPr>
              <w:jc w:val="left"/>
            </w:pPr>
            <w:r>
              <w:rPr>
                <w:rFonts w:ascii="Segoe UI" w:hAnsi="Segoe UI"/>
                <w:b/>
                <w:color w:val="FFFFFF"/>
                <w:sz w:val="20"/>
              </w:rPr>
              <w:t>Arabic Title &amp; Scope</w:t>
            </w:r>
          </w:p>
        </w:tc>
        <w:tc>
          <w:tcPr>
            <w:tcW w:type="dxa" w:w="3120"/>
            <w:shd w:fill="1B365D"/>
            <w:tcMar>
              <w:top w:w="120" w:type="dxa"/>
              <w:bottom w:w="120" w:type="dxa"/>
              <w:left w:w="140" w:type="dxa"/>
              <w:right w:w="140" w:type="dxa"/>
            </w:tcMar>
          </w:tcPr>
          <w:p>
            <w:pPr>
              <w:jc w:val="left"/>
            </w:pPr>
            <w:r>
              <w:rPr>
                <w:rFonts w:ascii="Segoe UI" w:hAnsi="Segoe UI"/>
                <w:b/>
                <w:color w:val="FFFFFF"/>
                <w:sz w:val="20"/>
              </w:rPr>
              <w:t>Key Core Topics &amp; Operational Clauses</w:t>
            </w:r>
          </w:p>
        </w:tc>
      </w:tr>
      <w:tr>
        <w:tc>
          <w:tcPr>
            <w:tcW w:type="dxa" w:w="3120"/>
            <w:shd w:fill="FFFFFF"/>
            <w:tcMar>
              <w:top w:w="100" w:type="dxa"/>
              <w:bottom w:w="100" w:type="dxa"/>
              <w:left w:w="140" w:type="dxa"/>
              <w:right w:w="140" w:type="dxa"/>
            </w:tcMar>
          </w:tcPr>
          <w:p>
            <w:r>
              <w:rPr>
                <w:rFonts w:ascii="Segoe UI" w:hAnsi="Segoe UI"/>
                <w:color w:val="282828"/>
                <w:sz w:val="19"/>
              </w:rPr>
              <w:t>Central Mail &amp; Files Manual</w:t>
              <w:br/>
              <w:t>(Central_Mail_and_Files_Unit_Procedures_Manual.pdf)</w:t>
            </w:r>
          </w:p>
        </w:tc>
        <w:tc>
          <w:tcPr>
            <w:tcW w:type="dxa" w:w="3120"/>
            <w:shd w:fill="FFFFFF"/>
            <w:tcMar>
              <w:top w:w="100" w:type="dxa"/>
              <w:bottom w:w="100" w:type="dxa"/>
              <w:left w:w="140" w:type="dxa"/>
              <w:right w:w="140" w:type="dxa"/>
            </w:tcMar>
          </w:tcPr>
          <w:p>
            <w:r>
              <w:rPr>
                <w:rFonts w:ascii="Segoe UI" w:hAnsi="Segoe UI"/>
                <w:color w:val="282828"/>
                <w:sz w:val="19"/>
              </w:rPr>
              <w:t>دليل إجراءات وحدة البريد المركزي والملفات</w:t>
              <w:br/>
              <w:t>(Administration / Operations)</w:t>
            </w:r>
          </w:p>
        </w:tc>
        <w:tc>
          <w:tcPr>
            <w:tcW w:type="dxa" w:w="3120"/>
            <w:shd w:fill="FFFFFF"/>
            <w:tcMar>
              <w:top w:w="100" w:type="dxa"/>
              <w:bottom w:w="100" w:type="dxa"/>
              <w:left w:w="140" w:type="dxa"/>
              <w:right w:w="140" w:type="dxa"/>
            </w:tcMar>
          </w:tcPr>
          <w:p>
            <w:r>
              <w:rPr>
                <w:rFonts w:ascii="Segoe UI" w:hAnsi="Segoe UI"/>
                <w:color w:val="282828"/>
                <w:sz w:val="19"/>
              </w:rPr>
              <w:t>• Daily BPM submission cut-off at 1:30 PM</w:t>
              <w:br/>
              <w:t>• Prohibition of sending debit card + PIN in same parcel</w:t>
              <w:br/>
              <w:t>• Archiving of approved credit files (Doxis / physical)</w:t>
              <w:br/>
              <w:t>• Domestic &amp; international courier contracts</w:t>
            </w:r>
          </w:p>
        </w:tc>
      </w:tr>
      <w:tr>
        <w:tc>
          <w:tcPr>
            <w:tcW w:type="dxa" w:w="3120"/>
            <w:shd w:fill="F9FBFD"/>
            <w:tcMar>
              <w:top w:w="100" w:type="dxa"/>
              <w:bottom w:w="100" w:type="dxa"/>
              <w:left w:w="140" w:type="dxa"/>
              <w:right w:w="140" w:type="dxa"/>
            </w:tcMar>
          </w:tcPr>
          <w:p>
            <w:r>
              <w:rPr>
                <w:rFonts w:ascii="Segoe UI" w:hAnsi="Segoe UI"/>
                <w:color w:val="282828"/>
                <w:sz w:val="19"/>
              </w:rPr>
              <w:t>Central Alarm Tasks Manual</w:t>
              <w:br/>
              <w:t>(Central_Alarm_Tasks_and_Procedures_Manual.pdf)</w:t>
            </w:r>
          </w:p>
        </w:tc>
        <w:tc>
          <w:tcPr>
            <w:tcW w:type="dxa" w:w="3120"/>
            <w:shd w:fill="F9FBFD"/>
            <w:tcMar>
              <w:top w:w="100" w:type="dxa"/>
              <w:bottom w:w="100" w:type="dxa"/>
              <w:left w:w="140" w:type="dxa"/>
              <w:right w:w="140" w:type="dxa"/>
            </w:tcMar>
          </w:tcPr>
          <w:p>
            <w:r>
              <w:rPr>
                <w:rFonts w:ascii="Segoe UI" w:hAnsi="Segoe UI"/>
                <w:color w:val="282828"/>
                <w:sz w:val="19"/>
              </w:rPr>
              <w:t>دليل إجراءات وحدة الإنذار المركزي</w:t>
              <w:br/>
              <w:t>(Security &amp; Branch Safety)</w:t>
            </w:r>
          </w:p>
        </w:tc>
        <w:tc>
          <w:tcPr>
            <w:tcW w:type="dxa" w:w="3120"/>
            <w:shd w:fill="F9FBFD"/>
            <w:tcMar>
              <w:top w:w="100" w:type="dxa"/>
              <w:bottom w:w="100" w:type="dxa"/>
              <w:left w:w="140" w:type="dxa"/>
              <w:right w:w="140" w:type="dxa"/>
            </w:tcMar>
          </w:tcPr>
          <w:p>
            <w:r>
              <w:rPr>
                <w:rFonts w:ascii="Segoe UI" w:hAnsi="Segoe UI"/>
                <w:color w:val="282828"/>
                <w:sz w:val="19"/>
              </w:rPr>
              <w:t>• 10 JOD replacement penalty for lost access cards</w:t>
              <w:br/>
              <w:t>• Exemption criteria (technical defect or after 2 years)</w:t>
              <w:br/>
              <w:t>• CCTV footage extraction protocols &amp; security approvals</w:t>
              <w:br/>
              <w:t>• Fire and anti-burglary alarm monitoring cycles</w:t>
            </w:r>
          </w:p>
        </w:tc>
      </w:tr>
      <w:tr>
        <w:tc>
          <w:tcPr>
            <w:tcW w:type="dxa" w:w="3120"/>
            <w:shd w:fill="FFFFFF"/>
            <w:tcMar>
              <w:top w:w="100" w:type="dxa"/>
              <w:bottom w:w="100" w:type="dxa"/>
              <w:left w:w="140" w:type="dxa"/>
              <w:right w:w="140" w:type="dxa"/>
            </w:tcMar>
          </w:tcPr>
          <w:p>
            <w:r>
              <w:rPr>
                <w:rFonts w:ascii="Segoe UI" w:hAnsi="Segoe UI"/>
                <w:color w:val="282828"/>
                <w:sz w:val="19"/>
              </w:rPr>
              <w:t>Assets &amp; Warehouse Operations Manual</w:t>
              <w:br/>
              <w:t>(Assets_and_Warehouse_Operations_Manual.pdf)</w:t>
            </w:r>
          </w:p>
        </w:tc>
        <w:tc>
          <w:tcPr>
            <w:tcW w:type="dxa" w:w="3120"/>
            <w:shd w:fill="FFFFFF"/>
            <w:tcMar>
              <w:top w:w="100" w:type="dxa"/>
              <w:bottom w:w="100" w:type="dxa"/>
              <w:left w:w="140" w:type="dxa"/>
              <w:right w:w="140" w:type="dxa"/>
            </w:tcMar>
          </w:tcPr>
          <w:p>
            <w:r>
              <w:rPr>
                <w:rFonts w:ascii="Segoe UI" w:hAnsi="Segoe UI"/>
                <w:color w:val="282828"/>
                <w:sz w:val="19"/>
              </w:rPr>
              <w:t>دليل إجراءات وحدة الموجودات وعمليات المستودعات</w:t>
              <w:br/>
              <w:t>(Supply Chain &amp; Logistics)</w:t>
            </w:r>
          </w:p>
        </w:tc>
        <w:tc>
          <w:tcPr>
            <w:tcW w:type="dxa" w:w="3120"/>
            <w:shd w:fill="FFFFFF"/>
            <w:tcMar>
              <w:top w:w="100" w:type="dxa"/>
              <w:bottom w:w="100" w:type="dxa"/>
              <w:left w:w="140" w:type="dxa"/>
              <w:right w:w="140" w:type="dxa"/>
            </w:tcMar>
          </w:tcPr>
          <w:p>
            <w:r>
              <w:rPr>
                <w:rFonts w:ascii="Segoe UI" w:hAnsi="Segoe UI"/>
                <w:color w:val="282828"/>
                <w:sz w:val="19"/>
              </w:rPr>
              <w:t>• FIFO (First-In, First-Out) inventory dispatch policy</w:t>
              <w:br/>
              <w:t>• Annual &amp; surprise physical inventory committees</w:t>
              <w:br/>
              <w:t>• Scrap, damaged asset disposal, and donation approvals</w:t>
              <w:br/>
              <w:t>• Goods Receipt Note (GRN) documentation standards</w:t>
            </w:r>
          </w:p>
        </w:tc>
      </w:tr>
    </w:tbl>
    <w:p>
      <w:pPr>
        <w:spacing w:after="200"/>
      </w:pPr>
    </w:p>
    <w:p>
      <w:pPr>
        <w:pStyle w:val="Heading1"/>
        <w:spacing w:before="320" w:after="120"/>
      </w:pPr>
      <w:r>
        <w:rPr>
          <w:rFonts w:ascii="Segoe UI" w:hAnsi="Segoe UI"/>
          <w:b/>
          <w:color w:val="1B365D"/>
          <w:sz w:val="32"/>
        </w:rPr>
        <w:t>3. End-to-End System Architecture</w:t>
      </w:r>
    </w:p>
    <w:p>
      <w:pPr>
        <w:spacing w:after="160"/>
      </w:pPr>
      <w:r>
        <w:t>The architecture is engineered into three modular, high-performance pipelines: (1) Ingestion &amp; Vectorization, (2) Hybrid Retrieval Engine, and (3) Grounded Generation.</w:t>
      </w:r>
    </w:p>
    <w:tbl>
      <w:tblPr>
        <w:tblW w:type="auto" w:w="0"/>
        <w:jc w:val="center"/>
        <w:tblLook w:firstColumn="1" w:firstRow="1" w:lastColumn="0" w:lastRow="0" w:noHBand="0" w:noVBand="1" w:val="04A0"/>
      </w:tblPr>
      <w:tblGrid>
        <w:gridCol w:w="2592"/>
        <w:gridCol w:w="3168"/>
        <w:gridCol w:w="3600"/>
      </w:tblGrid>
      <w:tr>
        <w:tc>
          <w:tcPr>
            <w:tcW w:type="dxa" w:w="3120"/>
            <w:shd w:fill="2B4C7E"/>
            <w:tcMar>
              <w:top w:w="120" w:type="dxa"/>
              <w:bottom w:w="120" w:type="dxa"/>
              <w:left w:w="140" w:type="dxa"/>
              <w:right w:w="140" w:type="dxa"/>
            </w:tcMar>
          </w:tcPr>
          <w:p>
            <w:pPr>
              <w:jc w:val="left"/>
            </w:pPr>
            <w:r>
              <w:rPr>
                <w:rFonts w:ascii="Segoe UI" w:hAnsi="Segoe UI"/>
                <w:b/>
                <w:color w:val="FFFFFF"/>
                <w:sz w:val="20"/>
              </w:rPr>
              <w:t>Pipeline Stage</w:t>
            </w:r>
          </w:p>
        </w:tc>
        <w:tc>
          <w:tcPr>
            <w:tcW w:type="dxa" w:w="3120"/>
            <w:shd w:fill="2B4C7E"/>
            <w:tcMar>
              <w:top w:w="120" w:type="dxa"/>
              <w:bottom w:w="120" w:type="dxa"/>
              <w:left w:w="140" w:type="dxa"/>
              <w:right w:w="140" w:type="dxa"/>
            </w:tcMar>
          </w:tcPr>
          <w:p>
            <w:pPr>
              <w:jc w:val="left"/>
            </w:pPr>
            <w:r>
              <w:rPr>
                <w:rFonts w:ascii="Segoe UI" w:hAnsi="Segoe UI"/>
                <w:b/>
                <w:color w:val="FFFFFF"/>
                <w:sz w:val="20"/>
              </w:rPr>
              <w:t>Core Technologies</w:t>
            </w:r>
          </w:p>
        </w:tc>
        <w:tc>
          <w:tcPr>
            <w:tcW w:type="dxa" w:w="3120"/>
            <w:shd w:fill="2B4C7E"/>
            <w:tcMar>
              <w:top w:w="120" w:type="dxa"/>
              <w:bottom w:w="120" w:type="dxa"/>
              <w:left w:w="140" w:type="dxa"/>
              <w:right w:w="140" w:type="dxa"/>
            </w:tcMar>
          </w:tcPr>
          <w:p>
            <w:pPr>
              <w:jc w:val="left"/>
            </w:pPr>
            <w:r>
              <w:rPr>
                <w:rFonts w:ascii="Segoe UI" w:hAnsi="Segoe UI"/>
                <w:b/>
                <w:color w:val="FFFFFF"/>
                <w:sz w:val="20"/>
              </w:rPr>
              <w:t>Responsibilities &amp; Key Mechanisms</w:t>
            </w:r>
          </w:p>
        </w:tc>
      </w:tr>
      <w:tr>
        <w:tc>
          <w:tcPr>
            <w:tcW w:type="dxa" w:w="3120"/>
            <w:shd w:fill="FFFFFF"/>
            <w:tcMar>
              <w:top w:w="100" w:type="dxa"/>
              <w:bottom w:w="100" w:type="dxa"/>
              <w:left w:w="140" w:type="dxa"/>
              <w:right w:w="140" w:type="dxa"/>
            </w:tcMar>
          </w:tcPr>
          <w:p>
            <w:r>
              <w:rPr>
                <w:rFonts w:ascii="Segoe UI" w:hAnsi="Segoe UI"/>
                <w:color w:val="282828"/>
                <w:sz w:val="19"/>
              </w:rPr>
              <w:t>1. Ingestion &amp;</w:t>
              <w:br/>
              <w:t>Preprocessing</w:t>
            </w:r>
          </w:p>
        </w:tc>
        <w:tc>
          <w:tcPr>
            <w:tcW w:type="dxa" w:w="3120"/>
            <w:shd w:fill="FFFFFF"/>
            <w:tcMar>
              <w:top w:w="100" w:type="dxa"/>
              <w:bottom w:w="100" w:type="dxa"/>
              <w:left w:w="140" w:type="dxa"/>
              <w:right w:w="140" w:type="dxa"/>
            </w:tcMar>
          </w:tcPr>
          <w:p>
            <w:r>
              <w:rPr>
                <w:rFonts w:ascii="Segoe UI" w:hAnsi="Segoe UI"/>
                <w:color w:val="282828"/>
                <w:sz w:val="19"/>
              </w:rPr>
              <w:t>• PyMuPDF (fitz)</w:t>
              <w:br/>
              <w:t>• Tesseract OCR (ara+eng)</w:t>
              <w:br/>
              <w:t>• 5 Chunking Strategies</w:t>
              <w:br/>
              <w:t>• HuggingFace BGE-M3 (CUDA)</w:t>
            </w:r>
          </w:p>
        </w:tc>
        <w:tc>
          <w:tcPr>
            <w:tcW w:type="dxa" w:w="3120"/>
            <w:shd w:fill="FFFFFF"/>
            <w:tcMar>
              <w:top w:w="100" w:type="dxa"/>
              <w:bottom w:w="100" w:type="dxa"/>
              <w:left w:w="140" w:type="dxa"/>
              <w:right w:w="140" w:type="dxa"/>
            </w:tcMar>
          </w:tcPr>
          <w:p>
            <w:r>
              <w:rPr>
                <w:rFonts w:ascii="Segoe UI" w:hAnsi="Segoe UI"/>
                <w:color w:val="282828"/>
                <w:sz w:val="19"/>
              </w:rPr>
              <w:t>• Native text extraction with automatic fallback to OCR</w:t>
              <w:br/>
              <w:t>• JSON extraction cache to prevent redundant OCR</w:t>
              <w:br/>
              <w:t>• 5 Chunking algorithms (recursive, arabic_paragraph, etc.)</w:t>
              <w:br/>
              <w:t>• GPU-accelerated batch embedding into 1024-dim vectors</w:t>
              <w:br/>
              <w:t>• Persistent storage in ChromaDB vector store</w:t>
            </w:r>
          </w:p>
        </w:tc>
      </w:tr>
      <w:tr>
        <w:tc>
          <w:tcPr>
            <w:tcW w:type="dxa" w:w="3120"/>
            <w:shd w:fill="F4F7FB"/>
            <w:tcMar>
              <w:top w:w="100" w:type="dxa"/>
              <w:bottom w:w="100" w:type="dxa"/>
              <w:left w:w="140" w:type="dxa"/>
              <w:right w:w="140" w:type="dxa"/>
            </w:tcMar>
          </w:tcPr>
          <w:p>
            <w:r>
              <w:rPr>
                <w:rFonts w:ascii="Segoe UI" w:hAnsi="Segoe UI"/>
                <w:color w:val="282828"/>
                <w:sz w:val="19"/>
              </w:rPr>
              <w:t>2. Hybrid Retrieval</w:t>
              <w:br/>
              <w:t>&amp; Fusion Engine</w:t>
            </w:r>
          </w:p>
        </w:tc>
        <w:tc>
          <w:tcPr>
            <w:tcW w:type="dxa" w:w="3120"/>
            <w:shd w:fill="F4F7FB"/>
            <w:tcMar>
              <w:top w:w="100" w:type="dxa"/>
              <w:bottom w:w="100" w:type="dxa"/>
              <w:left w:w="140" w:type="dxa"/>
              <w:right w:w="140" w:type="dxa"/>
            </w:tcMar>
          </w:tcPr>
          <w:p>
            <w:r>
              <w:rPr>
                <w:rFonts w:ascii="Segoe UI" w:hAnsi="Segoe UI"/>
                <w:color w:val="282828"/>
                <w:sz w:val="19"/>
              </w:rPr>
              <w:t>• ChromaDB (Dense Vector)</w:t>
              <w:br/>
              <w:t>• BM25Retriever (rank-bm25)</w:t>
              <w:br/>
              <w:t>• Custom HybridEnsembleRetriever</w:t>
              <w:br/>
              <w:t>• Reciprocal Rank Fusion (RRF)</w:t>
            </w:r>
          </w:p>
        </w:tc>
        <w:tc>
          <w:tcPr>
            <w:tcW w:type="dxa" w:w="3120"/>
            <w:shd w:fill="F4F7FB"/>
            <w:tcMar>
              <w:top w:w="100" w:type="dxa"/>
              <w:bottom w:w="100" w:type="dxa"/>
              <w:left w:w="140" w:type="dxa"/>
              <w:right w:w="140" w:type="dxa"/>
            </w:tcMar>
          </w:tcPr>
          <w:p>
            <w:r>
              <w:rPr>
                <w:rFonts w:ascii="Segoe UI" w:hAnsi="Segoe UI"/>
                <w:color w:val="282828"/>
                <w:sz w:val="19"/>
              </w:rPr>
              <w:t>• Dense vector similarity / MMR search for semantic intent</w:t>
              <w:br/>
              <w:t>• BM25 sparse keyword search for acronyms/article numbers</w:t>
              <w:br/>
              <w:t>• Weighted Reciprocal Rank Fusion (RRF formula with constant c=60)</w:t>
              <w:br/>
              <w:t>• Dynamic UI weight ratio slider (0.0 to 1.0)</w:t>
              <w:br/>
              <w:t>• Document source filtering and top-k tuning</w:t>
            </w:r>
          </w:p>
        </w:tc>
      </w:tr>
      <w:tr>
        <w:tc>
          <w:tcPr>
            <w:tcW w:type="dxa" w:w="3120"/>
            <w:shd w:fill="FFFFFF"/>
            <w:tcMar>
              <w:top w:w="100" w:type="dxa"/>
              <w:bottom w:w="100" w:type="dxa"/>
              <w:left w:w="140" w:type="dxa"/>
              <w:right w:w="140" w:type="dxa"/>
            </w:tcMar>
          </w:tcPr>
          <w:p>
            <w:r>
              <w:rPr>
                <w:rFonts w:ascii="Segoe UI" w:hAnsi="Segoe UI"/>
                <w:color w:val="282828"/>
                <w:sz w:val="19"/>
              </w:rPr>
              <w:t>3. Grounded Generation</w:t>
              <w:br/>
              <w:t>&amp; User Interface</w:t>
            </w:r>
          </w:p>
        </w:tc>
        <w:tc>
          <w:tcPr>
            <w:tcW w:type="dxa" w:w="3120"/>
            <w:shd w:fill="FFFFFF"/>
            <w:tcMar>
              <w:top w:w="100" w:type="dxa"/>
              <w:bottom w:w="100" w:type="dxa"/>
              <w:left w:w="140" w:type="dxa"/>
              <w:right w:w="140" w:type="dxa"/>
            </w:tcMar>
          </w:tcPr>
          <w:p>
            <w:r>
              <w:rPr>
                <w:rFonts w:ascii="Segoe UI" w:hAnsi="Segoe UI"/>
                <w:color w:val="282828"/>
                <w:sz w:val="19"/>
              </w:rPr>
              <w:t>• Groq Cloud API</w:t>
              <w:br/>
              <w:t>• Qwen 2.5 / ALLaM / Llama-3.3</w:t>
              <w:br/>
              <w:t>• LangChain Core Prompts</w:t>
              <w:br/>
              <w:t>• Streamlit Interactive App</w:t>
            </w:r>
          </w:p>
        </w:tc>
        <w:tc>
          <w:tcPr>
            <w:tcW w:type="dxa" w:w="3120"/>
            <w:shd w:fill="FFFFFF"/>
            <w:tcMar>
              <w:top w:w="100" w:type="dxa"/>
              <w:bottom w:w="100" w:type="dxa"/>
              <w:left w:w="140" w:type="dxa"/>
              <w:right w:w="140" w:type="dxa"/>
            </w:tcMar>
          </w:tcPr>
          <w:p>
            <w:r>
              <w:rPr>
                <w:rFonts w:ascii="Segoe UI" w:hAnsi="Segoe UI"/>
                <w:color w:val="282828"/>
                <w:sz w:val="19"/>
              </w:rPr>
              <w:t>• Dynamic prompt synthesis with system anti-hallucination guardrails</w:t>
              <w:br/>
              <w:t>• Cross-lingual comprehension (Arabic context -&gt; English/Arabic response)</w:t>
              <w:br/>
              <w:t>• Source attribution expander with document name, page, and preview</w:t>
              <w:br/>
              <w:t>• Full multi-turn conversation memory within session state</w:t>
            </w:r>
          </w:p>
        </w:tc>
      </w:tr>
    </w:tbl>
    <w:p>
      <w:pPr>
        <w:spacing w:after="200"/>
      </w:pPr>
    </w:p>
    <w:p>
      <w:pPr>
        <w:pStyle w:val="Heading1"/>
        <w:spacing w:before="320" w:after="120"/>
      </w:pPr>
      <w:r>
        <w:rPr>
          <w:rFonts w:ascii="Segoe UI" w:hAnsi="Segoe UI"/>
          <w:b/>
          <w:color w:val="1B365D"/>
          <w:sz w:val="32"/>
        </w:rPr>
        <w:t>4. Hybrid Retrieval &amp; Reciprocal Rank Fusion (RRF)</w:t>
      </w:r>
    </w:p>
    <w:p>
      <w:pPr>
        <w:spacing w:after="160"/>
      </w:pPr>
      <w:r>
        <w:t>A critical innovation in Bank_Guide_AI v2.0 is the implementation of Hybrid Retrieval. Pure semantic embeddings can sometimes miss exact numerical article codes or banking abbreviations (such as BPM or FIFO), while pure keyword search fails on semantic paraphrasing and cross-lingual translation. Hybrid retrieval harmonizes both paradigms using Reciprocal Rank Fusion (RRF).</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pPr>
            <w:r>
              <w:rPr>
                <w:rFonts w:ascii="Segoe UI" w:hAnsi="Segoe UI"/>
                <w:b/>
                <w:color w:val="1B365D"/>
                <w:sz w:val="21"/>
              </w:rPr>
              <w:t>📌 MATHEMATICAL FORMULATION — RECIPROCAL RANK FUSION (RRF)</w:t>
              <w:br/>
            </w:r>
            <w:r>
              <w:rPr>
                <w:rFonts w:ascii="Segoe UI" w:hAnsi="Segoe UI"/>
                <w:color w:val="333333"/>
                <w:sz w:val="20"/>
              </w:rPr>
              <w:t>RRF Score Formulation:</w:t>
              <w:br/>
              <w:t>Score(d) = w_dense * (1 / (c + rank_dense(d) + 1)) + w_sparse * (1 / (c + rank_sparse(d) + 1))</w:t>
              <w:br/>
              <w:br/>
              <w:t>Where:</w:t>
              <w:br/>
              <w:t>• rank(d) is the 0-indexed position of document chunk d in the respective retriever's ranked list.</w:t>
              <w:br/>
              <w:t>• c = 60 is the standard rank smoothing constant to prevent outliers from dominating the score.</w:t>
              <w:br/>
              <w:t>• w_dense and w_sparse are user-tunable weights (default: 0.5 dense, 0.5 sparse) configured via the UI slider.</w:t>
            </w:r>
          </w:p>
        </w:tc>
      </w:tr>
    </w:tbl>
    <w:p>
      <w:pPr>
        <w:spacing w:after="120"/>
      </w:pPr>
    </w:p>
    <w:p>
      <w:pPr>
        <w:pStyle w:val="Heading2"/>
        <w:spacing w:before="200" w:after="80"/>
      </w:pPr>
      <w:r>
        <w:rPr>
          <w:rFonts w:ascii="Segoe UI" w:hAnsi="Segoe UI"/>
          <w:b/>
          <w:color w:val="4A777A"/>
          <w:sz w:val="24"/>
        </w:rPr>
        <w:t>4.1 Retrieval Modes Comparison</w:t>
      </w:r>
    </w:p>
    <w:tbl>
      <w:tblPr>
        <w:tblW w:type="auto" w:w="0"/>
        <w:jc w:val="center"/>
        <w:tblLook w:firstColumn="1" w:firstRow="1" w:lastColumn="0" w:lastRow="0" w:noHBand="0" w:noVBand="1" w:val="04A0"/>
      </w:tblPr>
      <w:tblGrid>
        <w:gridCol w:w="2160"/>
        <w:gridCol w:w="2304"/>
        <w:gridCol w:w="2592"/>
        <w:gridCol w:w="2304"/>
      </w:tblGrid>
      <w:tr>
        <w:tc>
          <w:tcPr>
            <w:tcW w:type="dxa" w:w="2340"/>
            <w:shd w:fill="1B365D"/>
            <w:tcMar>
              <w:top w:w="120" w:type="dxa"/>
              <w:bottom w:w="120" w:type="dxa"/>
              <w:left w:w="140" w:type="dxa"/>
              <w:right w:w="140" w:type="dxa"/>
            </w:tcMar>
          </w:tcPr>
          <w:p>
            <w:pPr>
              <w:jc w:val="left"/>
            </w:pPr>
            <w:r>
              <w:rPr>
                <w:rFonts w:ascii="Segoe UI" w:hAnsi="Segoe UI"/>
                <w:b/>
                <w:color w:val="FFFFFF"/>
                <w:sz w:val="20"/>
              </w:rPr>
              <w:t>Retrieval Mode</w:t>
            </w:r>
          </w:p>
        </w:tc>
        <w:tc>
          <w:tcPr>
            <w:tcW w:type="dxa" w:w="2340"/>
            <w:shd w:fill="1B365D"/>
            <w:tcMar>
              <w:top w:w="120" w:type="dxa"/>
              <w:bottom w:w="120" w:type="dxa"/>
              <w:left w:w="140" w:type="dxa"/>
              <w:right w:w="140" w:type="dxa"/>
            </w:tcMar>
          </w:tcPr>
          <w:p>
            <w:pPr>
              <w:jc w:val="left"/>
            </w:pPr>
            <w:r>
              <w:rPr>
                <w:rFonts w:ascii="Segoe UI" w:hAnsi="Segoe UI"/>
                <w:b/>
                <w:color w:val="FFFFFF"/>
                <w:sz w:val="20"/>
              </w:rPr>
              <w:t>Underlying Technology</w:t>
            </w:r>
          </w:p>
        </w:tc>
        <w:tc>
          <w:tcPr>
            <w:tcW w:type="dxa" w:w="2340"/>
            <w:shd w:fill="1B365D"/>
            <w:tcMar>
              <w:top w:w="120" w:type="dxa"/>
              <w:bottom w:w="120" w:type="dxa"/>
              <w:left w:w="140" w:type="dxa"/>
              <w:right w:w="140" w:type="dxa"/>
            </w:tcMar>
          </w:tcPr>
          <w:p>
            <w:pPr>
              <w:jc w:val="left"/>
            </w:pPr>
            <w:r>
              <w:rPr>
                <w:rFonts w:ascii="Segoe UI" w:hAnsi="Segoe UI"/>
                <w:b/>
                <w:color w:val="FFFFFF"/>
                <w:sz w:val="20"/>
              </w:rPr>
              <w:t>Ideal Use Cases</w:t>
            </w:r>
          </w:p>
        </w:tc>
        <w:tc>
          <w:tcPr>
            <w:tcW w:type="dxa" w:w="2340"/>
            <w:shd w:fill="1B365D"/>
            <w:tcMar>
              <w:top w:w="120" w:type="dxa"/>
              <w:bottom w:w="120" w:type="dxa"/>
              <w:left w:w="140" w:type="dxa"/>
              <w:right w:w="140" w:type="dxa"/>
            </w:tcMar>
          </w:tcPr>
          <w:p>
            <w:pPr>
              <w:jc w:val="left"/>
            </w:pPr>
            <w:r>
              <w:rPr>
                <w:rFonts w:ascii="Segoe UI" w:hAnsi="Segoe UI"/>
                <w:b/>
                <w:color w:val="FFFFFF"/>
                <w:sz w:val="20"/>
              </w:rPr>
              <w:t>Strengths / Limitations</w:t>
            </w:r>
          </w:p>
        </w:tc>
      </w:tr>
      <w:tr>
        <w:tc>
          <w:tcPr>
            <w:tcW w:type="dxa" w:w="2340"/>
            <w:shd w:fill="FFFFFF"/>
            <w:tcMar>
              <w:top w:w="100" w:type="dxa"/>
              <w:bottom w:w="100" w:type="dxa"/>
              <w:left w:w="140" w:type="dxa"/>
              <w:right w:w="140" w:type="dxa"/>
            </w:tcMar>
          </w:tcPr>
          <w:p>
            <w:r>
              <w:rPr>
                <w:rFonts w:ascii="Segoe UI" w:hAnsi="Segoe UI"/>
                <w:color w:val="282828"/>
                <w:sz w:val="19"/>
              </w:rPr>
              <w:t>🔀 Hybrid (Default)</w:t>
            </w:r>
          </w:p>
        </w:tc>
        <w:tc>
          <w:tcPr>
            <w:tcW w:type="dxa" w:w="2340"/>
            <w:shd w:fill="FFFFFF"/>
            <w:tcMar>
              <w:top w:w="100" w:type="dxa"/>
              <w:bottom w:w="100" w:type="dxa"/>
              <w:left w:w="140" w:type="dxa"/>
              <w:right w:w="140" w:type="dxa"/>
            </w:tcMar>
          </w:tcPr>
          <w:p>
            <w:r>
              <w:rPr>
                <w:rFonts w:ascii="Segoe UI" w:hAnsi="Segoe UI"/>
                <w:color w:val="282828"/>
                <w:sz w:val="19"/>
              </w:rPr>
              <w:t>ChromaDB (BGE-M3) +</w:t>
              <w:br/>
              <w:t>BM25 (rank-bm25) via RRF</w:t>
            </w:r>
          </w:p>
        </w:tc>
        <w:tc>
          <w:tcPr>
            <w:tcW w:type="dxa" w:w="2340"/>
            <w:shd w:fill="FFFFFF"/>
            <w:tcMar>
              <w:top w:w="100" w:type="dxa"/>
              <w:bottom w:w="100" w:type="dxa"/>
              <w:left w:w="140" w:type="dxa"/>
              <w:right w:w="140" w:type="dxa"/>
            </w:tcMar>
          </w:tcPr>
          <w:p>
            <w:r>
              <w:rPr>
                <w:rFonts w:ascii="Segoe UI" w:hAnsi="Segoe UI"/>
                <w:color w:val="282828"/>
                <w:sz w:val="19"/>
              </w:rPr>
              <w:t>General banking inquiries, mixed Arabic/English queries, policy lookups with specific terms.</w:t>
            </w:r>
          </w:p>
        </w:tc>
        <w:tc>
          <w:tcPr>
            <w:tcW w:type="dxa" w:w="2340"/>
            <w:shd w:fill="FFFFFF"/>
            <w:tcMar>
              <w:top w:w="100" w:type="dxa"/>
              <w:bottom w:w="100" w:type="dxa"/>
              <w:left w:w="140" w:type="dxa"/>
              <w:right w:w="140" w:type="dxa"/>
            </w:tcMar>
          </w:tcPr>
          <w:p>
            <w:r>
              <w:rPr>
                <w:rFonts w:ascii="Segoe UI" w:hAnsi="Segoe UI"/>
                <w:color w:val="282828"/>
                <w:sz w:val="19"/>
              </w:rPr>
              <w:t>Combines conceptual semantic understanding with exact lexical matching; highest empirical accuracy.</w:t>
            </w:r>
          </w:p>
        </w:tc>
      </w:tr>
      <w:tr>
        <w:tc>
          <w:tcPr>
            <w:tcW w:type="dxa" w:w="2340"/>
            <w:shd w:fill="F9FBFD"/>
            <w:tcMar>
              <w:top w:w="100" w:type="dxa"/>
              <w:bottom w:w="100" w:type="dxa"/>
              <w:left w:w="140" w:type="dxa"/>
              <w:right w:w="140" w:type="dxa"/>
            </w:tcMar>
          </w:tcPr>
          <w:p>
            <w:r>
              <w:rPr>
                <w:rFonts w:ascii="Segoe UI" w:hAnsi="Segoe UI"/>
                <w:color w:val="282828"/>
                <w:sz w:val="19"/>
              </w:rPr>
              <w:t>🧠 Semantic Vector</w:t>
            </w:r>
          </w:p>
        </w:tc>
        <w:tc>
          <w:tcPr>
            <w:tcW w:type="dxa" w:w="2340"/>
            <w:shd w:fill="F9FBFD"/>
            <w:tcMar>
              <w:top w:w="100" w:type="dxa"/>
              <w:bottom w:w="100" w:type="dxa"/>
              <w:left w:w="140" w:type="dxa"/>
              <w:right w:w="140" w:type="dxa"/>
            </w:tcMar>
          </w:tcPr>
          <w:p>
            <w:r>
              <w:rPr>
                <w:rFonts w:ascii="Segoe UI" w:hAnsi="Segoe UI"/>
                <w:color w:val="282828"/>
                <w:sz w:val="19"/>
              </w:rPr>
              <w:t>ChromaDB + BGE-M3</w:t>
              <w:br/>
              <w:t>(MMR or Cosine Similarity)</w:t>
            </w:r>
          </w:p>
        </w:tc>
        <w:tc>
          <w:tcPr>
            <w:tcW w:type="dxa" w:w="2340"/>
            <w:shd w:fill="F9FBFD"/>
            <w:tcMar>
              <w:top w:w="100" w:type="dxa"/>
              <w:bottom w:w="100" w:type="dxa"/>
              <w:left w:w="140" w:type="dxa"/>
              <w:right w:w="140" w:type="dxa"/>
            </w:tcMar>
          </w:tcPr>
          <w:p>
            <w:r>
              <w:rPr>
                <w:rFonts w:ascii="Segoe UI" w:hAnsi="Segoe UI"/>
                <w:color w:val="282828"/>
                <w:sz w:val="19"/>
              </w:rPr>
              <w:t>Conceptual questions, descriptive workflows, paraphrased cross-lingual questions.</w:t>
            </w:r>
          </w:p>
        </w:tc>
        <w:tc>
          <w:tcPr>
            <w:tcW w:type="dxa" w:w="2340"/>
            <w:shd w:fill="F9FBFD"/>
            <w:tcMar>
              <w:top w:w="100" w:type="dxa"/>
              <w:bottom w:w="100" w:type="dxa"/>
              <w:left w:w="140" w:type="dxa"/>
              <w:right w:w="140" w:type="dxa"/>
            </w:tcMar>
          </w:tcPr>
          <w:p>
            <w:r>
              <w:rPr>
                <w:rFonts w:ascii="Segoe UI" w:hAnsi="Segoe UI"/>
                <w:color w:val="282828"/>
                <w:sz w:val="19"/>
              </w:rPr>
              <w:t>Handles synonyms and cross-language translation flawlessly; may rank exact code matches lower.</w:t>
            </w:r>
          </w:p>
        </w:tc>
      </w:tr>
      <w:tr>
        <w:tc>
          <w:tcPr>
            <w:tcW w:type="dxa" w:w="2340"/>
            <w:shd w:fill="FFFFFF"/>
            <w:tcMar>
              <w:top w:w="100" w:type="dxa"/>
              <w:bottom w:w="100" w:type="dxa"/>
              <w:left w:w="140" w:type="dxa"/>
              <w:right w:w="140" w:type="dxa"/>
            </w:tcMar>
          </w:tcPr>
          <w:p>
            <w:r>
              <w:rPr>
                <w:rFonts w:ascii="Segoe UI" w:hAnsi="Segoe UI"/>
                <w:color w:val="282828"/>
                <w:sz w:val="19"/>
              </w:rPr>
              <w:t>🔍 Keyword (BM25)</w:t>
            </w:r>
          </w:p>
        </w:tc>
        <w:tc>
          <w:tcPr>
            <w:tcW w:type="dxa" w:w="2340"/>
            <w:shd w:fill="FFFFFF"/>
            <w:tcMar>
              <w:top w:w="100" w:type="dxa"/>
              <w:bottom w:w="100" w:type="dxa"/>
              <w:left w:w="140" w:type="dxa"/>
              <w:right w:w="140" w:type="dxa"/>
            </w:tcMar>
          </w:tcPr>
          <w:p>
            <w:r>
              <w:rPr>
                <w:rFonts w:ascii="Segoe UI" w:hAnsi="Segoe UI"/>
                <w:color w:val="282828"/>
                <w:sz w:val="19"/>
              </w:rPr>
              <w:t>BM25 Sparse Lexical</w:t>
              <w:br/>
              <w:t>Inverted Index</w:t>
            </w:r>
          </w:p>
        </w:tc>
        <w:tc>
          <w:tcPr>
            <w:tcW w:type="dxa" w:w="2340"/>
            <w:shd w:fill="FFFFFF"/>
            <w:tcMar>
              <w:top w:w="100" w:type="dxa"/>
              <w:bottom w:w="100" w:type="dxa"/>
              <w:left w:w="140" w:type="dxa"/>
              <w:right w:w="140" w:type="dxa"/>
            </w:tcMar>
          </w:tcPr>
          <w:p>
            <w:r>
              <w:rPr>
                <w:rFonts w:ascii="Segoe UI" w:hAnsi="Segoe UI"/>
                <w:color w:val="282828"/>
                <w:sz w:val="19"/>
              </w:rPr>
              <w:t>Exact form IDs, penalty numbers ('10 دنانير'), section numbers, specific system names (Doxis, BPM).</w:t>
            </w:r>
          </w:p>
        </w:tc>
        <w:tc>
          <w:tcPr>
            <w:tcW w:type="dxa" w:w="2340"/>
            <w:shd w:fill="FFFFFF"/>
            <w:tcMar>
              <w:top w:w="100" w:type="dxa"/>
              <w:bottom w:w="100" w:type="dxa"/>
              <w:left w:w="140" w:type="dxa"/>
              <w:right w:w="140" w:type="dxa"/>
            </w:tcMar>
          </w:tcPr>
          <w:p>
            <w:r>
              <w:rPr>
                <w:rFonts w:ascii="Segoe UI" w:hAnsi="Segoe UI"/>
                <w:color w:val="282828"/>
                <w:sz w:val="19"/>
              </w:rPr>
              <w:t>Fast, exact keyword precision; unable to perform cross-lingual semantic bridging or synonym matching.</w:t>
            </w:r>
          </w:p>
        </w:tc>
      </w:tr>
    </w:tbl>
    <w:p>
      <w:pPr>
        <w:spacing w:after="200"/>
      </w:pPr>
    </w:p>
    <w:p>
      <w:pPr>
        <w:pStyle w:val="Heading1"/>
        <w:spacing w:before="320" w:after="120"/>
      </w:pPr>
      <w:r>
        <w:rPr>
          <w:rFonts w:ascii="Segoe UI" w:hAnsi="Segoe UI"/>
          <w:b/>
          <w:color w:val="1B365D"/>
          <w:sz w:val="32"/>
        </w:rPr>
        <w:t>5. Chunking Strategies &amp; Ingestion Engineering</w:t>
      </w:r>
    </w:p>
    <w:p>
      <w:pPr>
        <w:spacing w:after="120"/>
      </w:pPr>
      <w:r>
        <w:t>Banking documents possess unique structural characteristics: numbered procedural steps, multi-level Arabic sub-headings, and formal administrative tables. To support different retrieval needs, Bank_Guide_AI implements five interchangeable chunking strategies:</w:t>
      </w:r>
    </w:p>
    <w:tbl>
      <w:tblPr>
        <w:tblW w:type="auto" w:w="0"/>
        <w:jc w:val="center"/>
        <w:tblLook w:firstColumn="1" w:firstRow="1" w:lastColumn="0" w:lastRow="0" w:noHBand="0" w:noVBand="1" w:val="04A0"/>
      </w:tblPr>
      <w:tblGrid>
        <w:gridCol w:w="2592"/>
        <w:gridCol w:w="3456"/>
        <w:gridCol w:w="3312"/>
      </w:tblGrid>
      <w:tr>
        <w:tc>
          <w:tcPr>
            <w:tcW w:type="dxa" w:w="3120"/>
            <w:shd w:fill="2B4C7E"/>
            <w:tcMar>
              <w:top w:w="120" w:type="dxa"/>
              <w:bottom w:w="120" w:type="dxa"/>
              <w:left w:w="140" w:type="dxa"/>
              <w:right w:w="140" w:type="dxa"/>
            </w:tcMar>
          </w:tcPr>
          <w:p>
            <w:pPr>
              <w:jc w:val="left"/>
            </w:pPr>
            <w:r>
              <w:rPr>
                <w:rFonts w:ascii="Segoe UI" w:hAnsi="Segoe UI"/>
                <w:b/>
                <w:color w:val="FFFFFF"/>
                <w:sz w:val="20"/>
              </w:rPr>
              <w:t>Strategy Key</w:t>
            </w:r>
          </w:p>
        </w:tc>
        <w:tc>
          <w:tcPr>
            <w:tcW w:type="dxa" w:w="3120"/>
            <w:shd w:fill="2B4C7E"/>
            <w:tcMar>
              <w:top w:w="120" w:type="dxa"/>
              <w:bottom w:w="120" w:type="dxa"/>
              <w:left w:w="140" w:type="dxa"/>
              <w:right w:w="140" w:type="dxa"/>
            </w:tcMar>
          </w:tcPr>
          <w:p>
            <w:pPr>
              <w:jc w:val="left"/>
            </w:pPr>
            <w:r>
              <w:rPr>
                <w:rFonts w:ascii="Segoe UI" w:hAnsi="Segoe UI"/>
                <w:b/>
                <w:color w:val="FFFFFF"/>
                <w:sz w:val="20"/>
              </w:rPr>
              <w:t>Implementation Mechanism</w:t>
            </w:r>
          </w:p>
        </w:tc>
        <w:tc>
          <w:tcPr>
            <w:tcW w:type="dxa" w:w="3120"/>
            <w:shd w:fill="2B4C7E"/>
            <w:tcMar>
              <w:top w:w="120" w:type="dxa"/>
              <w:bottom w:w="120" w:type="dxa"/>
              <w:left w:w="140" w:type="dxa"/>
              <w:right w:w="140" w:type="dxa"/>
            </w:tcMar>
          </w:tcPr>
          <w:p>
            <w:pPr>
              <w:jc w:val="left"/>
            </w:pPr>
            <w:r>
              <w:rPr>
                <w:rFonts w:ascii="Segoe UI" w:hAnsi="Segoe UI"/>
                <w:b/>
                <w:color w:val="FFFFFF"/>
                <w:sz w:val="20"/>
              </w:rPr>
              <w:t>Best Suited For</w:t>
            </w:r>
          </w:p>
        </w:tc>
      </w:tr>
      <w:tr>
        <w:tc>
          <w:tcPr>
            <w:tcW w:type="dxa" w:w="3120"/>
            <w:shd w:fill="FFFFFF"/>
            <w:tcMar>
              <w:top w:w="100" w:type="dxa"/>
              <w:bottom w:w="100" w:type="dxa"/>
              <w:left w:w="140" w:type="dxa"/>
              <w:right w:w="140" w:type="dxa"/>
            </w:tcMar>
          </w:tcPr>
          <w:p>
            <w:r>
              <w:rPr>
                <w:rFonts w:ascii="Segoe UI" w:hAnsi="Segoe UI"/>
                <w:color w:val="282828"/>
                <w:sz w:val="19"/>
              </w:rPr>
              <w:t>recursive_character</w:t>
              <w:br/>
              <w:t>(Default)</w:t>
            </w:r>
          </w:p>
        </w:tc>
        <w:tc>
          <w:tcPr>
            <w:tcW w:type="dxa" w:w="3120"/>
            <w:shd w:fill="FFFFFF"/>
            <w:tcMar>
              <w:top w:w="100" w:type="dxa"/>
              <w:bottom w:w="100" w:type="dxa"/>
              <w:left w:w="140" w:type="dxa"/>
              <w:right w:w="140" w:type="dxa"/>
            </w:tcMar>
          </w:tcPr>
          <w:p>
            <w:r>
              <w:rPr>
                <w:rFonts w:ascii="Segoe UI" w:hAnsi="Segoe UI"/>
                <w:color w:val="282828"/>
                <w:sz w:val="19"/>
              </w:rPr>
              <w:t>Splits hierarchically on paragraphs (\n\n), lines (\n), sentences (.), and words.</w:t>
            </w:r>
          </w:p>
        </w:tc>
        <w:tc>
          <w:tcPr>
            <w:tcW w:type="dxa" w:w="3120"/>
            <w:shd w:fill="FFFFFF"/>
            <w:tcMar>
              <w:top w:w="100" w:type="dxa"/>
              <w:bottom w:w="100" w:type="dxa"/>
              <w:left w:w="140" w:type="dxa"/>
              <w:right w:w="140" w:type="dxa"/>
            </w:tcMar>
          </w:tcPr>
          <w:p>
            <w:r>
              <w:rPr>
                <w:rFonts w:ascii="Segoe UI" w:hAnsi="Segoe UI"/>
                <w:color w:val="282828"/>
                <w:sz w:val="19"/>
              </w:rPr>
              <w:t>General SOP content; balanced chunk sizes with consistent context boundaries.</w:t>
            </w:r>
          </w:p>
        </w:tc>
      </w:tr>
      <w:tr>
        <w:tc>
          <w:tcPr>
            <w:tcW w:type="dxa" w:w="3120"/>
            <w:shd w:fill="F4F7FB"/>
            <w:tcMar>
              <w:top w:w="100" w:type="dxa"/>
              <w:bottom w:w="100" w:type="dxa"/>
              <w:left w:w="140" w:type="dxa"/>
              <w:right w:w="140" w:type="dxa"/>
            </w:tcMar>
          </w:tcPr>
          <w:p>
            <w:r>
              <w:rPr>
                <w:rFonts w:ascii="Segoe UI" w:hAnsi="Segoe UI"/>
                <w:color w:val="282828"/>
                <w:sz w:val="19"/>
              </w:rPr>
              <w:t>arabic_paragraph</w:t>
            </w:r>
          </w:p>
        </w:tc>
        <w:tc>
          <w:tcPr>
            <w:tcW w:type="dxa" w:w="3120"/>
            <w:shd w:fill="F4F7FB"/>
            <w:tcMar>
              <w:top w:w="100" w:type="dxa"/>
              <w:bottom w:w="100" w:type="dxa"/>
              <w:left w:w="140" w:type="dxa"/>
              <w:right w:w="140" w:type="dxa"/>
            </w:tcMar>
          </w:tcPr>
          <w:p>
            <w:r>
              <w:rPr>
                <w:rFonts w:ascii="Segoe UI" w:hAnsi="Segoe UI"/>
                <w:color w:val="282828"/>
                <w:sz w:val="19"/>
              </w:rPr>
              <w:t>Regex-aware split on Arabic numerals (-1, 1-, أولاً, ثانياً) and double newlines.</w:t>
            </w:r>
          </w:p>
        </w:tc>
        <w:tc>
          <w:tcPr>
            <w:tcW w:type="dxa" w:w="3120"/>
            <w:shd w:fill="F4F7FB"/>
            <w:tcMar>
              <w:top w:w="100" w:type="dxa"/>
              <w:bottom w:w="100" w:type="dxa"/>
              <w:left w:w="140" w:type="dxa"/>
              <w:right w:w="140" w:type="dxa"/>
            </w:tcMar>
          </w:tcPr>
          <w:p>
            <w:r>
              <w:rPr>
                <w:rFonts w:ascii="Segoe UI" w:hAnsi="Segoe UI"/>
                <w:color w:val="282828"/>
                <w:sz w:val="19"/>
              </w:rPr>
              <w:t>Procedural step-by-step manuals where individual clauses must stay atomic.</w:t>
            </w:r>
          </w:p>
        </w:tc>
      </w:tr>
      <w:tr>
        <w:tc>
          <w:tcPr>
            <w:tcW w:type="dxa" w:w="3120"/>
            <w:shd w:fill="FFFFFF"/>
            <w:tcMar>
              <w:top w:w="100" w:type="dxa"/>
              <w:bottom w:w="100" w:type="dxa"/>
              <w:left w:w="140" w:type="dxa"/>
              <w:right w:w="140" w:type="dxa"/>
            </w:tcMar>
          </w:tcPr>
          <w:p>
            <w:r>
              <w:rPr>
                <w:rFonts w:ascii="Segoe UI" w:hAnsi="Segoe UI"/>
                <w:color w:val="282828"/>
                <w:sz w:val="19"/>
              </w:rPr>
              <w:t>markdown_heading</w:t>
            </w:r>
          </w:p>
        </w:tc>
        <w:tc>
          <w:tcPr>
            <w:tcW w:type="dxa" w:w="3120"/>
            <w:shd w:fill="FFFFFF"/>
            <w:tcMar>
              <w:top w:w="100" w:type="dxa"/>
              <w:bottom w:w="100" w:type="dxa"/>
              <w:left w:w="140" w:type="dxa"/>
              <w:right w:w="140" w:type="dxa"/>
            </w:tcMar>
          </w:tcPr>
          <w:p>
            <w:r>
              <w:rPr>
                <w:rFonts w:ascii="Segoe UI" w:hAnsi="Segoe UI"/>
                <w:color w:val="282828"/>
                <w:sz w:val="19"/>
              </w:rPr>
              <w:t>Splits along structural markdown/document headers (#, ##, المادة, البند).</w:t>
            </w:r>
          </w:p>
        </w:tc>
        <w:tc>
          <w:tcPr>
            <w:tcW w:type="dxa" w:w="3120"/>
            <w:shd w:fill="FFFFFF"/>
            <w:tcMar>
              <w:top w:w="100" w:type="dxa"/>
              <w:bottom w:w="100" w:type="dxa"/>
              <w:left w:w="140" w:type="dxa"/>
              <w:right w:w="140" w:type="dxa"/>
            </w:tcMar>
          </w:tcPr>
          <w:p>
            <w:r>
              <w:rPr>
                <w:rFonts w:ascii="Segoe UI" w:hAnsi="Segoe UI"/>
                <w:color w:val="282828"/>
                <w:sz w:val="19"/>
              </w:rPr>
              <w:t>Hierarchically organized manuals and policy chapters.</w:t>
            </w:r>
          </w:p>
        </w:tc>
      </w:tr>
      <w:tr>
        <w:tc>
          <w:tcPr>
            <w:tcW w:type="dxa" w:w="3120"/>
            <w:shd w:fill="F4F7FB"/>
            <w:tcMar>
              <w:top w:w="100" w:type="dxa"/>
              <w:bottom w:w="100" w:type="dxa"/>
              <w:left w:w="140" w:type="dxa"/>
              <w:right w:w="140" w:type="dxa"/>
            </w:tcMar>
          </w:tcPr>
          <w:p>
            <w:r>
              <w:rPr>
                <w:rFonts w:ascii="Segoe UI" w:hAnsi="Segoe UI"/>
                <w:color w:val="282828"/>
                <w:sz w:val="19"/>
              </w:rPr>
              <w:t>character</w:t>
            </w:r>
          </w:p>
        </w:tc>
        <w:tc>
          <w:tcPr>
            <w:tcW w:type="dxa" w:w="3120"/>
            <w:shd w:fill="F4F7FB"/>
            <w:tcMar>
              <w:top w:w="100" w:type="dxa"/>
              <w:bottom w:w="100" w:type="dxa"/>
              <w:left w:w="140" w:type="dxa"/>
              <w:right w:w="140" w:type="dxa"/>
            </w:tcMar>
          </w:tcPr>
          <w:p>
            <w:r>
              <w:rPr>
                <w:rFonts w:ascii="Segoe UI" w:hAnsi="Segoe UI"/>
                <w:color w:val="282828"/>
                <w:sz w:val="19"/>
              </w:rPr>
              <w:t>Strict sliding-window slicing with exact character length and overlap.</w:t>
            </w:r>
          </w:p>
        </w:tc>
        <w:tc>
          <w:tcPr>
            <w:tcW w:type="dxa" w:w="3120"/>
            <w:shd w:fill="F4F7FB"/>
            <w:tcMar>
              <w:top w:w="100" w:type="dxa"/>
              <w:bottom w:w="100" w:type="dxa"/>
              <w:left w:w="140" w:type="dxa"/>
              <w:right w:w="140" w:type="dxa"/>
            </w:tcMar>
          </w:tcPr>
          <w:p>
            <w:r>
              <w:rPr>
                <w:rFonts w:ascii="Segoe UI" w:hAnsi="Segoe UI"/>
                <w:color w:val="282828"/>
                <w:sz w:val="19"/>
              </w:rPr>
              <w:t>Dense, unstructured narrative texts where structural delimiters are absent.</w:t>
            </w:r>
          </w:p>
        </w:tc>
      </w:tr>
      <w:tr>
        <w:tc>
          <w:tcPr>
            <w:tcW w:type="dxa" w:w="3120"/>
            <w:shd w:fill="FFFFFF"/>
            <w:tcMar>
              <w:top w:w="100" w:type="dxa"/>
              <w:bottom w:w="100" w:type="dxa"/>
              <w:left w:w="140" w:type="dxa"/>
              <w:right w:w="140" w:type="dxa"/>
            </w:tcMar>
          </w:tcPr>
          <w:p>
            <w:r>
              <w:rPr>
                <w:rFonts w:ascii="Segoe UI" w:hAnsi="Segoe UI"/>
                <w:color w:val="282828"/>
                <w:sz w:val="19"/>
              </w:rPr>
              <w:t>token_based</w:t>
            </w:r>
          </w:p>
        </w:tc>
        <w:tc>
          <w:tcPr>
            <w:tcW w:type="dxa" w:w="3120"/>
            <w:shd w:fill="FFFFFF"/>
            <w:tcMar>
              <w:top w:w="100" w:type="dxa"/>
              <w:bottom w:w="100" w:type="dxa"/>
              <w:left w:w="140" w:type="dxa"/>
              <w:right w:w="140" w:type="dxa"/>
            </w:tcMar>
          </w:tcPr>
          <w:p>
            <w:r>
              <w:rPr>
                <w:rFonts w:ascii="Segoe UI" w:hAnsi="Segoe UI"/>
                <w:color w:val="282828"/>
                <w:sz w:val="19"/>
              </w:rPr>
              <w:t>Token-budgeted splitting using tiktoken (cl100k_base tokenizer).</w:t>
            </w:r>
          </w:p>
        </w:tc>
        <w:tc>
          <w:tcPr>
            <w:tcW w:type="dxa" w:w="3120"/>
            <w:shd w:fill="FFFFFF"/>
            <w:tcMar>
              <w:top w:w="100" w:type="dxa"/>
              <w:bottom w:w="100" w:type="dxa"/>
              <w:left w:w="140" w:type="dxa"/>
              <w:right w:w="140" w:type="dxa"/>
            </w:tcMar>
          </w:tcPr>
          <w:p>
            <w:r>
              <w:rPr>
                <w:rFonts w:ascii="Segoe UI" w:hAnsi="Segoe UI"/>
                <w:color w:val="282828"/>
                <w:sz w:val="19"/>
              </w:rPr>
              <w:t>Strict LLM context window budgeting and precise token control.</w:t>
            </w:r>
          </w:p>
        </w:tc>
      </w:tr>
    </w:tbl>
    <w:p>
      <w:pPr>
        <w:spacing w:after="200"/>
      </w:pPr>
    </w:p>
    <w:p>
      <w:pPr>
        <w:pStyle w:val="Heading1"/>
        <w:spacing w:before="320" w:after="120"/>
      </w:pPr>
      <w:r>
        <w:rPr>
          <w:rFonts w:ascii="Segoe UI" w:hAnsi="Segoe UI"/>
          <w:b/>
          <w:color w:val="1B365D"/>
          <w:sz w:val="32"/>
        </w:rPr>
        <w:t>6. Verification Test Matrix &amp; Benchmark Queries</w:t>
      </w:r>
    </w:p>
    <w:p>
      <w:pPr>
        <w:spacing w:after="120"/>
      </w:pPr>
      <w:r>
        <w:t>The following test benchmark validates bilingual retrieval accuracy, cross-lingual translation, and exact citation attribution:</w:t>
      </w:r>
    </w:p>
    <w:tbl>
      <w:tblPr>
        <w:tblW w:type="auto" w:w="0"/>
        <w:jc w:val="center"/>
        <w:tblLook w:firstColumn="1" w:firstRow="1" w:lastColumn="0" w:lastRow="0" w:noHBand="0" w:noVBand="1" w:val="04A0"/>
      </w:tblPr>
      <w:tblGrid>
        <w:gridCol w:w="1296"/>
        <w:gridCol w:w="3168"/>
        <w:gridCol w:w="2592"/>
        <w:gridCol w:w="2304"/>
      </w:tblGrid>
      <w:tr>
        <w:tc>
          <w:tcPr>
            <w:tcW w:type="dxa" w:w="2340"/>
            <w:shd w:fill="1B365D"/>
            <w:tcMar>
              <w:top w:w="120" w:type="dxa"/>
              <w:bottom w:w="120" w:type="dxa"/>
              <w:left w:w="140" w:type="dxa"/>
              <w:right w:w="140" w:type="dxa"/>
            </w:tcMar>
          </w:tcPr>
          <w:p>
            <w:pPr>
              <w:jc w:val="left"/>
            </w:pPr>
            <w:r>
              <w:rPr>
                <w:rFonts w:ascii="Segoe UI" w:hAnsi="Segoe UI"/>
                <w:b/>
                <w:color w:val="FFFFFF"/>
                <w:sz w:val="20"/>
              </w:rPr>
              <w:t>Language</w:t>
            </w:r>
          </w:p>
        </w:tc>
        <w:tc>
          <w:tcPr>
            <w:tcW w:type="dxa" w:w="2340"/>
            <w:shd w:fill="1B365D"/>
            <w:tcMar>
              <w:top w:w="120" w:type="dxa"/>
              <w:bottom w:w="120" w:type="dxa"/>
              <w:left w:w="140" w:type="dxa"/>
              <w:right w:w="140" w:type="dxa"/>
            </w:tcMar>
          </w:tcPr>
          <w:p>
            <w:pPr>
              <w:jc w:val="left"/>
            </w:pPr>
            <w:r>
              <w:rPr>
                <w:rFonts w:ascii="Segoe UI" w:hAnsi="Segoe UI"/>
                <w:b/>
                <w:color w:val="FFFFFF"/>
                <w:sz w:val="20"/>
              </w:rPr>
              <w:t>Test Prompt / Inquiry</w:t>
            </w:r>
          </w:p>
        </w:tc>
        <w:tc>
          <w:tcPr>
            <w:tcW w:type="dxa" w:w="2340"/>
            <w:shd w:fill="1B365D"/>
            <w:tcMar>
              <w:top w:w="120" w:type="dxa"/>
              <w:bottom w:w="120" w:type="dxa"/>
              <w:left w:w="140" w:type="dxa"/>
              <w:right w:w="140" w:type="dxa"/>
            </w:tcMar>
          </w:tcPr>
          <w:p>
            <w:pPr>
              <w:jc w:val="left"/>
            </w:pPr>
            <w:r>
              <w:rPr>
                <w:rFonts w:ascii="Segoe UI" w:hAnsi="Segoe UI"/>
                <w:b/>
                <w:color w:val="FFFFFF"/>
                <w:sz w:val="20"/>
              </w:rPr>
              <w:t>Expected Grounded Fact</w:t>
            </w:r>
          </w:p>
        </w:tc>
        <w:tc>
          <w:tcPr>
            <w:tcW w:type="dxa" w:w="2340"/>
            <w:shd w:fill="1B365D"/>
            <w:tcMar>
              <w:top w:w="120" w:type="dxa"/>
              <w:bottom w:w="120" w:type="dxa"/>
              <w:left w:w="140" w:type="dxa"/>
              <w:right w:w="140" w:type="dxa"/>
            </w:tcMar>
          </w:tcPr>
          <w:p>
            <w:pPr>
              <w:jc w:val="left"/>
            </w:pPr>
            <w:r>
              <w:rPr>
                <w:rFonts w:ascii="Segoe UI" w:hAnsi="Segoe UI"/>
                <w:b/>
                <w:color w:val="FFFFFF"/>
                <w:sz w:val="20"/>
              </w:rPr>
              <w:t>Grounded Source &amp; Page</w:t>
            </w:r>
          </w:p>
        </w:tc>
      </w:tr>
      <w:tr>
        <w:tc>
          <w:tcPr>
            <w:tcW w:type="dxa" w:w="2340"/>
            <w:shd w:fill="FFFFFF"/>
            <w:tcMar>
              <w:top w:w="100" w:type="dxa"/>
              <w:bottom w:w="100" w:type="dxa"/>
              <w:left w:w="140" w:type="dxa"/>
              <w:right w:w="140" w:type="dxa"/>
            </w:tcMar>
          </w:tcPr>
          <w:p>
            <w:r>
              <w:rPr>
                <w:rFonts w:ascii="Segoe UI" w:hAnsi="Segoe UI"/>
                <w:color w:val="282828"/>
                <w:sz w:val="19"/>
              </w:rPr>
              <w:t>English</w:t>
            </w:r>
          </w:p>
        </w:tc>
        <w:tc>
          <w:tcPr>
            <w:tcW w:type="dxa" w:w="2340"/>
            <w:shd w:fill="FFFFFF"/>
            <w:tcMar>
              <w:top w:w="100" w:type="dxa"/>
              <w:bottom w:w="100" w:type="dxa"/>
              <w:left w:w="140" w:type="dxa"/>
              <w:right w:w="140" w:type="dxa"/>
            </w:tcMar>
          </w:tcPr>
          <w:p>
            <w:r>
              <w:rPr>
                <w:rFonts w:ascii="Segoe UI" w:hAnsi="Segoe UI"/>
                <w:color w:val="282828"/>
                <w:sz w:val="19"/>
              </w:rPr>
              <w:t>What is the daily cut-off time for submitting outgoing mail requests through BPM?</w:t>
            </w:r>
          </w:p>
        </w:tc>
        <w:tc>
          <w:tcPr>
            <w:tcW w:type="dxa" w:w="2340"/>
            <w:shd w:fill="FFFFFF"/>
            <w:tcMar>
              <w:top w:w="100" w:type="dxa"/>
              <w:bottom w:w="100" w:type="dxa"/>
              <w:left w:w="140" w:type="dxa"/>
              <w:right w:w="140" w:type="dxa"/>
            </w:tcMar>
          </w:tcPr>
          <w:p>
            <w:r>
              <w:rPr>
                <w:rFonts w:ascii="Segoe UI" w:hAnsi="Segoe UI"/>
                <w:color w:val="282828"/>
                <w:sz w:val="19"/>
              </w:rPr>
              <w:t>1:30 PM (Daily cut-off time for BPM workflow submission)</w:t>
            </w:r>
          </w:p>
        </w:tc>
        <w:tc>
          <w:tcPr>
            <w:tcW w:type="dxa" w:w="2340"/>
            <w:shd w:fill="FFFFFF"/>
            <w:tcMar>
              <w:top w:w="100" w:type="dxa"/>
              <w:bottom w:w="100" w:type="dxa"/>
              <w:left w:w="140" w:type="dxa"/>
              <w:right w:w="140" w:type="dxa"/>
            </w:tcMar>
          </w:tcPr>
          <w:p>
            <w:r>
              <w:rPr>
                <w:rFonts w:ascii="Segoe UI" w:hAnsi="Segoe UI"/>
                <w:color w:val="282828"/>
                <w:sz w:val="19"/>
              </w:rPr>
              <w:t>Central Mail Manual</w:t>
              <w:br/>
              <w:t>(Page 5, Extraction: fitz)</w:t>
            </w:r>
          </w:p>
        </w:tc>
      </w:tr>
      <w:tr>
        <w:tc>
          <w:tcPr>
            <w:tcW w:type="dxa" w:w="2340"/>
            <w:shd w:fill="F9FBFD"/>
            <w:tcMar>
              <w:top w:w="100" w:type="dxa"/>
              <w:bottom w:w="100" w:type="dxa"/>
              <w:left w:w="140" w:type="dxa"/>
              <w:right w:w="140" w:type="dxa"/>
            </w:tcMar>
          </w:tcPr>
          <w:p>
            <w:r>
              <w:rPr>
                <w:rFonts w:ascii="Segoe UI" w:hAnsi="Segoe UI"/>
                <w:color w:val="282828"/>
                <w:sz w:val="19"/>
              </w:rPr>
              <w:t>Arabic</w:t>
            </w:r>
          </w:p>
        </w:tc>
        <w:tc>
          <w:tcPr>
            <w:tcW w:type="dxa" w:w="2340"/>
            <w:shd w:fill="F9FBFD"/>
            <w:tcMar>
              <w:top w:w="100" w:type="dxa"/>
              <w:bottom w:w="100" w:type="dxa"/>
              <w:left w:w="140" w:type="dxa"/>
              <w:right w:w="140" w:type="dxa"/>
            </w:tcMar>
          </w:tcPr>
          <w:p>
            <w:r>
              <w:rPr>
                <w:rFonts w:ascii="Segoe UI" w:hAnsi="Segoe UI"/>
                <w:color w:val="282828"/>
                <w:sz w:val="19"/>
              </w:rPr>
              <w:t>ما هي الغرامة المالية في حال فقدان بطاقة الدخول؟ ومتى يُعفى الموظف منها؟</w:t>
            </w:r>
          </w:p>
        </w:tc>
        <w:tc>
          <w:tcPr>
            <w:tcW w:type="dxa" w:w="2340"/>
            <w:shd w:fill="F9FBFD"/>
            <w:tcMar>
              <w:top w:w="100" w:type="dxa"/>
              <w:bottom w:w="100" w:type="dxa"/>
              <w:left w:w="140" w:type="dxa"/>
              <w:right w:w="140" w:type="dxa"/>
            </w:tcMar>
          </w:tcPr>
          <w:p>
            <w:r>
              <w:rPr>
                <w:rFonts w:ascii="Segoe UI" w:hAnsi="Segoe UI"/>
                <w:color w:val="282828"/>
                <w:sz w:val="19"/>
              </w:rPr>
              <w:t>10 دنانير أردنية؛ يُعفى الموظف في حال الخلل الفني أو بعد مرور سنتين من الإصدار</w:t>
            </w:r>
          </w:p>
        </w:tc>
        <w:tc>
          <w:tcPr>
            <w:tcW w:type="dxa" w:w="2340"/>
            <w:shd w:fill="F9FBFD"/>
            <w:tcMar>
              <w:top w:w="100" w:type="dxa"/>
              <w:bottom w:w="100" w:type="dxa"/>
              <w:left w:w="140" w:type="dxa"/>
              <w:right w:w="140" w:type="dxa"/>
            </w:tcMar>
          </w:tcPr>
          <w:p>
            <w:r>
              <w:rPr>
                <w:rFonts w:ascii="Segoe UI" w:hAnsi="Segoe UI"/>
                <w:color w:val="282828"/>
                <w:sz w:val="19"/>
              </w:rPr>
              <w:t>Central Alarm Manual</w:t>
              <w:br/>
              <w:t>(Page 5, Extraction: fitz)</w:t>
            </w:r>
          </w:p>
        </w:tc>
      </w:tr>
      <w:tr>
        <w:tc>
          <w:tcPr>
            <w:tcW w:type="dxa" w:w="2340"/>
            <w:shd w:fill="FFFFFF"/>
            <w:tcMar>
              <w:top w:w="100" w:type="dxa"/>
              <w:bottom w:w="100" w:type="dxa"/>
              <w:left w:w="140" w:type="dxa"/>
              <w:right w:w="140" w:type="dxa"/>
            </w:tcMar>
          </w:tcPr>
          <w:p>
            <w:r>
              <w:rPr>
                <w:rFonts w:ascii="Segoe UI" w:hAnsi="Segoe UI"/>
                <w:color w:val="282828"/>
                <w:sz w:val="19"/>
              </w:rPr>
              <w:t>English</w:t>
            </w:r>
          </w:p>
        </w:tc>
        <w:tc>
          <w:tcPr>
            <w:tcW w:type="dxa" w:w="2340"/>
            <w:shd w:fill="FFFFFF"/>
            <w:tcMar>
              <w:top w:w="100" w:type="dxa"/>
              <w:bottom w:w="100" w:type="dxa"/>
              <w:left w:w="140" w:type="dxa"/>
              <w:right w:w="140" w:type="dxa"/>
            </w:tcMar>
          </w:tcPr>
          <w:p>
            <w:r>
              <w:rPr>
                <w:rFonts w:ascii="Segoe UI" w:hAnsi="Segoe UI"/>
                <w:color w:val="282828"/>
                <w:sz w:val="19"/>
              </w:rPr>
              <w:t>What inventory dispatch method is used in the bank's warehouses?</w:t>
            </w:r>
          </w:p>
        </w:tc>
        <w:tc>
          <w:tcPr>
            <w:tcW w:type="dxa" w:w="2340"/>
            <w:shd w:fill="FFFFFF"/>
            <w:tcMar>
              <w:top w:w="100" w:type="dxa"/>
              <w:bottom w:w="100" w:type="dxa"/>
              <w:left w:w="140" w:type="dxa"/>
              <w:right w:w="140" w:type="dxa"/>
            </w:tcMar>
          </w:tcPr>
          <w:p>
            <w:r>
              <w:rPr>
                <w:rFonts w:ascii="Segoe UI" w:hAnsi="Segoe UI"/>
                <w:color w:val="282828"/>
                <w:sz w:val="19"/>
              </w:rPr>
              <w:t>FIFO (First-In, First-Out) method for outgoing supply management</w:t>
            </w:r>
          </w:p>
        </w:tc>
        <w:tc>
          <w:tcPr>
            <w:tcW w:type="dxa" w:w="2340"/>
            <w:shd w:fill="FFFFFF"/>
            <w:tcMar>
              <w:top w:w="100" w:type="dxa"/>
              <w:bottom w:w="100" w:type="dxa"/>
              <w:left w:w="140" w:type="dxa"/>
              <w:right w:w="140" w:type="dxa"/>
            </w:tcMar>
          </w:tcPr>
          <w:p>
            <w:r>
              <w:rPr>
                <w:rFonts w:ascii="Segoe UI" w:hAnsi="Segoe UI"/>
                <w:color w:val="282828"/>
                <w:sz w:val="19"/>
              </w:rPr>
              <w:t>Assets &amp; Warehouse Manual</w:t>
              <w:br/>
              <w:t>(Page 5, Extraction: fitz)</w:t>
            </w:r>
          </w:p>
        </w:tc>
      </w:tr>
      <w:tr>
        <w:tc>
          <w:tcPr>
            <w:tcW w:type="dxa" w:w="2340"/>
            <w:shd w:fill="F9FBFD"/>
            <w:tcMar>
              <w:top w:w="100" w:type="dxa"/>
              <w:bottom w:w="100" w:type="dxa"/>
              <w:left w:w="140" w:type="dxa"/>
              <w:right w:w="140" w:type="dxa"/>
            </w:tcMar>
          </w:tcPr>
          <w:p>
            <w:r>
              <w:rPr>
                <w:rFonts w:ascii="Segoe UI" w:hAnsi="Segoe UI"/>
                <w:color w:val="282828"/>
                <w:sz w:val="19"/>
              </w:rPr>
              <w:t>Arabic</w:t>
            </w:r>
          </w:p>
        </w:tc>
        <w:tc>
          <w:tcPr>
            <w:tcW w:type="dxa" w:w="2340"/>
            <w:shd w:fill="F9FBFD"/>
            <w:tcMar>
              <w:top w:w="100" w:type="dxa"/>
              <w:bottom w:w="100" w:type="dxa"/>
              <w:left w:w="140" w:type="dxa"/>
              <w:right w:w="140" w:type="dxa"/>
            </w:tcMar>
          </w:tcPr>
          <w:p>
            <w:r>
              <w:rPr>
                <w:rFonts w:ascii="Segoe UI" w:hAnsi="Segoe UI"/>
                <w:color w:val="282828"/>
                <w:sz w:val="19"/>
              </w:rPr>
              <w:t>هل يجوز إرسال البطاقة المصرفية والرقم السري في شحنة بريدية واحدة للخارج؟</w:t>
            </w:r>
          </w:p>
        </w:tc>
        <w:tc>
          <w:tcPr>
            <w:tcW w:type="dxa" w:w="2340"/>
            <w:shd w:fill="F9FBFD"/>
            <w:tcMar>
              <w:top w:w="100" w:type="dxa"/>
              <w:bottom w:w="100" w:type="dxa"/>
              <w:left w:w="140" w:type="dxa"/>
              <w:right w:w="140" w:type="dxa"/>
            </w:tcMar>
          </w:tcPr>
          <w:p>
            <w:r>
              <w:rPr>
                <w:rFonts w:ascii="Segoe UI" w:hAnsi="Segoe UI"/>
                <w:color w:val="282828"/>
                <w:sz w:val="19"/>
              </w:rPr>
              <w:t>لا يجوز الجمع بينهما إطلاقاً في شحنة واحدة لأسباب أمنية مصرفية</w:t>
            </w:r>
          </w:p>
        </w:tc>
        <w:tc>
          <w:tcPr>
            <w:tcW w:type="dxa" w:w="2340"/>
            <w:shd w:fill="F9FBFD"/>
            <w:tcMar>
              <w:top w:w="100" w:type="dxa"/>
              <w:bottom w:w="100" w:type="dxa"/>
              <w:left w:w="140" w:type="dxa"/>
              <w:right w:w="140" w:type="dxa"/>
            </w:tcMar>
          </w:tcPr>
          <w:p>
            <w:r>
              <w:rPr>
                <w:rFonts w:ascii="Segoe UI" w:hAnsi="Segoe UI"/>
                <w:color w:val="282828"/>
                <w:sz w:val="19"/>
              </w:rPr>
              <w:t>Central Mail Manual</w:t>
              <w:br/>
              <w:t>(Page 9, Extraction: fitz)</w:t>
            </w:r>
          </w:p>
        </w:tc>
      </w:tr>
    </w:tbl>
    <w:p>
      <w:pPr>
        <w:spacing w:after="200"/>
      </w:pPr>
    </w:p>
    <w:p>
      <w:pPr>
        <w:pStyle w:val="Heading1"/>
        <w:spacing w:before="320" w:after="120"/>
      </w:pPr>
      <w:r>
        <w:rPr>
          <w:rFonts w:ascii="Segoe UI" w:hAnsi="Segoe UI"/>
          <w:b/>
          <w:color w:val="1B365D"/>
          <w:sz w:val="32"/>
        </w:rPr>
        <w:t>7. Codebase Structure &amp; Module Inventory</w:t>
      </w:r>
    </w:p>
    <w:tbl>
      <w:tblPr>
        <w:tblW w:type="auto" w:w="0"/>
        <w:jc w:val="center"/>
        <w:tblLook w:firstColumn="1" w:firstRow="1" w:lastColumn="0" w:lastRow="0" w:noHBand="0" w:noVBand="1" w:val="04A0"/>
      </w:tblPr>
      <w:tblGrid>
        <w:gridCol w:w="3168"/>
        <w:gridCol w:w="6192"/>
      </w:tblGrid>
      <w:tr>
        <w:tc>
          <w:tcPr>
            <w:tcW w:type="dxa" w:w="4680"/>
            <w:shd w:fill="2B4C7E"/>
            <w:tcMar>
              <w:top w:w="120" w:type="dxa"/>
              <w:bottom w:w="120" w:type="dxa"/>
              <w:left w:w="140" w:type="dxa"/>
              <w:right w:w="140" w:type="dxa"/>
            </w:tcMar>
          </w:tcPr>
          <w:p>
            <w:pPr>
              <w:jc w:val="left"/>
            </w:pPr>
            <w:r>
              <w:rPr>
                <w:rFonts w:ascii="Segoe UI" w:hAnsi="Segoe UI"/>
                <w:b/>
                <w:color w:val="FFFFFF"/>
                <w:sz w:val="20"/>
              </w:rPr>
              <w:t>Module Filepath</w:t>
            </w:r>
          </w:p>
        </w:tc>
        <w:tc>
          <w:tcPr>
            <w:tcW w:type="dxa" w:w="4680"/>
            <w:shd w:fill="2B4C7E"/>
            <w:tcMar>
              <w:top w:w="120" w:type="dxa"/>
              <w:bottom w:w="120" w:type="dxa"/>
              <w:left w:w="140" w:type="dxa"/>
              <w:right w:w="140" w:type="dxa"/>
            </w:tcMar>
          </w:tcPr>
          <w:p>
            <w:pPr>
              <w:jc w:val="left"/>
            </w:pPr>
            <w:r>
              <w:rPr>
                <w:rFonts w:ascii="Segoe UI" w:hAnsi="Segoe UI"/>
                <w:b/>
                <w:color w:val="FFFFFF"/>
                <w:sz w:val="20"/>
              </w:rPr>
              <w:t>Technical Responsibility</w:t>
            </w:r>
          </w:p>
        </w:tc>
      </w:tr>
      <w:tr>
        <w:tc>
          <w:tcPr>
            <w:tcW w:type="dxa" w:w="4680"/>
            <w:shd w:fill="FFFFFF"/>
            <w:tcMar>
              <w:top w:w="100" w:type="dxa"/>
              <w:bottom w:w="100" w:type="dxa"/>
              <w:left w:w="140" w:type="dxa"/>
              <w:right w:w="140" w:type="dxa"/>
            </w:tcMar>
          </w:tcPr>
          <w:p>
            <w:r>
              <w:rPr>
                <w:rFonts w:ascii="Segoe UI" w:hAnsi="Segoe UI"/>
                <w:color w:val="282828"/>
                <w:sz w:val="19"/>
              </w:rPr>
              <w:t>config.py</w:t>
            </w:r>
          </w:p>
        </w:tc>
        <w:tc>
          <w:tcPr>
            <w:tcW w:type="dxa" w:w="4680"/>
            <w:shd w:fill="FFFFFF"/>
            <w:tcMar>
              <w:top w:w="100" w:type="dxa"/>
              <w:bottom w:w="100" w:type="dxa"/>
              <w:left w:w="140" w:type="dxa"/>
              <w:right w:w="140" w:type="dxa"/>
            </w:tcMar>
          </w:tcPr>
          <w:p>
            <w:r>
              <w:rPr>
                <w:rFonts w:ascii="Segoe UI" w:hAnsi="Segoe UI"/>
                <w:color w:val="282828"/>
                <w:sz w:val="19"/>
              </w:rPr>
              <w:t>Global parameters: model names, paths, retrieval modes, default weights, CUDA device flags.</w:t>
            </w:r>
          </w:p>
        </w:tc>
      </w:tr>
      <w:tr>
        <w:tc>
          <w:tcPr>
            <w:tcW w:type="dxa" w:w="4680"/>
            <w:shd w:fill="F4F7FB"/>
            <w:tcMar>
              <w:top w:w="100" w:type="dxa"/>
              <w:bottom w:w="100" w:type="dxa"/>
              <w:left w:w="140" w:type="dxa"/>
              <w:right w:w="140" w:type="dxa"/>
            </w:tcMar>
          </w:tcPr>
          <w:p>
            <w:r>
              <w:rPr>
                <w:rFonts w:ascii="Segoe UI" w:hAnsi="Segoe UI"/>
                <w:color w:val="282828"/>
                <w:sz w:val="19"/>
              </w:rPr>
              <w:t>app.py</w:t>
            </w:r>
          </w:p>
        </w:tc>
        <w:tc>
          <w:tcPr>
            <w:tcW w:type="dxa" w:w="4680"/>
            <w:shd w:fill="F4F7FB"/>
            <w:tcMar>
              <w:top w:w="100" w:type="dxa"/>
              <w:bottom w:w="100" w:type="dxa"/>
              <w:left w:w="140" w:type="dxa"/>
              <w:right w:w="140" w:type="dxa"/>
            </w:tcMar>
          </w:tcPr>
          <w:p>
            <w:r>
              <w:rPr>
                <w:rFonts w:ascii="Segoe UI" w:hAnsi="Segoe UI"/>
                <w:color w:val="282828"/>
                <w:sz w:val="19"/>
              </w:rPr>
              <w:t>Streamlit UI with sidebar ingestion, model selection, retrieval mode controls, and chat history.</w:t>
            </w:r>
          </w:p>
        </w:tc>
      </w:tr>
      <w:tr>
        <w:tc>
          <w:tcPr>
            <w:tcW w:type="dxa" w:w="4680"/>
            <w:shd w:fill="FFFFFF"/>
            <w:tcMar>
              <w:top w:w="100" w:type="dxa"/>
              <w:bottom w:w="100" w:type="dxa"/>
              <w:left w:w="140" w:type="dxa"/>
              <w:right w:w="140" w:type="dxa"/>
            </w:tcMar>
          </w:tcPr>
          <w:p>
            <w:r>
              <w:rPr>
                <w:rFonts w:ascii="Segoe UI" w:hAnsi="Segoe UI"/>
                <w:color w:val="282828"/>
                <w:sz w:val="19"/>
              </w:rPr>
              <w:t>requirements.txt</w:t>
            </w:r>
          </w:p>
        </w:tc>
        <w:tc>
          <w:tcPr>
            <w:tcW w:type="dxa" w:w="4680"/>
            <w:shd w:fill="FFFFFF"/>
            <w:tcMar>
              <w:top w:w="100" w:type="dxa"/>
              <w:bottom w:w="100" w:type="dxa"/>
              <w:left w:w="140" w:type="dxa"/>
              <w:right w:w="140" w:type="dxa"/>
            </w:tcMar>
          </w:tcPr>
          <w:p>
            <w:r>
              <w:rPr>
                <w:rFonts w:ascii="Segoe UI" w:hAnsi="Segoe UI"/>
                <w:color w:val="282828"/>
                <w:sz w:val="19"/>
              </w:rPr>
              <w:t>Project dependencies: langchain, chromadb, sentence-transformers, rank-bm25, streamlit.</w:t>
            </w:r>
          </w:p>
        </w:tc>
      </w:tr>
      <w:tr>
        <w:tc>
          <w:tcPr>
            <w:tcW w:type="dxa" w:w="4680"/>
            <w:shd w:fill="F4F7FB"/>
            <w:tcMar>
              <w:top w:w="100" w:type="dxa"/>
              <w:bottom w:w="100" w:type="dxa"/>
              <w:left w:w="140" w:type="dxa"/>
              <w:right w:w="140" w:type="dxa"/>
            </w:tcMar>
          </w:tcPr>
          <w:p>
            <w:r>
              <w:rPr>
                <w:rFonts w:ascii="Segoe UI" w:hAnsi="Segoe UI"/>
                <w:color w:val="282828"/>
                <w:sz w:val="19"/>
              </w:rPr>
              <w:t>ingestion/ocr_loader.py</w:t>
            </w:r>
          </w:p>
        </w:tc>
        <w:tc>
          <w:tcPr>
            <w:tcW w:type="dxa" w:w="4680"/>
            <w:shd w:fill="F4F7FB"/>
            <w:tcMar>
              <w:top w:w="100" w:type="dxa"/>
              <w:bottom w:w="100" w:type="dxa"/>
              <w:left w:w="140" w:type="dxa"/>
              <w:right w:w="140" w:type="dxa"/>
            </w:tcMar>
          </w:tcPr>
          <w:p>
            <w:r>
              <w:rPr>
                <w:rFonts w:ascii="Segoe UI" w:hAnsi="Segoe UI"/>
                <w:color w:val="282828"/>
                <w:sz w:val="19"/>
              </w:rPr>
              <w:t>PyMuPDF text extraction with Tesseract OCR fallback and JSON extraction caching.</w:t>
            </w:r>
          </w:p>
        </w:tc>
      </w:tr>
      <w:tr>
        <w:tc>
          <w:tcPr>
            <w:tcW w:type="dxa" w:w="4680"/>
            <w:shd w:fill="FFFFFF"/>
            <w:tcMar>
              <w:top w:w="100" w:type="dxa"/>
              <w:bottom w:w="100" w:type="dxa"/>
              <w:left w:w="140" w:type="dxa"/>
              <w:right w:w="140" w:type="dxa"/>
            </w:tcMar>
          </w:tcPr>
          <w:p>
            <w:r>
              <w:rPr>
                <w:rFonts w:ascii="Segoe UI" w:hAnsi="Segoe UI"/>
                <w:color w:val="282828"/>
                <w:sz w:val="19"/>
              </w:rPr>
              <w:t>ingestion/chunking.py</w:t>
            </w:r>
          </w:p>
        </w:tc>
        <w:tc>
          <w:tcPr>
            <w:tcW w:type="dxa" w:w="4680"/>
            <w:shd w:fill="FFFFFF"/>
            <w:tcMar>
              <w:top w:w="100" w:type="dxa"/>
              <w:bottom w:w="100" w:type="dxa"/>
              <w:left w:w="140" w:type="dxa"/>
              <w:right w:w="140" w:type="dxa"/>
            </w:tcMar>
          </w:tcPr>
          <w:p>
            <w:r>
              <w:rPr>
                <w:rFonts w:ascii="Segoe UI" w:hAnsi="Segoe UI"/>
                <w:color w:val="282828"/>
                <w:sz w:val="19"/>
              </w:rPr>
              <w:t>Implementation of all 5 chunking algorithms with metadata preservation.</w:t>
            </w:r>
          </w:p>
        </w:tc>
      </w:tr>
      <w:tr>
        <w:tc>
          <w:tcPr>
            <w:tcW w:type="dxa" w:w="4680"/>
            <w:shd w:fill="F4F7FB"/>
            <w:tcMar>
              <w:top w:w="100" w:type="dxa"/>
              <w:bottom w:w="100" w:type="dxa"/>
              <w:left w:w="140" w:type="dxa"/>
              <w:right w:w="140" w:type="dxa"/>
            </w:tcMar>
          </w:tcPr>
          <w:p>
            <w:r>
              <w:rPr>
                <w:rFonts w:ascii="Segoe UI" w:hAnsi="Segoe UI"/>
                <w:color w:val="282828"/>
                <w:sz w:val="19"/>
              </w:rPr>
              <w:t>ingestion/embeddings.py</w:t>
            </w:r>
          </w:p>
        </w:tc>
        <w:tc>
          <w:tcPr>
            <w:tcW w:type="dxa" w:w="4680"/>
            <w:shd w:fill="F4F7FB"/>
            <w:tcMar>
              <w:top w:w="100" w:type="dxa"/>
              <w:bottom w:w="100" w:type="dxa"/>
              <w:left w:w="140" w:type="dxa"/>
              <w:right w:w="140" w:type="dxa"/>
            </w:tcMar>
          </w:tcPr>
          <w:p>
            <w:r>
              <w:rPr>
                <w:rFonts w:ascii="Segoe UI" w:hAnsi="Segoe UI"/>
                <w:color w:val="282828"/>
                <w:sz w:val="19"/>
              </w:rPr>
              <w:t>BAAI/bge-m3 embedding model initialization with GPU/CUDA acceleration and batching.</w:t>
            </w:r>
          </w:p>
        </w:tc>
      </w:tr>
      <w:tr>
        <w:tc>
          <w:tcPr>
            <w:tcW w:type="dxa" w:w="4680"/>
            <w:shd w:fill="FFFFFF"/>
            <w:tcMar>
              <w:top w:w="100" w:type="dxa"/>
              <w:bottom w:w="100" w:type="dxa"/>
              <w:left w:w="140" w:type="dxa"/>
              <w:right w:w="140" w:type="dxa"/>
            </w:tcMar>
          </w:tcPr>
          <w:p>
            <w:r>
              <w:rPr>
                <w:rFonts w:ascii="Segoe UI" w:hAnsi="Segoe UI"/>
                <w:color w:val="282828"/>
                <w:sz w:val="19"/>
              </w:rPr>
              <w:t>ingestion/ingest.py</w:t>
            </w:r>
          </w:p>
        </w:tc>
        <w:tc>
          <w:tcPr>
            <w:tcW w:type="dxa" w:w="4680"/>
            <w:shd w:fill="FFFFFF"/>
            <w:tcMar>
              <w:top w:w="100" w:type="dxa"/>
              <w:bottom w:w="100" w:type="dxa"/>
              <w:left w:w="140" w:type="dxa"/>
              <w:right w:w="140" w:type="dxa"/>
            </w:tcMar>
          </w:tcPr>
          <w:p>
            <w:r>
              <w:rPr>
                <w:rFonts w:ascii="Segoe UI" w:hAnsi="Segoe UI"/>
                <w:color w:val="282828"/>
                <w:sz w:val="19"/>
              </w:rPr>
              <w:t>Orchestrator and CLI runner for batch document ingestion into ChromaDB.</w:t>
            </w:r>
          </w:p>
        </w:tc>
      </w:tr>
      <w:tr>
        <w:tc>
          <w:tcPr>
            <w:tcW w:type="dxa" w:w="4680"/>
            <w:shd w:fill="F4F7FB"/>
            <w:tcMar>
              <w:top w:w="100" w:type="dxa"/>
              <w:bottom w:w="100" w:type="dxa"/>
              <w:left w:w="140" w:type="dxa"/>
              <w:right w:w="140" w:type="dxa"/>
            </w:tcMar>
          </w:tcPr>
          <w:p>
            <w:r>
              <w:rPr>
                <w:rFonts w:ascii="Segoe UI" w:hAnsi="Segoe UI"/>
                <w:color w:val="282828"/>
                <w:sz w:val="19"/>
              </w:rPr>
              <w:t>retrieval/vectorstore.py</w:t>
            </w:r>
          </w:p>
        </w:tc>
        <w:tc>
          <w:tcPr>
            <w:tcW w:type="dxa" w:w="4680"/>
            <w:shd w:fill="F4F7FB"/>
            <w:tcMar>
              <w:top w:w="100" w:type="dxa"/>
              <w:bottom w:w="100" w:type="dxa"/>
              <w:left w:w="140" w:type="dxa"/>
              <w:right w:w="140" w:type="dxa"/>
            </w:tcMar>
          </w:tcPr>
          <w:p>
            <w:r>
              <w:rPr>
                <w:rFonts w:ascii="Segoe UI" w:hAnsi="Segoe UI"/>
                <w:color w:val="282828"/>
                <w:sz w:val="19"/>
              </w:rPr>
              <w:t>Chroma vectorstore initialization, connection management, and batch document upsert.</w:t>
            </w:r>
          </w:p>
        </w:tc>
      </w:tr>
      <w:tr>
        <w:tc>
          <w:tcPr>
            <w:tcW w:type="dxa" w:w="4680"/>
            <w:shd w:fill="FFFFFF"/>
            <w:tcMar>
              <w:top w:w="100" w:type="dxa"/>
              <w:bottom w:w="100" w:type="dxa"/>
              <w:left w:w="140" w:type="dxa"/>
              <w:right w:w="140" w:type="dxa"/>
            </w:tcMar>
          </w:tcPr>
          <w:p>
            <w:r>
              <w:rPr>
                <w:rFonts w:ascii="Segoe UI" w:hAnsi="Segoe UI"/>
                <w:color w:val="282828"/>
                <w:sz w:val="19"/>
              </w:rPr>
              <w:t>retrieval/retriever.py</w:t>
            </w:r>
          </w:p>
        </w:tc>
        <w:tc>
          <w:tcPr>
            <w:tcW w:type="dxa" w:w="4680"/>
            <w:shd w:fill="FFFFFF"/>
            <w:tcMar>
              <w:top w:w="100" w:type="dxa"/>
              <w:bottom w:w="100" w:type="dxa"/>
              <w:left w:w="140" w:type="dxa"/>
              <w:right w:w="140" w:type="dxa"/>
            </w:tcMar>
          </w:tcPr>
          <w:p>
            <w:r>
              <w:rPr>
                <w:rFonts w:ascii="Segoe UI" w:hAnsi="Segoe UI"/>
                <w:color w:val="282828"/>
                <w:sz w:val="19"/>
              </w:rPr>
              <w:t>HybridEnsembleRetriever (RRF), BM25 keyword retriever, and Chroma semantic retriever.</w:t>
            </w:r>
          </w:p>
        </w:tc>
      </w:tr>
      <w:tr>
        <w:tc>
          <w:tcPr>
            <w:tcW w:type="dxa" w:w="4680"/>
            <w:shd w:fill="F4F7FB"/>
            <w:tcMar>
              <w:top w:w="100" w:type="dxa"/>
              <w:bottom w:w="100" w:type="dxa"/>
              <w:left w:w="140" w:type="dxa"/>
              <w:right w:w="140" w:type="dxa"/>
            </w:tcMar>
          </w:tcPr>
          <w:p>
            <w:r>
              <w:rPr>
                <w:rFonts w:ascii="Segoe UI" w:hAnsi="Segoe UI"/>
                <w:color w:val="282828"/>
                <w:sz w:val="19"/>
              </w:rPr>
              <w:t>generation/generator.py</w:t>
            </w:r>
          </w:p>
        </w:tc>
        <w:tc>
          <w:tcPr>
            <w:tcW w:type="dxa" w:w="4680"/>
            <w:shd w:fill="F4F7FB"/>
            <w:tcMar>
              <w:top w:w="100" w:type="dxa"/>
              <w:bottom w:w="100" w:type="dxa"/>
              <w:left w:w="140" w:type="dxa"/>
              <w:right w:w="140" w:type="dxa"/>
            </w:tcMar>
          </w:tcPr>
          <w:p>
            <w:r>
              <w:rPr>
                <w:rFonts w:ascii="Segoe UI" w:hAnsi="Segoe UI"/>
                <w:color w:val="282828"/>
                <w:sz w:val="19"/>
              </w:rPr>
              <w:t>Groq LLM invocation, system prompt formatting, context truncation, and answer synthesis.</w:t>
            </w:r>
          </w:p>
        </w:tc>
      </w:tr>
    </w:tbl>
    <w:p>
      <w:pPr>
        <w:spacing w:after="200"/>
      </w:pPr>
    </w:p>
    <w:p>
      <w:pPr>
        <w:pStyle w:val="Heading1"/>
        <w:spacing w:before="320" w:after="120"/>
      </w:pPr>
      <w:r>
        <w:rPr>
          <w:rFonts w:ascii="Segoe UI" w:hAnsi="Segoe UI"/>
          <w:b/>
          <w:color w:val="1B365D"/>
          <w:sz w:val="32"/>
        </w:rPr>
        <w:t>8. Installation, Configuration &amp; Runtime Guide</w:t>
      </w:r>
    </w:p>
    <w:p>
      <w:pPr>
        <w:spacing w:after="80"/>
      </w:pPr>
      <w:r>
        <w:t>Follow these operational steps to deploy and run the system:</w:t>
      </w:r>
    </w:p>
    <w:p>
      <w:pPr>
        <w:pStyle w:val="ListBullet"/>
        <w:spacing w:after="60"/>
      </w:pPr>
      <w:r>
        <w:rPr>
          <w:b/>
          <w:color w:val="1B365D"/>
        </w:rPr>
        <w:t xml:space="preserve">1. Environment Setup: </w:t>
      </w:r>
      <w:r>
        <w:t>Create a Python 3.10 virtual environment and install dependencies via `pip install -r requirements.txt`.</w:t>
      </w:r>
    </w:p>
    <w:p>
      <w:pPr>
        <w:pStyle w:val="ListBullet"/>
        <w:spacing w:after="60"/>
      </w:pPr>
      <w:r>
        <w:rPr>
          <w:b/>
          <w:color w:val="1B365D"/>
        </w:rPr>
        <w:t xml:space="preserve">2. API Key Configuration: </w:t>
      </w:r>
      <w:r>
        <w:t>Copy `.env.example` to `.env` and configure `GROQ_API_KEY=gsk_...` with your Groq API credentials.</w:t>
      </w:r>
    </w:p>
    <w:p>
      <w:pPr>
        <w:pStyle w:val="ListBullet"/>
        <w:spacing w:after="60"/>
      </w:pPr>
      <w:r>
        <w:rPr>
          <w:b/>
          <w:color w:val="1B365D"/>
        </w:rPr>
        <w:t xml:space="preserve">3. Knowledge Base Ingestion: </w:t>
      </w:r>
      <w:r>
        <w:t>Execute `python -m ingestion.ingest --strategy recursive_character` or trigger ingestion directly in the Streamlit sidebar.</w:t>
      </w:r>
    </w:p>
    <w:p>
      <w:pPr>
        <w:pStyle w:val="ListBullet"/>
        <w:spacing w:after="60"/>
      </w:pPr>
      <w:r>
        <w:rPr>
          <w:b/>
          <w:color w:val="1B365D"/>
        </w:rPr>
        <w:t xml:space="preserve">4. Application Launch: </w:t>
      </w:r>
      <w:r>
        <w:t>Launch the web interface via `streamlit run app.py` and access http://localhost:8501 in your browser.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08080"/>
        <w:sz w:val="17"/>
      </w:rPr>
      <w:t>Confidential — Internal Banking AI Architecture &amp; SOP Assistant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08080"/>
        <w:sz w:val="17"/>
      </w:rPr>
      <w:t>Bank_Guide_AI — Technical &amp;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