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Reviewers</w:t>
      </w:r>
    </w:p>
    <w:p>
      <w:pPr>
        <w:jc w:val="center"/>
      </w:pPr>
      <w:r>
        <w:rPr>
          <w:b/>
          <w:sz w:val="24"/>
        </w:rPr>
        <w:t>Design and Evaluation of Adaptive PPO-Based Resource Orchestration for Latency-Sensitive AI Inference in Cloud-Edge Computing</w:t>
      </w:r>
    </w:p>
    <w:p>
      <w:r>
        <w:rPr>
          <w:b/>
        </w:rPr>
        <w:t>Dear Editor and Reviewers,</w:t>
      </w:r>
    </w:p>
    <w:p>
      <w:r>
        <w:t>Thank you for the detailed technical assessment. We treated the review as requiring a substantive experimental rebuild rather than a wording-only revision. The revised submission therefore changes the simulator parameterization, dynamic-scenario horizon, PPO training design, comparator set, statistical protocol, energy accounting, figures, and reproducibility package. A clean manuscript and a marked-up manuscript are supplied; in the marked-up version, only inserted or replaced text is shown in red. The accompanying v2.0 package contains the revised code, checkpoints, raw and aggregated results, statistical outputs, sensitivity files, hardware timing sanity check, and vector figures.</w:t>
      </w:r>
    </w:p>
    <w:p>
      <w:r>
        <w:t>The main scientific conclusion has also been narrowed. The revised paper does not claim universal PPO superiority. It shows that, after correcting the experimental design, a unified PPO policy is demonstrably state dependent and materially improves over fixed/constant execution policies in the simulated dynamic scenarios, while a transparent one-step greedy policy remains a strong comparator and is not universally surpassed.</w:t>
      </w:r>
    </w:p>
    <w:p>
      <w:pPr>
        <w:pStyle w:val="Heading1"/>
      </w:pPr>
      <w:r>
        <w:t>Reviewer 1</w:t>
      </w:r>
    </w:p>
    <w:p>
      <w:r>
        <w:t>We appreciate the reviewer’s reproducibility audit. The revised experiment directly addresses the reviewer’s central finding that the original artifact did not exercise the intended adaptive problem.</w:t>
      </w:r>
    </w:p>
    <w:p>
      <w:pPr>
        <w:pStyle w:val="Heading2"/>
      </w:pPr>
      <w:r>
        <w:t>M1. Constant learned policy / state not used</w:t>
      </w:r>
    </w:p>
    <w:p>
      <w:r>
        <w:rPr>
          <w:b/>
        </w:rPr>
        <w:t xml:space="preserve">Reviewer comment. </w:t>
      </w:r>
      <w:r>
        <w:t>Original PPO argmax behavior was effectively constant in three scenarios, so “Adaptive” was not supported.</w:t>
      </w:r>
    </w:p>
    <w:p>
      <w:r>
        <w:rPr>
          <w:b/>
        </w:rPr>
        <w:t xml:space="preserve">Response. </w:t>
      </w:r>
      <w:r>
        <w:t>The scenario-specific policies were replaced by one unified policy trained across mixed operating conditions. A 20,000-state state-dependence probe was run for each of three independent PPO training seeds. Every retained actor produced eight distinct argmax actions; the largest-action share is about 49-55%, rather than 100%. Mean probe entropy is about 0.61-0.64 nats versus ln(9)=2.197 for a uniform nine-action policy. The state vector was expanded to 17 variables and explicitly includes queue/busy times, link state, battery state, recent violations, and cycle phase. These diagnostics are now reported rather than inferring adaptivity from performance alone.</w:t>
      </w:r>
    </w:p>
    <w:p>
      <w:r>
        <w:rPr>
          <w:b/>
        </w:rPr>
        <w:t xml:space="preserve">Implemented in. </w:t>
      </w:r>
      <w:r>
        <w:t>Sections 3.2.1, 3.2.2 and 4.1; Table 5; Figure 6; results/state_dependence_probe.csv.</w:t>
      </w:r>
    </w:p>
    <w:p>
      <w:pPr>
        <w:pStyle w:val="Heading2"/>
      </w:pPr>
      <w:r>
        <w:t>M2. Missing exhaustive constant-action comparator</w:t>
      </w:r>
    </w:p>
    <w:p>
      <w:r>
        <w:rPr>
          <w:b/>
        </w:rPr>
        <w:t xml:space="preserve">Reviewer comment. </w:t>
      </w:r>
      <w:r>
        <w:t>All nine constant actions should be enumerated; the original PPO matched or lost to the best constant.</w:t>
      </w:r>
    </w:p>
    <w:p>
      <w:r>
        <w:rPr>
          <w:b/>
        </w:rPr>
        <w:t xml:space="preserve">Response. </w:t>
      </w:r>
      <w:r>
        <w:t>All nine constant policies are now evaluated on independent validation seeds 7000-7004 only. The best constant action for each scenario is locked before final evaluation and included as “Best-constant”. Final test seeds 1000-1019 are never used to select the constant comparator. The revised PPO improves mean scalar reward relative to this validation-selected best constant in all four scenarios, while the manuscript still reports where greedy is better.</w:t>
      </w:r>
    </w:p>
    <w:p>
      <w:r>
        <w:rPr>
          <w:b/>
        </w:rPr>
        <w:t xml:space="preserve">Implemented in. </w:t>
      </w:r>
      <w:r>
        <w:t>Section 3.3; Tables 6-7; results/constant_action_validation.csv and results/results_summary.csv.</w:t>
      </w:r>
    </w:p>
    <w:p>
      <w:pPr>
        <w:pStyle w:val="Heading2"/>
      </w:pPr>
      <w:r>
        <w:t>M3. Near-uniform actor and deterministic-argmax artifact</w:t>
      </w:r>
    </w:p>
    <w:p>
      <w:r>
        <w:rPr>
          <w:b/>
        </w:rPr>
        <w:t xml:space="preserve">Reviewer comment. </w:t>
      </w:r>
      <w:r>
        <w:t>Policy entropy and stochastic-policy evaluation were missing; the original stochastic policy degraded severely.</w:t>
      </w:r>
    </w:p>
    <w:p>
      <w:r>
        <w:rPr>
          <w:b/>
        </w:rPr>
        <w:t xml:space="preserve">Response. </w:t>
      </w:r>
      <w:r>
        <w:t>Entropy is now tracked during PPO fine-tuning and shown in Figure 6. The revised paper reports deterministic argmax PPO and stochastic PPO side by side. Stochastic PPO remains close to deterministic PPO in all four scenarios rather than collapsing under burst/recovery. Three independent training seeds are retained, and manuscript-level paired inference averages the learned replicas for each matched evaluation seed while preserving unaggregated raw results.</w:t>
      </w:r>
    </w:p>
    <w:p>
      <w:r>
        <w:rPr>
          <w:b/>
        </w:rPr>
        <w:t xml:space="preserve">Implemented in. </w:t>
      </w:r>
      <w:r>
        <w:t>Sections 3.2.2 and 4.2; Figure 6; results/ppo_training_history*.csv; results/results_raw_all_replicates.csv.</w:t>
      </w:r>
    </w:p>
    <w:p>
      <w:pPr>
        <w:pStyle w:val="Heading2"/>
      </w:pPr>
      <w:r>
        <w:t>M4. Fluctuation episode did not span the 40 s cycle</w:t>
      </w:r>
    </w:p>
    <w:p>
      <w:r>
        <w:rPr>
          <w:b/>
        </w:rPr>
        <w:t xml:space="preserve">Reviewer comment. </w:t>
      </w:r>
      <w:r>
        <w:t>The 120-task evaluation covered almost only phase 0 and no traffic in phases 2-3.</w:t>
      </w:r>
    </w:p>
    <w:p>
      <w:r>
        <w:rPr>
          <w:b/>
        </w:rPr>
        <w:t xml:space="preserve">Response. </w:t>
      </w:r>
      <w:r>
        <w:t>Final episodes are now time based and last 45 s. Every one of the 20 fluctuation evaluation seeds traverses all four 10 s phases. Across final fluctuation evaluations, phases 0-3 contain 4,795, 3,349, 3,209 and 3,157 tasks, respectively. Seed-controlled per-task bandwidth and latency jitter is also included.</w:t>
      </w:r>
    </w:p>
    <w:p>
      <w:r>
        <w:rPr>
          <w:b/>
        </w:rPr>
        <w:t xml:space="preserve">Implemented in. </w:t>
      </w:r>
      <w:r>
        <w:t>Section 3.3 and 4.1; Table 4; Figure 5; results/scenario_coverage.csv.</w:t>
      </w:r>
    </w:p>
    <w:p>
      <w:pPr>
        <w:pStyle w:val="Heading2"/>
      </w:pPr>
      <w:r>
        <w:t>M5. Burst scenario never left the burst window</w:t>
      </w:r>
    </w:p>
    <w:p>
      <w:r>
        <w:rPr>
          <w:b/>
        </w:rPr>
        <w:t xml:space="preserve">Reviewer comment. </w:t>
      </w:r>
      <w:r>
        <w:t>The original 120-task run represented constant overload rather than burst and recovery.</w:t>
      </w:r>
    </w:p>
    <w:p>
      <w:r>
        <w:rPr>
          <w:b/>
        </w:rPr>
        <w:t xml:space="preserve">Response. </w:t>
      </w:r>
      <w:r>
        <w:t>The revised 45 s horizon spans both burst and recovery windows. Across the 20 final burst/recovery evaluations, 16,174 tasks arrive during burst intervals and 5,919 during recovery; every evaluation seed contains both regimes. The Results and Discussion now interpret queue growth and recovery, not a permanently elevated arrival rate.</w:t>
      </w:r>
    </w:p>
    <w:p>
      <w:r>
        <w:rPr>
          <w:b/>
        </w:rPr>
        <w:t xml:space="preserve">Implemented in. </w:t>
      </w:r>
      <w:r>
        <w:t>Sections 3.3, 4.1, 4.2 and 5; results/scenario_coverage.csv.</w:t>
      </w:r>
    </w:p>
    <w:p>
      <w:pPr>
        <w:pStyle w:val="Heading2"/>
      </w:pPr>
      <w:r>
        <w:t>M6. Figure 5 was outside the stated protocol</w:t>
      </w:r>
    </w:p>
    <w:p>
      <w:r>
        <w:rPr>
          <w:b/>
        </w:rPr>
        <w:t xml:space="preserve">Reviewer comment. </w:t>
      </w:r>
      <w:r>
        <w:t>The original figure used max_tasks=500 and seed 777, unlike the stated 120-task evaluation.</w:t>
      </w:r>
    </w:p>
    <w:p>
      <w:r>
        <w:rPr>
          <w:b/>
        </w:rPr>
        <w:t xml:space="preserve">Response. </w:t>
      </w:r>
      <w:r>
        <w:t>Figure 5 was regenerated from evaluation seed 1000 using the exact 45 s final-evaluation fluctuation protocol. The caption explicitly states the seed and protocol. No separate, longer diagnostic run is presented as an evaluation result.</w:t>
      </w:r>
    </w:p>
    <w:p>
      <w:r>
        <w:rPr>
          <w:b/>
        </w:rPr>
        <w:t xml:space="preserve">Implemented in. </w:t>
      </w:r>
      <w:r>
        <w:t>Figure 5 and Section 4.1; figure source in figures/figure_5_dynamic_trace.svg/.png.</w:t>
      </w:r>
    </w:p>
    <w:p>
      <w:pPr>
        <w:pStyle w:val="Heading2"/>
      </w:pPr>
      <w:r>
        <w:t>M7. Undocumented precision-dependent compute speed-up</w:t>
      </w:r>
    </w:p>
    <w:p>
      <w:r>
        <w:rPr>
          <w:b/>
        </w:rPr>
        <w:t xml:space="preserve">Reviewer comment. </w:t>
      </w:r>
      <w:r>
        <w:t>The original INT8/FP16 compute factors produced the headline burst result but were absent from the manuscript.</w:t>
      </w:r>
    </w:p>
    <w:p>
      <w:r>
        <w:rPr>
          <w:b/>
        </w:rPr>
        <w:t xml:space="preserve">Response. </w:t>
      </w:r>
      <w:r>
        <w:t>The undocumented compute acceleration was removed from the revised simulator. Full-offload actions are FP32. FP16 is used only for split actions, halves the transmitted intermediate activation size, and applies a declared analytical retention decrement of 0.004. Compute service time no longer depends on precision. Thus revised performance cannot be attributed to the criticized hidden speed factor.</w:t>
      </w:r>
    </w:p>
    <w:p>
      <w:r>
        <w:rPr>
          <w:b/>
        </w:rPr>
        <w:t xml:space="preserve">Implemented in. </w:t>
      </w:r>
      <w:r>
        <w:t>Sections 3.1 and 3.2.1; Equations (1)-(3); Table 2; config/experiment_config.json and code/revised_framework.py.</w:t>
      </w:r>
    </w:p>
    <w:p>
      <w:pPr>
        <w:pStyle w:val="Heading2"/>
      </w:pPr>
      <w:r>
        <w:t>M8. Tier parameterization fixed the answer</w:t>
      </w:r>
    </w:p>
    <w:p>
      <w:r>
        <w:rPr>
          <w:b/>
        </w:rPr>
        <w:t xml:space="preserve">Reviewer comment. </w:t>
      </w:r>
      <w:r>
        <w:t>Device capacity was unstable by construction and cloud capacity was disproportionately high; partitioning had no viable operating point.</w:t>
      </w:r>
    </w:p>
    <w:p>
      <w:r>
        <w:rPr>
          <w:b/>
        </w:rPr>
        <w:t xml:space="preserve">Response. </w:t>
      </w:r>
      <w:r>
        <w:t>The topology and capacities were re-provisioned to four source devices (20, 24, 28, 32 GFLOPS), three edge servers (36, 48, 60 GFLOPS), and one finite 120-GFLOPS cloud node. Aggregate device and edge capacities are 104 and 144 GFLOPS, so no tier is orders of magnitude faster by construction. The cloud is explicitly queued and finite. Dynamic 45 s episodes replace horizon-dependent interpretations of unstable 120-task queues.</w:t>
      </w:r>
    </w:p>
    <w:p>
      <w:r>
        <w:rPr>
          <w:b/>
        </w:rPr>
        <w:t xml:space="preserve">Implemented in. </w:t>
      </w:r>
      <w:r>
        <w:t>System Architecture and Table 4; Figure 1; config/experiment_config.json.</w:t>
      </w:r>
    </w:p>
    <w:p>
      <w:pPr>
        <w:pStyle w:val="Heading2"/>
      </w:pPr>
      <w:r>
        <w:t>M9. Energy-constrained scenario was not binding</w:t>
      </w:r>
    </w:p>
    <w:p>
      <w:r>
        <w:rPr>
          <w:b/>
        </w:rPr>
        <w:t xml:space="preserve">Reviewer comment. </w:t>
      </w:r>
      <w:r>
        <w:t>Original batteries were too large for the infeasible-energy penalty or termination condition to activate.</w:t>
      </w:r>
    </w:p>
    <w:p>
      <w:r>
        <w:rPr>
          <w:b/>
        </w:rPr>
        <w:t xml:space="preserve">Response. </w:t>
      </w:r>
      <w:r>
        <w:t>Energy-scenario source budgets are now 24, 28, 32 and 36 J. The constraint is empirically binding: local-only has an energy-infeasible drop rate of about 0.67, whereas deterministic PPO has zero mean energy-infeasible drops in the matched final evaluation. The reward uses a continuous battery-pressure term plus an explicit drop penalty, so battery state affects decisions before infeasibility occurs.</w:t>
      </w:r>
    </w:p>
    <w:p>
      <w:r>
        <w:rPr>
          <w:b/>
        </w:rPr>
        <w:t xml:space="preserve">Implemented in. </w:t>
      </w:r>
      <w:r>
        <w:t>Sections 3.2.1, 3.3, 4.2 and 5; Table 6; results/results_summary.csv.</w:t>
      </w:r>
    </w:p>
    <w:p>
      <w:pPr>
        <w:pStyle w:val="Heading2"/>
      </w:pPr>
      <w:r>
        <w:t>M10. Original ablation could not support its conclusion</w:t>
      </w:r>
    </w:p>
    <w:p>
      <w:r>
        <w:rPr>
          <w:b/>
        </w:rPr>
        <w:t xml:space="preserve">Reviewer comment. </w:t>
      </w:r>
      <w:r>
        <w:t>“Fixed weights” removed nothing active, variants were single-run and unused actions produced identical outputs.</w:t>
      </w:r>
    </w:p>
    <w:p>
      <w:r>
        <w:rPr>
          <w:b/>
        </w:rPr>
        <w:t xml:space="preserve">Response. </w:t>
      </w:r>
      <w:r>
        <w:t>The original ablation table and figure were removed rather than defended. They are replaced by state-dependence diagnostics, three independent PPO training seeds, deterministic/stochastic evaluation, and one-factor sensitivity analyses for arrival rate, bandwidth and compute capacity. The revised manuscript does not attribute small differences to inactive reward mechanisms.</w:t>
      </w:r>
    </w:p>
    <w:p>
      <w:r>
        <w:rPr>
          <w:b/>
        </w:rPr>
        <w:t xml:space="preserve">Implemented in. </w:t>
      </w:r>
      <w:r>
        <w:t>Sections 4.1, 4.2 and 4.4; Tables 5 and 8; Figure 6; results/sensitivity_*.csv.</w:t>
      </w:r>
    </w:p>
    <w:p>
      <w:pPr>
        <w:pStyle w:val="Heading2"/>
      </w:pPr>
      <w:r>
        <w:t>M11. Burst comparison was framed against the wrong baseline</w:t>
      </w:r>
    </w:p>
    <w:p>
      <w:r>
        <w:rPr>
          <w:b/>
        </w:rPr>
        <w:t xml:space="preserve">Reviewer comment. </w:t>
      </w:r>
      <w:r>
        <w:t>The original 39.8% comparison against the heuristic obscured that cloud-only captured nearly all of the apparent gain.</w:t>
      </w:r>
    </w:p>
    <w:p>
      <w:r>
        <w:rPr>
          <w:b/>
        </w:rPr>
        <w:t xml:space="preserve">Response. </w:t>
      </w:r>
      <w:r>
        <w:t>The 39.8% claim was removed. Table 6 now presents cloud-only, validation-selected best constant, greedy, DQN and PPO together for every scenario. The text compares PPO against these comparators directly and does not single out the most favorable percentage.</w:t>
      </w:r>
    </w:p>
    <w:p>
      <w:r>
        <w:rPr>
          <w:b/>
        </w:rPr>
        <w:t xml:space="preserve">Implemented in. </w:t>
      </w:r>
      <w:r>
        <w:t>Section 4.2; Table 6; Conclusion.</w:t>
      </w:r>
    </w:p>
    <w:p>
      <w:pPr>
        <w:pStyle w:val="Heading2"/>
      </w:pPr>
      <w:r>
        <w:t>M12. Static baseline was degenerate under fluctuation</w:t>
      </w:r>
    </w:p>
    <w:p>
      <w:r>
        <w:rPr>
          <w:b/>
        </w:rPr>
        <w:t xml:space="preserve">Reviewer comment. </w:t>
      </w:r>
      <w:r>
        <w:t>The original threshold never fired in the evaluated fluctuation phases and collapsed to local-only.</w:t>
      </w:r>
    </w:p>
    <w:p>
      <w:r>
        <w:rPr>
          <w:b/>
        </w:rPr>
        <w:t xml:space="preserve">Response. </w:t>
      </w:r>
      <w:r>
        <w:t>The static rule was redesigned and its thresholds are disclosed. More importantly, the final fluctuation episodes now traverse all four phases and include per-task jitter. The revised static baseline no longer duplicates local-only in the fluctuation results.</w:t>
      </w:r>
    </w:p>
    <w:p>
      <w:r>
        <w:rPr>
          <w:b/>
        </w:rPr>
        <w:t xml:space="preserve">Implemented in. </w:t>
      </w:r>
      <w:r>
        <w:t>Section 3.3; Table 6; code/revised_framework.py.</w:t>
      </w:r>
    </w:p>
    <w:p>
      <w:pPr>
        <w:pStyle w:val="Heading2"/>
      </w:pPr>
      <w:r>
        <w:t>M13. Reward and model parameters were not disclosed</w:t>
      </w:r>
    </w:p>
    <w:p>
      <w:r>
        <w:rPr>
          <w:b/>
        </w:rPr>
        <w:t xml:space="preserve">Reviewer comment. </w:t>
      </w:r>
      <w:r>
        <w:t>Core reward coefficients, fluctuation factors, profile parameters and baseline thresholds were only available in code.</w:t>
      </w:r>
    </w:p>
    <w:p>
      <w:r>
        <w:rPr>
          <w:b/>
        </w:rPr>
        <w:t xml:space="preserve">Response. </w:t>
      </w:r>
      <w:r>
        <w:t>The revised paper explicitly states the fixed reward coefficients and normalizers, battery-pressure term, drop/violation penalties, 17-state definition, nine actions, four fluctuation phases, per-task jitter, capacities, links, battery budgets, stage compute fractions, activation sizes, training seeds and evaluation/validation seed ranges. The misleading phrase “balanced weights” and scenario-specific reward switching were removed.</w:t>
      </w:r>
    </w:p>
    <w:p>
      <w:r>
        <w:rPr>
          <w:b/>
        </w:rPr>
        <w:t xml:space="preserve">Implemented in. </w:t>
      </w:r>
      <w:r>
        <w:t>Sections 3.1-3.3; Equations (1)-(10); Tables 2-4; config/experiment_config.json.</w:t>
      </w:r>
    </w:p>
    <w:p>
      <w:pPr>
        <w:pStyle w:val="Heading2"/>
      </w:pPr>
      <w:r>
        <w:t>M14. Transmit energy incorrectly included propagation delay</w:t>
      </w:r>
    </w:p>
    <w:p>
      <w:r>
        <w:rPr>
          <w:b/>
        </w:rPr>
        <w:t xml:space="preserve">Reviewer comment. </w:t>
      </w:r>
      <w:r>
        <w:t>Transmit power was charged over serialization plus propagation, biasing cloud offload energy.</w:t>
      </w:r>
    </w:p>
    <w:p>
      <w:r>
        <w:rPr>
          <w:b/>
        </w:rPr>
        <w:t xml:space="preserve">Response. </w:t>
      </w:r>
      <w:r>
        <w:t>The energy model was corrected. Source transmit energy is P_tx multiplied by serialization time only; propagation contributes to latency but not radio transmit energy. The manuscript explicitly distinguishes T_ser and T_prop.</w:t>
      </w:r>
    </w:p>
    <w:p>
      <w:r>
        <w:rPr>
          <w:b/>
        </w:rPr>
        <w:t xml:space="preserve">Implemented in. </w:t>
      </w:r>
      <w:r>
        <w:t>Section 3.1; Equations (1)-(2); code/revised_framework.py.</w:t>
      </w:r>
    </w:p>
    <w:p>
      <w:pPr>
        <w:pStyle w:val="Heading2"/>
      </w:pPr>
      <w:r>
        <w:t>M15. Evidence did not support the original conclusion</w:t>
      </w:r>
    </w:p>
    <w:p>
      <w:r>
        <w:rPr>
          <w:b/>
        </w:rPr>
        <w:t xml:space="preserve">Reviewer comment. </w:t>
      </w:r>
      <w:r>
        <w:t>PPO was best in only one of sixteen scenario-metric cells and did not support general scenario-dependent superiority.</w:t>
      </w:r>
    </w:p>
    <w:p>
      <w:r>
        <w:rPr>
          <w:b/>
        </w:rPr>
        <w:t xml:space="preserve">Response. </w:t>
      </w:r>
      <w:r>
        <w:t>The experimental design and conclusion were rebuilt. The revised manuscript states that PPO is not universally best and explicitly retains the unfavorable greedy comparison. The supported claim is narrower: the unified PPO is state dependent and improves over fixed/constant policies under the corrected simulated dynamics, but transparent greedy remains highly competitive. Physical-testbed superiority is not claimed.</w:t>
      </w:r>
    </w:p>
    <w:p>
      <w:r>
        <w:rPr>
          <w:b/>
        </w:rPr>
        <w:t xml:space="preserve">Implemented in. </w:t>
      </w:r>
      <w:r>
        <w:t>Abstract; Sections 4-6, especially Discussion, Threats to Validity, and Conclusion.</w:t>
      </w:r>
    </w:p>
    <w:p>
      <w:pPr>
        <w:pStyle w:val="Heading2"/>
      </w:pPr>
      <w:r>
        <w:t>Statistics</w:t>
      </w:r>
    </w:p>
    <w:p>
      <w:r>
        <w:rPr>
          <w:b/>
        </w:rPr>
        <w:t xml:space="preserve">Reviewer comment. </w:t>
      </w:r>
      <w:r>
        <w:t>The original analysis ran 60 tests but disclosed 12, corrected within selected comparator families, lacked effect sizes/CIs, printed p=1 for identically zero differences, and did not explain deterministic retention.</w:t>
      </w:r>
    </w:p>
    <w:p>
      <w:r>
        <w:rPr>
          <w:b/>
        </w:rPr>
        <w:t xml:space="preserve">Response. </w:t>
      </w:r>
      <w:r>
        <w:t>The comparator set expanded, so the revised inferential family contains 84 tests (4 scenarios x 7 comparators x 3 stochastic metrics: latency, device energy and violation rate). All 84 are released and corrected as one global Holm family. Each row reports raw p, global-Holm p, mean paired difference, paired rank-biserial effect size and a 95% bootstrap confidence interval. Identically zero paired differences are flagged “not testable”. Analytical retention is descriptive only because it is deterministic conditional on the selected action. Final evaluation uses 20 matched seeds, and seed-controlled network jitter means seeds vary both task streams and link realizations.</w:t>
      </w:r>
    </w:p>
    <w:p>
      <w:r>
        <w:rPr>
          <w:b/>
        </w:rPr>
        <w:t xml:space="preserve">Implemented in. </w:t>
      </w:r>
      <w:r>
        <w:t>Section 3.3; Table 7; results/paired_statistics_global_holm.csv.</w:t>
      </w:r>
    </w:p>
    <w:p>
      <w:pPr>
        <w:pStyle w:val="Heading2"/>
      </w:pPr>
      <w:r>
        <w:t>References and literature positioning</w:t>
      </w:r>
    </w:p>
    <w:p>
      <w:r>
        <w:rPr>
          <w:b/>
        </w:rPr>
        <w:t xml:space="preserve">Reviewer comment. </w:t>
      </w:r>
      <w:r>
        <w:t>Missing DOIs and primary method references, several inaccurate citing sentences, out-of-order/duplicated tables, and excessive unrelated self-citation required correction.</w:t>
      </w:r>
    </w:p>
    <w:p>
      <w:r>
        <w:rPr>
          <w:b/>
        </w:rPr>
        <w:t xml:space="preserve">Response. </w:t>
      </w:r>
      <w:r>
        <w:t>Primary references were added for PPO, GAE, DQN, Adam, ResNet-50, MobileNetV2, Wilcoxon and Holm. The reviewer-supplied DOIs were added where applicable. Literature wording was corrected: Sharghivand is described as an auction-mechanism survey; Ding is not cited for communication reduction; Chen’s iRAF resource-allocation mechanism is described more accurately; Liu is labeled DRL rather than DQN where the source does not identify DQN. The “related Malaysian studies” wording and unrelated power-systems self-citations were removed. El Haber is now discussed in running text. The comparative table was reordered with the present study last, and the redundant old Table 9 was merged/removed. A competing-interests statement was added.</w:t>
      </w:r>
    </w:p>
    <w:p>
      <w:r>
        <w:rPr>
          <w:b/>
        </w:rPr>
        <w:t xml:space="preserve">Implemented in. </w:t>
      </w:r>
      <w:r>
        <w:t>Sections 1-2; revised Table 1; References; Competing Interests.</w:t>
      </w:r>
    </w:p>
    <w:p>
      <w:pPr>
        <w:pStyle w:val="Heading2"/>
      </w:pPr>
      <w:r>
        <w:t>Presentation and figures</w:t>
      </w:r>
    </w:p>
    <w:p>
      <w:r>
        <w:rPr>
          <w:b/>
        </w:rPr>
        <w:t xml:space="preserve">Reviewer comment. </w:t>
      </w:r>
      <w:r>
        <w:t>Figures had overlapping markers, inappropriate axes, unreadable ablation graphics, inconsistent color-only encodings, model-inconsistent architecture, incomplete PPO workflow, duplicate titles and raster/JPEG limitations.</w:t>
      </w:r>
    </w:p>
    <w:p>
      <w:r>
        <w:rPr>
          <w:b/>
        </w:rPr>
        <w:t xml:space="preserve">Response. </w:t>
      </w:r>
      <w:r>
        <w:t>All six figures were regenerated. Figure 1 now shows exactly four devices, three edge servers, one finite queued cloud and the orchestrator. Figure 2 now shows rollout, buffer, GAE, clipped PPO update and the feedback loop. Figure 3 uses a logarithmic latency axis with hatch distinctions; Figure 4 uses distinct markers and explicitly annotates the cloud/best-constant overlap; Figure 5 has separate axes/legend and uses the exact final protocol; Figure 6 is now the training-entropy diagnostic rather than the unsupported ablation plot. Vector SVG originals and high-resolution PNG files are provided; figure titles are not embedded redundantly inside the plots.</w:t>
      </w:r>
    </w:p>
    <w:p>
      <w:r>
        <w:rPr>
          <w:b/>
        </w:rPr>
        <w:t xml:space="preserve">Implemented in. </w:t>
      </w:r>
      <w:r>
        <w:t>Figures 1-6; figures/*.svg and figures/*.png; FIGURE_MAPPING.md.</w:t>
      </w:r>
    </w:p>
    <w:p>
      <w:pPr>
        <w:pStyle w:val="Heading2"/>
      </w:pPr>
      <w:r>
        <w:t>Minor comments: equations, formulation, sensitivity, abstract/conclusion and style</w:t>
      </w:r>
    </w:p>
    <w:p>
      <w:r>
        <w:rPr>
          <w:b/>
        </w:rPr>
        <w:t xml:space="preserve">Reviewer comment. </w:t>
      </w:r>
      <w:r>
        <w:t>The original file had no equation objects, lacked a formal MDP/PPO objective, called a non-sweep section “Sensitivity,” overloaded the abstract/conclusion with numbers, and had inconsistent captions/style.</w:t>
      </w:r>
    </w:p>
    <w:p>
      <w:r>
        <w:rPr>
          <w:b/>
        </w:rPr>
        <w:t xml:space="preserve">Response. </w:t>
      </w:r>
      <w:r>
        <w:t>The revised manuscript contains ten actual Word equation objects covering latency, device energy, retention, the MDP, optimization objective, reward, PPO probability ratio, clipped objective, GAE and DQN loss. The state dimension is explicitly 17 and the action count is 9. A real sensitivity analysis varies arrival rate, nominal bandwidth and compute capacity at three levels each. Dense result numbers were removed from the Abstract and Conclusion. Captions and “Figure” usage were normalized and the prose was rewritten for more consistent sentence length and scientific tone.</w:t>
      </w:r>
    </w:p>
    <w:p>
      <w:r>
        <w:rPr>
          <w:b/>
        </w:rPr>
        <w:t xml:space="preserve">Implemented in. </w:t>
      </w:r>
      <w:r>
        <w:t>Sections 3.1-3.3 and 4.4; Equations (1)-(10); Table 8; Abstract and Conclusion.</w:t>
      </w:r>
    </w:p>
    <w:p>
      <w:pPr>
        <w:pStyle w:val="Heading2"/>
      </w:pPr>
      <w:r>
        <w:t>Minor comments: author metadata, declarations, and archival repository</w:t>
      </w:r>
    </w:p>
    <w:p>
      <w:r>
        <w:rPr>
          <w:b/>
        </w:rPr>
        <w:t xml:space="preserve">Reviewer comment. </w:t>
      </w:r>
      <w:r>
        <w:t>The review noted two corresponding authors, a malformed mailto link, missing ORCIDs/contribution/ethics/competing-interest statements, and a mutable GitHub citation without an archival DOI.</w:t>
      </w:r>
    </w:p>
    <w:p>
      <w:r>
        <w:rPr>
          <w:b/>
        </w:rPr>
        <w:t xml:space="preserve">Response. </w:t>
      </w:r>
      <w:r>
        <w:t>The attached manuscript available for this revision is anonymized and contains no author block, so we did not invent author identities, ORCID iDs, CRediT roles, or a funding statement. The revised manuscript adds Ethics and Competing Interests sections and an explicit author-metadata placeholder instructing that exact CRediT roles and ORCID iDs be supplied on the non-anonymized title page. The v2.0 package is versioned and ready for a tagged archival release. The manuscript explicitly requires the repository owner to deposit that exact release and insert the resulting Zenodo DOI before final submission; no DOI has been fabricated.</w:t>
      </w:r>
    </w:p>
    <w:p>
      <w:r>
        <w:rPr>
          <w:b/>
        </w:rPr>
        <w:t xml:space="preserve">Implemented in. </w:t>
      </w:r>
      <w:r>
        <w:t>Declarations and Availability of Data and Code; README.md and RELEASE_NOTES.md. Author-side action is listed at the end of this response.</w:t>
      </w:r>
    </w:p>
    <w:p>
      <w:pPr>
        <w:pStyle w:val="Heading1"/>
      </w:pPr>
      <w:r>
        <w:t>Reviewer 2</w:t>
      </w:r>
    </w:p>
    <w:p>
      <w:pPr>
        <w:pStyle w:val="Heading2"/>
      </w:pPr>
      <w:r>
        <w:t>R2.1. Simulation-specific evidence, unified policy, larger environment, and realistic constraints</w:t>
      </w:r>
    </w:p>
    <w:p>
      <w:r>
        <w:rPr>
          <w:b/>
        </w:rPr>
        <w:t xml:space="preserve">Reviewer comment. </w:t>
      </w:r>
      <w:r>
        <w:t>The evidence supported scenario-specific simulation rather than general adaptive superiority; the reviewer requested a unified policy, larger environment, and more realistic constraints.</w:t>
      </w:r>
    </w:p>
    <w:p>
      <w:r>
        <w:rPr>
          <w:b/>
        </w:rPr>
        <w:t xml:space="preserve">Response. </w:t>
      </w:r>
      <w:r>
        <w:t>The revised study uses one PPO policy across all four conditions, not a separate policy per scenario. The environment was enlarged to four devices, three edge servers and one finite cloud. Dynamic episodes last 45 s and include burst/recovery, four network phases, per-task bandwidth/latency jitter, explicit queues, finite batteries and an actually binding energy constraint. The conclusion is explicitly limited to the analytical simulator.</w:t>
      </w:r>
    </w:p>
    <w:p>
      <w:r>
        <w:rPr>
          <w:b/>
        </w:rPr>
        <w:t xml:space="preserve">Implemented in. </w:t>
      </w:r>
      <w:r>
        <w:t>Abstract; Sections 3.1-3.3, 4 and 5.2; Tables 4-6.</w:t>
      </w:r>
    </w:p>
    <w:p>
      <w:pPr>
        <w:pStyle w:val="Heading2"/>
      </w:pPr>
      <w:r>
        <w:t>R2.2. Modern DRL baseline</w:t>
      </w:r>
    </w:p>
    <w:p>
      <w:r>
        <w:rPr>
          <w:b/>
        </w:rPr>
        <w:t xml:space="preserve">Reviewer comment. </w:t>
      </w:r>
      <w:r>
        <w:t>Add DQN, SAC, TD3 or another appropriate DRL comparator under comparable budgets.</w:t>
      </w:r>
    </w:p>
    <w:p>
      <w:r>
        <w:rPr>
          <w:b/>
        </w:rPr>
        <w:t xml:space="preserve">Response. </w:t>
      </w:r>
      <w:r>
        <w:t>DQN was added as a contemporary discrete-action DRL baseline using the same mixed-scenario 32-episode training budget and three independent training seeds. DQN and PPO use matched final evaluation seeds. SAC/TD3 are continuous-control methods and would require artificial action relaxation/encoding for the present nine-way discrete orchestration problem; they are therefore identified as future work rather than forced into a mismatched action space.</w:t>
      </w:r>
    </w:p>
    <w:p>
      <w:r>
        <w:rPr>
          <w:b/>
        </w:rPr>
        <w:t xml:space="preserve">Implemented in. </w:t>
      </w:r>
      <w:r>
        <w:t>Sections 2, 3.2.3, 4.2 and 6; Tables 6-7; DQN checkpoints and training histories in the package.</w:t>
      </w:r>
    </w:p>
    <w:p>
      <w:pPr>
        <w:pStyle w:val="Heading2"/>
      </w:pPr>
      <w:r>
        <w:t>R2.3. Real DNN/hardware validation</w:t>
      </w:r>
    </w:p>
    <w:p>
      <w:r>
        <w:rPr>
          <w:b/>
        </w:rPr>
        <w:t xml:space="preserve">Reviewer comment. </w:t>
      </w:r>
      <w:r>
        <w:t>Introduce real DNN/hardware validation to improve practical significance.</w:t>
      </w:r>
    </w:p>
    <w:p>
      <w:r>
        <w:rPr>
          <w:b/>
        </w:rPr>
        <w:t xml:space="preserve">Response. </w:t>
      </w:r>
      <w:r>
        <w:t>A separate PyTorch CPU timing sanity check now executes real ResNet-50 and MobileNetV2 forward passes, batch size 1, 224x224 input, one CPU thread and 40 timed runs. It is deliberately reported only as an external timing-scale check; it does not calibrate simulator energy, retention, network delay or tier capacity and is not presented as a physical cloud-edge testbed. This distinction avoids overstating the limited hardware evidence.</w:t>
      </w:r>
    </w:p>
    <w:p>
      <w:r>
        <w:rPr>
          <w:b/>
        </w:rPr>
        <w:t xml:space="preserve">Implemented in. </w:t>
      </w:r>
      <w:r>
        <w:t>Sections 3.3 and 4.5; Table 9; code/hardware_microbenchmark.py and results/hardware_microbenchmark*.</w:t>
      </w:r>
    </w:p>
    <w:p>
      <w:pPr>
        <w:pStyle w:val="Heading2"/>
      </w:pPr>
      <w:r>
        <w:t>R2.4. Swarm AI / LLM behavior and recent study</w:t>
      </w:r>
    </w:p>
    <w:p>
      <w:r>
        <w:rPr>
          <w:b/>
        </w:rPr>
        <w:t xml:space="preserve">Reviewer comment. </w:t>
      </w:r>
      <w:r>
        <w:t>Discuss how the framework relates to recent Swarm AI and LLM behavior, including DOI 10.1109/IWCMC69287.2026.11579813.</w:t>
      </w:r>
    </w:p>
    <w:p>
      <w:r>
        <w:rPr>
          <w:b/>
        </w:rPr>
        <w:t xml:space="preserve">Response. </w:t>
      </w:r>
      <w:r>
        <w:t>The requested 2026 Agentic SOC study was added to the literature review and comparative table. The Discussion now explains that multi-agent/LLM orchestration would add inter-agent dependencies, context/token cost, communication and accelerator-memory constraints. These are framed as a broader future extension rather than as capabilities already simulated in this paper.</w:t>
      </w:r>
    </w:p>
    <w:p>
      <w:r>
        <w:rPr>
          <w:b/>
        </w:rPr>
        <w:t xml:space="preserve">Implemented in. </w:t>
      </w:r>
      <w:r>
        <w:t>Sections 1, 2 and 5.1; Table 1; reference to Rahman et al. (2026), DOI 10.1109/IWCMC69287.2026.11579813.</w:t>
      </w:r>
    </w:p>
    <w:p>
      <w:pPr>
        <w:pStyle w:val="Heading1"/>
      </w:pPr>
      <w:r>
        <w:t>Additional Experiments and Reproducibility Materials Added</w:t>
      </w:r>
    </w:p>
    <w:p>
      <w:pPr>
        <w:pStyle w:val="ListBullet"/>
      </w:pPr>
      <w:r>
        <w:t>Unified PPO training across mixed scenarios with three independent PPO training seeds and three DQN training seeds.</w:t>
      </w:r>
    </w:p>
    <w:p>
      <w:pPr>
        <w:pStyle w:val="ListBullet"/>
      </w:pPr>
      <w:r>
        <w:t>Validation-only exhaustive constant-action selection and final evaluation on 20 untouched matched seeds.</w:t>
      </w:r>
    </w:p>
    <w:p>
      <w:pPr>
        <w:pStyle w:val="ListBullet"/>
      </w:pPr>
      <w:r>
        <w:t>20,000-state state-dependence probe per PPO training seed and PPO rollout-entropy history.</w:t>
      </w:r>
    </w:p>
    <w:p>
      <w:pPr>
        <w:pStyle w:val="ListBullet"/>
      </w:pPr>
      <w:r>
        <w:t>Deterministic and stochastic PPO evaluation.</w:t>
      </w:r>
    </w:p>
    <w:p>
      <w:pPr>
        <w:pStyle w:val="ListBullet"/>
      </w:pPr>
      <w:r>
        <w:t>Complete 45 s burst/recovery and four-phase network-fluctuation coverage with per-task link jitter.</w:t>
      </w:r>
    </w:p>
    <w:p>
      <w:pPr>
        <w:pStyle w:val="ListBullet"/>
      </w:pPr>
      <w:r>
        <w:t>Binding energy-budget experiment with explicit infeasible-action drops.</w:t>
      </w:r>
    </w:p>
    <w:p>
      <w:pPr>
        <w:pStyle w:val="ListBullet"/>
      </w:pPr>
      <w:r>
        <w:t>Single-family 84-test global-Holm statistics with effect sizes and bootstrap confidence intervals.</w:t>
      </w:r>
    </w:p>
    <w:p>
      <w:pPr>
        <w:pStyle w:val="ListBullet"/>
      </w:pPr>
      <w:r>
        <w:t>Arrival-rate, bandwidth and capacity sensitivity sweeps.</w:t>
      </w:r>
    </w:p>
    <w:p>
      <w:pPr>
        <w:pStyle w:val="ListBullet"/>
      </w:pPr>
      <w:r>
        <w:t>Real PyTorch CPU forward-pass timing sanity check for ResNet-50 and MobileNetV2.</w:t>
      </w:r>
    </w:p>
    <w:p>
      <w:pPr>
        <w:pStyle w:val="ListBullet"/>
      </w:pPr>
      <w:r>
        <w:t>Regenerated vector figures and a repository verifier. The verifier currently passes 107/107 internal consistency/protocol checks.</w:t>
      </w:r>
    </w:p>
    <w:p>
      <w:pPr>
        <w:pStyle w:val="Heading1"/>
      </w:pPr>
      <w:r>
        <w:t>Author-side items that must be completed before upload</w:t>
      </w:r>
    </w:p>
    <w:p>
      <w:r>
        <w:rPr>
          <w:b/>
        </w:rPr>
        <w:t xml:space="preserve">1. Archival DOI. </w:t>
      </w:r>
      <w:r>
        <w:t>Deposit the exact v2.0 package/tag in Zenodo (or the journal-approved archival repository) and replace the manuscript’s repository note with the minted DOI. We have intentionally not invented a DOI.</w:t>
      </w:r>
    </w:p>
    <w:p>
      <w:r>
        <w:rPr>
          <w:b/>
        </w:rPr>
        <w:t xml:space="preserve">2. Non-anonymized author metadata. </w:t>
      </w:r>
      <w:r>
        <w:t>On the title page/submission system, designate the journal-compliant corresponding author(s), correct the malformed email hyperlink noted by the reviewer, and insert the authors’ actual ORCID iDs and CRediT contributions. These identifiers/roles are not present in the attached anonymized manuscript and therefore were not guessed.</w:t>
      </w:r>
    </w:p>
    <w:p>
      <w:r>
        <w:rPr>
          <w:b/>
        </w:rPr>
        <w:t xml:space="preserve">3. Funding metadata. </w:t>
      </w:r>
      <w:r>
        <w:t>Retain the exact funding declaration already held in the journal submission system or approved title page; no new funding claim has been created in the technical revision.</w:t>
      </w:r>
    </w:p>
    <w:p>
      <w:r>
        <w:t>We believe the revised manuscript now addresses the substantive experimental concerns raised by both reviewers while preserving a deliberately conservative interpretation of what the simulation and limited timing check can establish.</w:t>
      </w:r>
    </w:p>
    <w:p>
      <w:r>
        <w:rPr>
          <w:b/>
        </w:rPr>
        <w:t>Sincerely,</w:t>
      </w:r>
    </w:p>
    <w:p>
      <w:r>
        <w:t>The Authors</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